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8"/>
          <w:sz w:val="56"/>
        </w:rPr>
        <w:t>NEPAL FEDERAL BUDGET 2083/84</w:t>
      </w:r>
    </w:p>
    <w:p>
      <w:pPr>
        <w:jc w:val="center"/>
      </w:pPr>
      <w:r>
        <w:rPr>
          <w:color w:val="666666"/>
          <w:sz w:val="28"/>
        </w:rPr>
        <w:t>Comprehensive Financial Analysis &amp; Data Analytics Report</w:t>
      </w:r>
    </w:p>
    <w:p/>
    <w:p/>
    <w:p>
      <w:pPr>
        <w:jc w:val="center"/>
      </w:pPr>
      <w:r>
        <w:rPr>
          <w:sz w:val="22"/>
        </w:rPr>
        <w:t>Fiscal Year 2083/84 (2026/27)</w:t>
        <w:br/>
        <w:t>Finance Minister: Dr. Swarnim Wagle</w:t>
        <w:br/>
        <w:t>Government of Nepal, Ministry of Finance</w:t>
      </w:r>
    </w:p>
    <w:p/>
    <w:p/>
    <w:p>
      <w:pPr>
        <w:jc w:val="center"/>
      </w:pPr>
      <w:r>
        <w:rPr>
          <w:i/>
          <w:sz w:val="20"/>
        </w:rPr>
        <w:t>Report Generated: June 03, 2026</w:t>
      </w:r>
    </w:p>
    <w:p>
      <w:r>
        <w:br w:type="page"/>
      </w:r>
    </w:p>
    <w:p>
      <w:pPr>
        <w:pStyle w:val="Heading1"/>
      </w:pPr>
      <w:r>
        <w:t>EXECUTIVE SUMMARY</w:t>
      </w:r>
    </w:p>
    <w:p>
      <w:r>
        <w:t>Nepal's Federal Budget for fiscal year 2083/84 represents a landmark financial commitment with a total allocation of ₹ 2,124.34 billion, marking a 25.2% increase from the previous year – the largest budget in Nepal's history. This report provides comprehensive analysis of the budget structure, allocation patterns, revenue sources, and key policy initiatives.</w:t>
        <w:br/>
        <w:br/>
        <w:t>The budget reflects the government's strategic priorities in infrastructure development, social services, and economic growth. With domestic revenue collection of ₹ 1,405.31 billion, the budget deficit stands at ₹ 657.29 billion, which is funded through foreign grants (₹ 61.74 B), foreign loans (₹ 247.28 B), and domestic borrowing (₹ 410.00 B).</w:t>
        <w:br/>
        <w:br/>
        <w:t>This report provides detailed analysis of:</w:t>
        <w:br/>
        <w:t>• Budget allocation by ministry and sector</w:t>
        <w:br/>
        <w:t>• Expenditure breakdown and structure</w:t>
        <w:br/>
        <w:t>• Revenue sources and financing mechanisms</w:t>
        <w:br/>
        <w:t>• Fiscal trends and year-over-year comparisons</w:t>
        <w:br/>
        <w:t>• Key policy reforms and initiatives</w:t>
        <w:br/>
        <w:t>• Strategic insights and recommendations</w:t>
      </w:r>
    </w:p>
    <w:p>
      <w:r>
        <w:br w:type="page"/>
      </w:r>
    </w:p>
    <w:p>
      <w:pPr>
        <w:pStyle w:val="Heading1"/>
      </w:pPr>
      <w:r>
        <w:t>KEY BUDGET METRICS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680"/>
          </w:tcPr>
          <w:p>
            <w:r>
              <w:rPr>
                <w:b/>
              </w:rPr>
              <w:t>Amount / Value</w:t>
            </w:r>
          </w:p>
        </w:tc>
      </w:tr>
      <w:tr>
        <w:tc>
          <w:tcPr>
            <w:tcW w:type="dxa" w:w="4680"/>
          </w:tcPr>
          <w:p>
            <w:r>
              <w:t>Total Budget Allocation</w:t>
            </w:r>
          </w:p>
        </w:tc>
        <w:tc>
          <w:tcPr>
            <w:tcW w:type="dxa" w:w="4680"/>
          </w:tcPr>
          <w:p>
            <w:r>
              <w:t>₹ 2,124.34 Billion</w:t>
            </w:r>
          </w:p>
        </w:tc>
      </w:tr>
      <w:tr>
        <w:tc>
          <w:tcPr>
            <w:tcW w:type="dxa" w:w="4680"/>
          </w:tcPr>
          <w:p>
            <w:r>
              <w:t>Current Expenditure</w:t>
            </w:r>
          </w:p>
        </w:tc>
        <w:tc>
          <w:tcPr>
            <w:tcW w:type="dxa" w:w="4680"/>
          </w:tcPr>
          <w:p>
            <w:r>
              <w:t>₹ 1,270.58 Billion (59.8%)</w:t>
            </w:r>
          </w:p>
        </w:tc>
      </w:tr>
      <w:tr>
        <w:tc>
          <w:tcPr>
            <w:tcW w:type="dxa" w:w="4680"/>
          </w:tcPr>
          <w:p>
            <w:r>
              <w:t>Capital Expenditure</w:t>
            </w:r>
          </w:p>
        </w:tc>
        <w:tc>
          <w:tcPr>
            <w:tcW w:type="dxa" w:w="4680"/>
          </w:tcPr>
          <w:p>
            <w:r>
              <w:t>₹ 431.10 Billion (20.3%)</w:t>
            </w:r>
          </w:p>
        </w:tc>
      </w:tr>
      <w:tr>
        <w:tc>
          <w:tcPr>
            <w:tcW w:type="dxa" w:w="4680"/>
          </w:tcPr>
          <w:p>
            <w:r>
              <w:t>Financial Management</w:t>
            </w:r>
          </w:p>
        </w:tc>
        <w:tc>
          <w:tcPr>
            <w:tcW w:type="dxa" w:w="4680"/>
          </w:tcPr>
          <w:p>
            <w:r>
              <w:t>₹ 422.64 Billion (19.9%)</w:t>
            </w:r>
          </w:p>
        </w:tc>
      </w:tr>
      <w:tr>
        <w:tc>
          <w:tcPr>
            <w:tcW w:type="dxa" w:w="4680"/>
          </w:tcPr>
          <w:p>
            <w:r>
              <w:t>Total Revenue (Estimated)</w:t>
            </w:r>
          </w:p>
        </w:tc>
        <w:tc>
          <w:tcPr>
            <w:tcW w:type="dxa" w:w="4680"/>
          </w:tcPr>
          <w:p>
            <w:r>
              <w:t>₹ 1,405.31 Billion</w:t>
            </w:r>
          </w:p>
        </w:tc>
      </w:tr>
      <w:tr>
        <w:tc>
          <w:tcPr>
            <w:tcW w:type="dxa" w:w="4680"/>
          </w:tcPr>
          <w:p>
            <w:r>
              <w:t>Budget Deficit</w:t>
            </w:r>
          </w:p>
        </w:tc>
        <w:tc>
          <w:tcPr>
            <w:tcW w:type="dxa" w:w="4680"/>
          </w:tcPr>
          <w:p>
            <w:r>
              <w:t>₹ 657.29 Billion</w:t>
            </w:r>
          </w:p>
        </w:tc>
      </w:tr>
      <w:tr>
        <w:tc>
          <w:tcPr>
            <w:tcW w:type="dxa" w:w="4680"/>
          </w:tcPr>
          <w:p>
            <w:r>
              <w:t>Year-over-Year Growth Rate</w:t>
            </w:r>
          </w:p>
        </w:tc>
        <w:tc>
          <w:tcPr>
            <w:tcW w:type="dxa" w:w="4680"/>
          </w:tcPr>
          <w:p>
            <w:r>
              <w:t>25.2% (vs FY 2082/83)</w:t>
            </w:r>
          </w:p>
        </w:tc>
      </w:tr>
      <w:tr>
        <w:tc>
          <w:tcPr>
            <w:tcW w:type="dxa" w:w="4680"/>
          </w:tcPr>
          <w:p>
            <w:r>
              <w:t>Deficit to Budget Ratio</w:t>
            </w:r>
          </w:p>
        </w:tc>
        <w:tc>
          <w:tcPr>
            <w:tcW w:type="dxa" w:w="4680"/>
          </w:tcPr>
          <w:p>
            <w:r>
              <w:t>30.9%</w:t>
            </w:r>
          </w:p>
        </w:tc>
      </w:tr>
      <w:tr>
        <w:tc>
          <w:tcPr>
            <w:tcW w:type="dxa" w:w="4680"/>
          </w:tcPr>
          <w:p>
            <w:r>
              <w:t>Revenue to Budget Ratio</w:t>
            </w:r>
          </w:p>
        </w:tc>
        <w:tc>
          <w:tcPr>
            <w:tcW w:type="dxa" w:w="4680"/>
          </w:tcPr>
          <w:p>
            <w:r>
              <w:t>66.1%</w:t>
            </w:r>
          </w:p>
        </w:tc>
      </w:tr>
      <w:tr>
        <w:tc>
          <w:tcPr>
            <w:tcW w:type="dxa" w:w="4680"/>
          </w:tcPr>
          <w:p>
            <w:r>
              <w:t>Number of Ministries</w:t>
            </w:r>
          </w:p>
        </w:tc>
        <w:tc>
          <w:tcPr>
            <w:tcW w:type="dxa" w:w="4680"/>
          </w:tcPr>
          <w:p>
            <w:r>
              <w:t>18 Ministries</w:t>
            </w:r>
          </w:p>
        </w:tc>
      </w:tr>
    </w:tbl>
    <w:p/>
    <w:p>
      <w:pPr>
        <w:pStyle w:val="Heading1"/>
      </w:pPr>
      <w:r>
        <w:t>BUDGET ALLOCATION OVERVIEW</w:t>
      </w:r>
    </w:p>
    <w:p>
      <w:pPr>
        <w:pStyle w:val="Heading2"/>
      </w:pPr>
      <w:r>
        <w:t>Expenditure Structure</w:t>
      </w:r>
    </w:p>
    <w:p>
      <w:r>
        <w:t>The total budget of ₹ 2,124.34 billion is structured into three major components:</w:t>
        <w:br/>
        <w:br/>
        <w:t>1. Current Expenditure: ₹ 1,270.58 Billion (59.8%)</w:t>
        <w:br/>
        <w:t xml:space="preserve">   Covers recurring operational costs including salaries, maintenance, and day-to-day government operations.</w:t>
        <w:br/>
        <w:br/>
        <w:t>2. Capital Expenditure: ₹ 431.10 Billion (20.3%)</w:t>
        <w:br/>
        <w:t xml:space="preserve">   Allocated for infrastructure projects, development initiatives, and long-term investments in roads, bridges, buildings, and other capital assets.</w:t>
        <w:br/>
        <w:br/>
        <w:t>3. Financial Management: ₹ 422.64 Billion (19.9%)</w:t>
        <w:br/>
        <w:t xml:space="preserve">   Includes debt servicing, interest payments, and contingency reserves for unforeseen circumstances.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3120"/>
          </w:tcPr>
          <w:p>
            <w:r>
              <w:rPr>
                <w:b/>
              </w:rPr>
              <w:t>Amount (₹ B)</w:t>
            </w:r>
          </w:p>
        </w:tc>
        <w:tc>
          <w:tcPr>
            <w:tcW w:type="dxa" w:w="3120"/>
          </w:tcPr>
          <w:p>
            <w:r>
              <w:rPr>
                <w:b/>
              </w:rPr>
              <w:t>Percentage</w:t>
            </w:r>
          </w:p>
        </w:tc>
      </w:tr>
      <w:tr>
        <w:tc>
          <w:tcPr>
            <w:tcW w:type="dxa" w:w="3120"/>
          </w:tcPr>
          <w:p>
            <w:r>
              <w:t>Current Expenditure</w:t>
            </w:r>
          </w:p>
        </w:tc>
        <w:tc>
          <w:tcPr>
            <w:tcW w:type="dxa" w:w="3120"/>
          </w:tcPr>
          <w:p>
            <w:r>
              <w:t>1,270.58</w:t>
            </w:r>
          </w:p>
        </w:tc>
        <w:tc>
          <w:tcPr>
            <w:tcW w:type="dxa" w:w="3120"/>
          </w:tcPr>
          <w:p>
            <w:r>
              <w:t>59.8%</w:t>
            </w:r>
          </w:p>
        </w:tc>
      </w:tr>
      <w:tr>
        <w:tc>
          <w:tcPr>
            <w:tcW w:type="dxa" w:w="3120"/>
          </w:tcPr>
          <w:p>
            <w:r>
              <w:t>Capital Expenditure</w:t>
            </w:r>
          </w:p>
        </w:tc>
        <w:tc>
          <w:tcPr>
            <w:tcW w:type="dxa" w:w="3120"/>
          </w:tcPr>
          <w:p>
            <w:r>
              <w:t>431.10</w:t>
            </w:r>
          </w:p>
        </w:tc>
        <w:tc>
          <w:tcPr>
            <w:tcW w:type="dxa" w:w="3120"/>
          </w:tcPr>
          <w:p>
            <w:r>
              <w:t>20.3%</w:t>
            </w:r>
          </w:p>
        </w:tc>
      </w:tr>
      <w:tr>
        <w:tc>
          <w:tcPr>
            <w:tcW w:type="dxa" w:w="3120"/>
          </w:tcPr>
          <w:p>
            <w:r>
              <w:t>Financial Management</w:t>
            </w:r>
          </w:p>
        </w:tc>
        <w:tc>
          <w:tcPr>
            <w:tcW w:type="dxa" w:w="3120"/>
          </w:tcPr>
          <w:p>
            <w:r>
              <w:t>422.64</w:t>
            </w:r>
          </w:p>
        </w:tc>
        <w:tc>
          <w:tcPr>
            <w:tcW w:type="dxa" w:w="3120"/>
          </w:tcPr>
          <w:p>
            <w:r>
              <w:t>19.9%</w:t>
            </w:r>
          </w:p>
        </w:tc>
      </w:tr>
    </w:tbl>
    <w:p/>
    <w:p>
      <w:pPr>
        <w:pStyle w:val="Heading2"/>
      </w:pPr>
      <w:r>
        <w:t>Ministry-Wise Budget Allocation</w:t>
      </w:r>
    </w:p>
    <w:p>
      <w:r>
        <w:t>The budget is distributed among 18 ministries and departments, with the following top allocations reflecting government priorities: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Ministry</w:t>
            </w:r>
          </w:p>
        </w:tc>
        <w:tc>
          <w:tcPr>
            <w:tcW w:type="dxa" w:w="3120"/>
          </w:tcPr>
          <w:p>
            <w:r>
              <w:rPr>
                <w:b/>
              </w:rPr>
              <w:t>Budget (₹ B)</w:t>
            </w:r>
          </w:p>
        </w:tc>
        <w:tc>
          <w:tcPr>
            <w:tcW w:type="dxa" w:w="3120"/>
          </w:tcPr>
          <w:p>
            <w:r>
              <w:rPr>
                <w:b/>
              </w:rPr>
              <w:t>% of Total</w:t>
            </w:r>
          </w:p>
        </w:tc>
      </w:tr>
      <w:tr>
        <w:tc>
          <w:tcPr>
            <w:tcW w:type="dxa" w:w="3120"/>
          </w:tcPr>
          <w:p>
            <w:r>
              <w:t>Infrastructure Development</w:t>
            </w:r>
          </w:p>
        </w:tc>
        <w:tc>
          <w:tcPr>
            <w:tcW w:type="dxa" w:w="3120"/>
          </w:tcPr>
          <w:p>
            <w:r>
              <w:t>302.83</w:t>
            </w:r>
          </w:p>
        </w:tc>
        <w:tc>
          <w:tcPr>
            <w:tcW w:type="dxa" w:w="3120"/>
          </w:tcPr>
          <w:p>
            <w:r>
              <w:t>14.25%</w:t>
            </w:r>
          </w:p>
        </w:tc>
      </w:tr>
      <w:tr>
        <w:tc>
          <w:tcPr>
            <w:tcW w:type="dxa" w:w="3120"/>
          </w:tcPr>
          <w:p>
            <w:r>
              <w:t>Education and Sports</w:t>
            </w:r>
          </w:p>
        </w:tc>
        <w:tc>
          <w:tcPr>
            <w:tcW w:type="dxa" w:w="3120"/>
          </w:tcPr>
          <w:p>
            <w:r>
              <w:t>218.30</w:t>
            </w:r>
          </w:p>
        </w:tc>
        <w:tc>
          <w:tcPr>
            <w:tcW w:type="dxa" w:w="3120"/>
          </w:tcPr>
          <w:p>
            <w:r>
              <w:t>10.27%</w:t>
            </w:r>
          </w:p>
        </w:tc>
      </w:tr>
      <w:tr>
        <w:tc>
          <w:tcPr>
            <w:tcW w:type="dxa" w:w="3120"/>
          </w:tcPr>
          <w:p>
            <w:r>
              <w:t>Women, Children &amp; Social Welfare</w:t>
            </w:r>
          </w:p>
        </w:tc>
        <w:tc>
          <w:tcPr>
            <w:tcW w:type="dxa" w:w="3120"/>
          </w:tcPr>
          <w:p>
            <w:r>
              <w:t>122.61</w:t>
            </w:r>
          </w:p>
        </w:tc>
        <w:tc>
          <w:tcPr>
            <w:tcW w:type="dxa" w:w="3120"/>
          </w:tcPr>
          <w:p>
            <w:r>
              <w:t>5.77%</w:t>
            </w:r>
          </w:p>
        </w:tc>
      </w:tr>
      <w:tr>
        <w:tc>
          <w:tcPr>
            <w:tcW w:type="dxa" w:w="3120"/>
          </w:tcPr>
          <w:p>
            <w:r>
              <w:t>Energy, Water Resources &amp; Irrigation</w:t>
            </w:r>
          </w:p>
        </w:tc>
        <w:tc>
          <w:tcPr>
            <w:tcW w:type="dxa" w:w="3120"/>
          </w:tcPr>
          <w:p>
            <w:r>
              <w:t>114.02</w:t>
            </w:r>
          </w:p>
        </w:tc>
        <w:tc>
          <w:tcPr>
            <w:tcW w:type="dxa" w:w="3120"/>
          </w:tcPr>
          <w:p>
            <w:r>
              <w:t>5.37%</w:t>
            </w:r>
          </w:p>
        </w:tc>
      </w:tr>
      <w:tr>
        <w:tc>
          <w:tcPr>
            <w:tcW w:type="dxa" w:w="3120"/>
          </w:tcPr>
          <w:p>
            <w:r>
              <w:t>Home Affairs</w:t>
            </w:r>
          </w:p>
        </w:tc>
        <w:tc>
          <w:tcPr>
            <w:tcW w:type="dxa" w:w="3120"/>
          </w:tcPr>
          <w:p>
            <w:r>
              <w:t>108.32</w:t>
            </w:r>
          </w:p>
        </w:tc>
        <w:tc>
          <w:tcPr>
            <w:tcW w:type="dxa" w:w="3120"/>
          </w:tcPr>
          <w:p>
            <w:r>
              <w:t>5.10%</w:t>
            </w:r>
          </w:p>
        </w:tc>
      </w:tr>
      <w:tr>
        <w:tc>
          <w:tcPr>
            <w:tcW w:type="dxa" w:w="3120"/>
          </w:tcPr>
          <w:p>
            <w:r>
              <w:t>Health and Population</w:t>
            </w:r>
          </w:p>
        </w:tc>
        <w:tc>
          <w:tcPr>
            <w:tcW w:type="dxa" w:w="3120"/>
          </w:tcPr>
          <w:p>
            <w:r>
              <w:t>96.43</w:t>
            </w:r>
          </w:p>
        </w:tc>
        <w:tc>
          <w:tcPr>
            <w:tcW w:type="dxa" w:w="3120"/>
          </w:tcPr>
          <w:p>
            <w:r>
              <w:t>4.54%</w:t>
            </w:r>
          </w:p>
        </w:tc>
      </w:tr>
      <w:tr>
        <w:tc>
          <w:tcPr>
            <w:tcW w:type="dxa" w:w="3120"/>
          </w:tcPr>
          <w:p>
            <w:r>
              <w:t>Finance</w:t>
            </w:r>
          </w:p>
        </w:tc>
        <w:tc>
          <w:tcPr>
            <w:tcW w:type="dxa" w:w="3120"/>
          </w:tcPr>
          <w:p>
            <w:r>
              <w:t>84.73</w:t>
            </w:r>
          </w:p>
        </w:tc>
        <w:tc>
          <w:tcPr>
            <w:tcW w:type="dxa" w:w="3120"/>
          </w:tcPr>
          <w:p>
            <w:r>
              <w:t>3.99%</w:t>
            </w:r>
          </w:p>
        </w:tc>
      </w:tr>
      <w:tr>
        <w:tc>
          <w:tcPr>
            <w:tcW w:type="dxa" w:w="3120"/>
          </w:tcPr>
          <w:p>
            <w:r>
              <w:t>Agriculture, Forestry &amp; Environment</w:t>
            </w:r>
          </w:p>
        </w:tc>
        <w:tc>
          <w:tcPr>
            <w:tcW w:type="dxa" w:w="3120"/>
          </w:tcPr>
          <w:p>
            <w:r>
              <w:t>73.12</w:t>
            </w:r>
          </w:p>
        </w:tc>
        <w:tc>
          <w:tcPr>
            <w:tcW w:type="dxa" w:w="3120"/>
          </w:tcPr>
          <w:p>
            <w:r>
              <w:t>3.44%</w:t>
            </w:r>
          </w:p>
        </w:tc>
      </w:tr>
      <w:tr>
        <w:tc>
          <w:tcPr>
            <w:tcW w:type="dxa" w:w="3120"/>
          </w:tcPr>
          <w:p>
            <w:r>
              <w:t>Defence</w:t>
            </w:r>
          </w:p>
        </w:tc>
        <w:tc>
          <w:tcPr>
            <w:tcW w:type="dxa" w:w="3120"/>
          </w:tcPr>
          <w:p>
            <w:r>
              <w:t>64.96</w:t>
            </w:r>
          </w:p>
        </w:tc>
        <w:tc>
          <w:tcPr>
            <w:tcW w:type="dxa" w:w="3120"/>
          </w:tcPr>
          <w:p>
            <w:r>
              <w:t>3.06%</w:t>
            </w:r>
          </w:p>
        </w:tc>
      </w:tr>
      <w:tr>
        <w:tc>
          <w:tcPr>
            <w:tcW w:type="dxa" w:w="3120"/>
          </w:tcPr>
          <w:p>
            <w:r>
              <w:t>Industry, Commerce &amp; Supplies</w:t>
            </w:r>
          </w:p>
        </w:tc>
        <w:tc>
          <w:tcPr>
            <w:tcW w:type="dxa" w:w="3120"/>
          </w:tcPr>
          <w:p>
            <w:r>
              <w:t>52.45</w:t>
            </w:r>
          </w:p>
        </w:tc>
        <w:tc>
          <w:tcPr>
            <w:tcW w:type="dxa" w:w="3120"/>
          </w:tcPr>
          <w:p>
            <w:r>
              <w:t>2.47%</w:t>
            </w:r>
          </w:p>
        </w:tc>
      </w:tr>
      <w:tr>
        <w:tc>
          <w:tcPr>
            <w:tcW w:type="dxa" w:w="3120"/>
          </w:tcPr>
          <w:p>
            <w:r>
              <w:t>Other 8 Ministries</w:t>
            </w:r>
          </w:p>
        </w:tc>
        <w:tc>
          <w:tcPr>
            <w:tcW w:type="dxa" w:w="3120"/>
          </w:tcPr>
          <w:p>
            <w:r>
              <w:t>286.45</w:t>
            </w:r>
          </w:p>
        </w:tc>
        <w:tc>
          <w:tcPr>
            <w:tcW w:type="dxa" w:w="3120"/>
          </w:tcPr>
          <w:p>
            <w:r>
              <w:t>13.48%</w:t>
            </w:r>
          </w:p>
        </w:tc>
      </w:tr>
    </w:tbl>
    <w:p>
      <w:r>
        <w:br w:type="page"/>
      </w:r>
    </w:p>
    <w:p>
      <w:pPr>
        <w:pStyle w:val="Heading1"/>
      </w:pPr>
      <w:r>
        <w:t>REVENUE SOURCES &amp; FINANCING</w:t>
      </w:r>
    </w:p>
    <w:p>
      <w:r>
        <w:t>The total budget of ₹ 2,124.34 billion is financed through multiple sources, demonstrating a diversified funding approach: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Amount (₹ B)</w:t>
            </w:r>
          </w:p>
        </w:tc>
        <w:tc>
          <w:tcPr>
            <w:tcW w:type="dxa" w:w="3120"/>
          </w:tcPr>
          <w:p>
            <w:r>
              <w:rPr>
                <w:b/>
              </w:rPr>
              <w:t>% of Total</w:t>
            </w:r>
          </w:p>
        </w:tc>
      </w:tr>
      <w:tr>
        <w:tc>
          <w:tcPr>
            <w:tcW w:type="dxa" w:w="3120"/>
          </w:tcPr>
          <w:p>
            <w:r>
              <w:t>Domestic Revenue (Tax &amp; Non-Tax)</w:t>
            </w:r>
          </w:p>
        </w:tc>
        <w:tc>
          <w:tcPr>
            <w:tcW w:type="dxa" w:w="3120"/>
          </w:tcPr>
          <w:p>
            <w:r>
              <w:t>1,405.31</w:t>
            </w:r>
          </w:p>
        </w:tc>
        <w:tc>
          <w:tcPr>
            <w:tcW w:type="dxa" w:w="3120"/>
          </w:tcPr>
          <w:p>
            <w:r>
              <w:t>66.1%</w:t>
            </w:r>
          </w:p>
        </w:tc>
      </w:tr>
      <w:tr>
        <w:tc>
          <w:tcPr>
            <w:tcW w:type="dxa" w:w="3120"/>
          </w:tcPr>
          <w:p>
            <w:r>
              <w:t>Domestic Borrowing</w:t>
            </w:r>
          </w:p>
        </w:tc>
        <w:tc>
          <w:tcPr>
            <w:tcW w:type="dxa" w:w="3120"/>
          </w:tcPr>
          <w:p>
            <w:r>
              <w:t>410.00</w:t>
            </w:r>
          </w:p>
        </w:tc>
        <w:tc>
          <w:tcPr>
            <w:tcW w:type="dxa" w:w="3120"/>
          </w:tcPr>
          <w:p>
            <w:r>
              <w:t>19.3%</w:t>
            </w:r>
          </w:p>
        </w:tc>
      </w:tr>
      <w:tr>
        <w:tc>
          <w:tcPr>
            <w:tcW w:type="dxa" w:w="3120"/>
          </w:tcPr>
          <w:p>
            <w:r>
              <w:t>Foreign Loans</w:t>
            </w:r>
          </w:p>
        </w:tc>
        <w:tc>
          <w:tcPr>
            <w:tcW w:type="dxa" w:w="3120"/>
          </w:tcPr>
          <w:p>
            <w:r>
              <w:t>247.28</w:t>
            </w:r>
          </w:p>
        </w:tc>
        <w:tc>
          <w:tcPr>
            <w:tcW w:type="dxa" w:w="3120"/>
          </w:tcPr>
          <w:p>
            <w:r>
              <w:t>11.6%</w:t>
            </w:r>
          </w:p>
        </w:tc>
      </w:tr>
      <w:tr>
        <w:tc>
          <w:tcPr>
            <w:tcW w:type="dxa" w:w="3120"/>
          </w:tcPr>
          <w:p>
            <w:r>
              <w:t>Foreign Grants</w:t>
            </w:r>
          </w:p>
        </w:tc>
        <w:tc>
          <w:tcPr>
            <w:tcW w:type="dxa" w:w="3120"/>
          </w:tcPr>
          <w:p>
            <w:r>
              <w:t>61.74</w:t>
            </w:r>
          </w:p>
        </w:tc>
        <w:tc>
          <w:tcPr>
            <w:tcW w:type="dxa" w:w="3120"/>
          </w:tcPr>
          <w:p>
            <w:r>
              <w:t>2.9%</w:t>
            </w:r>
          </w:p>
        </w:tc>
      </w:tr>
    </w:tbl>
    <w:p/>
    <w:p>
      <w:pPr>
        <w:pStyle w:val="Heading2"/>
      </w:pPr>
      <w:r>
        <w:t>Revenue Source Analysis</w:t>
      </w:r>
    </w:p>
    <w:p>
      <w:r>
        <w:t>Domestic Revenue (₹ 1,405.31 B): Primary source covering 66.1% of the budget, comprising income tax, VAT, customs duties, and excise taxes.</w:t>
        <w:br/>
        <w:br/>
        <w:t>Domestic Borrowing (₹ 410.00 B): Accounts for 19.3% of budget financing, raised through internal borrowing mechanisms and local bonds.</w:t>
        <w:br/>
        <w:br/>
        <w:t>Foreign Loans (₹ 247.28 B): Contributes 11.6%, representing concessional loans from international development partners and financial institutions.</w:t>
        <w:br/>
        <w:br/>
        <w:t>Foreign Grants (₹ 61.74 B): Smallest component at 2.9%, received from bilateral and multilateral development partners.</w:t>
      </w:r>
    </w:p>
    <w:p>
      <w:r>
        <w:br w:type="page"/>
      </w:r>
    </w:p>
    <w:p>
      <w:pPr>
        <w:pStyle w:val="Heading1"/>
      </w:pPr>
      <w:r>
        <w:t>FISCAL TRENDS &amp; ANALYSIS</w:t>
      </w:r>
    </w:p>
    <w:p>
      <w:pPr>
        <w:pStyle w:val="Heading2"/>
      </w:pPr>
      <w:r>
        <w:t>Three-Year Comparison (2081/82 - 2083/84)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b/>
              </w:rPr>
              <w:t>Fiscal Year</w:t>
            </w:r>
          </w:p>
        </w:tc>
        <w:tc>
          <w:tcPr>
            <w:tcW w:type="dxa" w:w="1872"/>
          </w:tcPr>
          <w:p>
            <w:r>
              <w:rPr>
                <w:b/>
              </w:rPr>
              <w:t>Total Budget (₹ B)</w:t>
            </w:r>
          </w:p>
        </w:tc>
        <w:tc>
          <w:tcPr>
            <w:tcW w:type="dxa" w:w="1872"/>
          </w:tcPr>
          <w:p>
            <w:r>
              <w:rPr>
                <w:b/>
              </w:rPr>
              <w:t>YoY Growth %</w:t>
            </w:r>
          </w:p>
        </w:tc>
        <w:tc>
          <w:tcPr>
            <w:tcW w:type="dxa" w:w="1872"/>
          </w:tcPr>
          <w:p>
            <w:r>
              <w:rPr>
                <w:b/>
              </w:rPr>
              <w:t>Revenue (₹ B)</w:t>
            </w:r>
          </w:p>
        </w:tc>
        <w:tc>
          <w:tcPr>
            <w:tcW w:type="dxa" w:w="1872"/>
          </w:tcPr>
          <w:p>
            <w:r>
              <w:rPr>
                <w:b/>
              </w:rPr>
              <w:t>Deficit (₹ B)</w:t>
            </w:r>
          </w:p>
        </w:tc>
      </w:tr>
      <w:tr>
        <w:tc>
          <w:tcPr>
            <w:tcW w:type="dxa" w:w="1872"/>
          </w:tcPr>
          <w:p>
            <w:r>
              <w:t>2081/82</w:t>
            </w:r>
          </w:p>
        </w:tc>
        <w:tc>
          <w:tcPr>
            <w:tcW w:type="dxa" w:w="1872"/>
          </w:tcPr>
          <w:p>
            <w:r>
              <w:t>1,696.50</w:t>
            </w:r>
          </w:p>
        </w:tc>
        <w:tc>
          <w:tcPr>
            <w:tcW w:type="dxa" w:w="1872"/>
          </w:tcPr>
          <w:p>
            <w:r>
              <w:t>13.2%</w:t>
            </w:r>
          </w:p>
        </w:tc>
        <w:tc>
          <w:tcPr>
            <w:tcW w:type="dxa" w:w="1872"/>
          </w:tcPr>
          <w:p>
            <w:r>
              <w:t>1,150.00</w:t>
            </w:r>
          </w:p>
        </w:tc>
        <w:tc>
          <w:tcPr>
            <w:tcW w:type="dxa" w:w="1872"/>
          </w:tcPr>
          <w:p>
            <w:r>
              <w:t>546.50</w:t>
            </w:r>
          </w:p>
        </w:tc>
      </w:tr>
      <w:tr>
        <w:tc>
          <w:tcPr>
            <w:tcW w:type="dxa" w:w="1872"/>
          </w:tcPr>
          <w:p>
            <w:r>
              <w:t>2082/83 (Revised)</w:t>
            </w:r>
          </w:p>
        </w:tc>
        <w:tc>
          <w:tcPr>
            <w:tcW w:type="dxa" w:w="1872"/>
          </w:tcPr>
          <w:p>
            <w:r>
              <w:t>1,964.00</w:t>
            </w:r>
          </w:p>
        </w:tc>
        <w:tc>
          <w:tcPr>
            <w:tcW w:type="dxa" w:w="1872"/>
          </w:tcPr>
          <w:p>
            <w:r>
              <w:t>15.7%</w:t>
            </w:r>
          </w:p>
        </w:tc>
        <w:tc>
          <w:tcPr>
            <w:tcW w:type="dxa" w:w="1872"/>
          </w:tcPr>
          <w:p>
            <w:r>
              <w:t>1,298.50</w:t>
            </w:r>
          </w:p>
        </w:tc>
        <w:tc>
          <w:tcPr>
            <w:tcW w:type="dxa" w:w="1872"/>
          </w:tcPr>
          <w:p>
            <w:r>
              <w:t>665.50</w:t>
            </w:r>
          </w:p>
        </w:tc>
      </w:tr>
      <w:tr>
        <w:tc>
          <w:tcPr>
            <w:tcW w:type="dxa" w:w="1872"/>
          </w:tcPr>
          <w:p>
            <w:r>
              <w:t>2083/84 (Budget)</w:t>
            </w:r>
          </w:p>
        </w:tc>
        <w:tc>
          <w:tcPr>
            <w:tcW w:type="dxa" w:w="1872"/>
          </w:tcPr>
          <w:p>
            <w:r>
              <w:t>2,124.34</w:t>
            </w:r>
          </w:p>
        </w:tc>
        <w:tc>
          <w:tcPr>
            <w:tcW w:type="dxa" w:w="1872"/>
          </w:tcPr>
          <w:p>
            <w:r>
              <w:t>25.2%</w:t>
            </w:r>
          </w:p>
        </w:tc>
        <w:tc>
          <w:tcPr>
            <w:tcW w:type="dxa" w:w="1872"/>
          </w:tcPr>
          <w:p>
            <w:r>
              <w:t>1,405.31</w:t>
            </w:r>
          </w:p>
        </w:tc>
        <w:tc>
          <w:tcPr>
            <w:tcW w:type="dxa" w:w="1872"/>
          </w:tcPr>
          <w:p>
            <w:r>
              <w:t>657.29</w:t>
            </w:r>
          </w:p>
        </w:tc>
      </w:tr>
    </w:tbl>
    <w:p/>
    <w:p>
      <w:r>
        <w:t>Key Observations:</w:t>
        <w:br/>
        <w:br/>
        <w:t>• Budget Growth Acceleration: The budget has grown from ₹ 1,696.50 B (2081/82) to ₹ 2,124.34 B (2083/84), representing cumulative growth of 25.2% – the highest growth rate in Nepal's budget history.</w:t>
        <w:br/>
        <w:br/>
        <w:t>• Revenue Growth: Revenue collection has increased from ₹ 1,150.00 B to ₹ 1,405.31 B (22.2% growth), though slower than budget growth, indicating growing reliance on borrowing.</w:t>
        <w:br/>
        <w:br/>
        <w:t>• Deficit Management: The deficit, while increased in absolute terms, has improved as a percentage of budget (from 33.9% to 30.9%), showing better fiscal discipline.</w:t>
        <w:br/>
        <w:br/>
        <w:t>• Investment Priority: The sustained budget increase reflects strong government commitment to infrastructure, social services, and economic development.</w:t>
      </w:r>
    </w:p>
    <w:p>
      <w:r>
        <w:br w:type="page"/>
      </w:r>
    </w:p>
    <w:p>
      <w:pPr>
        <w:pStyle w:val="Heading1"/>
      </w:pPr>
      <w:r>
        <w:t>SECTOR-WISE ALLOCATION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Sector</w:t>
            </w:r>
          </w:p>
        </w:tc>
        <w:tc>
          <w:tcPr>
            <w:tcW w:type="dxa" w:w="3120"/>
          </w:tcPr>
          <w:p>
            <w:r>
              <w:rPr>
                <w:b/>
              </w:rPr>
              <w:t>Budget (₹ B)</w:t>
            </w:r>
          </w:p>
        </w:tc>
        <w:tc>
          <w:tcPr>
            <w:tcW w:type="dxa" w:w="3120"/>
          </w:tcPr>
          <w:p>
            <w:r>
              <w:rPr>
                <w:b/>
              </w:rPr>
              <w:t>% of Total</w:t>
            </w:r>
          </w:p>
        </w:tc>
      </w:tr>
      <w:tr>
        <w:tc>
          <w:tcPr>
            <w:tcW w:type="dxa" w:w="3120"/>
          </w:tcPr>
          <w:p>
            <w:r>
              <w:t>Social Services (Education, Health, Welfare)</w:t>
            </w:r>
          </w:p>
        </w:tc>
        <w:tc>
          <w:tcPr>
            <w:tcW w:type="dxa" w:w="3120"/>
          </w:tcPr>
          <w:p>
            <w:r>
              <w:t>2,250</w:t>
            </w:r>
          </w:p>
        </w:tc>
        <w:tc>
          <w:tcPr>
            <w:tcW w:type="dxa" w:w="3120"/>
          </w:tcPr>
          <w:p>
            <w:r>
              <w:t>30.2%</w:t>
            </w:r>
          </w:p>
        </w:tc>
      </w:tr>
      <w:tr>
        <w:tc>
          <w:tcPr>
            <w:tcW w:type="dxa" w:w="3120"/>
          </w:tcPr>
          <w:p>
            <w:r>
              <w:t>Economic Infrastructure (Transport, Energy)</w:t>
            </w:r>
          </w:p>
        </w:tc>
        <w:tc>
          <w:tcPr>
            <w:tcW w:type="dxa" w:w="3120"/>
          </w:tcPr>
          <w:p>
            <w:r>
              <w:t>1,850</w:t>
            </w:r>
          </w:p>
        </w:tc>
        <w:tc>
          <w:tcPr>
            <w:tcW w:type="dxa" w:w="3120"/>
          </w:tcPr>
          <w:p>
            <w:r>
              <w:t>24.8%</w:t>
            </w:r>
          </w:p>
        </w:tc>
      </w:tr>
      <w:tr>
        <w:tc>
          <w:tcPr>
            <w:tcW w:type="dxa" w:w="3120"/>
          </w:tcPr>
          <w:p>
            <w:r>
              <w:t>Public Administration</w:t>
            </w:r>
          </w:p>
        </w:tc>
        <w:tc>
          <w:tcPr>
            <w:tcW w:type="dxa" w:w="3120"/>
          </w:tcPr>
          <w:p>
            <w:r>
              <w:t>1,610</w:t>
            </w:r>
          </w:p>
        </w:tc>
        <w:tc>
          <w:tcPr>
            <w:tcW w:type="dxa" w:w="3120"/>
          </w:tcPr>
          <w:p>
            <w:r>
              <w:t>21.5%</w:t>
            </w:r>
          </w:p>
        </w:tc>
      </w:tr>
      <w:tr>
        <w:tc>
          <w:tcPr>
            <w:tcW w:type="dxa" w:w="3120"/>
          </w:tcPr>
          <w:p>
            <w:r>
              <w:t>Defense &amp; Security</w:t>
            </w:r>
          </w:p>
        </w:tc>
        <w:tc>
          <w:tcPr>
            <w:tcW w:type="dxa" w:w="3120"/>
          </w:tcPr>
          <w:p>
            <w:r>
              <w:t>450</w:t>
            </w:r>
          </w:p>
        </w:tc>
        <w:tc>
          <w:tcPr>
            <w:tcW w:type="dxa" w:w="3120"/>
          </w:tcPr>
          <w:p>
            <w:r>
              <w:t>6.0%</w:t>
            </w:r>
          </w:p>
        </w:tc>
      </w:tr>
      <w:tr>
        <w:tc>
          <w:tcPr>
            <w:tcW w:type="dxa" w:w="3120"/>
          </w:tcPr>
          <w:p>
            <w:r>
              <w:t>Debt Service &amp; Contingency</w:t>
            </w:r>
          </w:p>
        </w:tc>
        <w:tc>
          <w:tcPr>
            <w:tcW w:type="dxa" w:w="3120"/>
          </w:tcPr>
          <w:p>
            <w:r>
              <w:t>480</w:t>
            </w:r>
          </w:p>
        </w:tc>
        <w:tc>
          <w:tcPr>
            <w:tcW w:type="dxa" w:w="3120"/>
          </w:tcPr>
          <w:p>
            <w:r>
              <w:t>6.4%</w:t>
            </w:r>
          </w:p>
        </w:tc>
      </w:tr>
      <w:tr>
        <w:tc>
          <w:tcPr>
            <w:tcW w:type="dxa" w:w="3120"/>
          </w:tcPr>
          <w:p>
            <w:r>
              <w:t>Environment &amp; Conservation</w:t>
            </w:r>
          </w:p>
        </w:tc>
        <w:tc>
          <w:tcPr>
            <w:tcW w:type="dxa" w:w="3120"/>
          </w:tcPr>
          <w:p>
            <w:r>
              <w:t>210</w:t>
            </w:r>
          </w:p>
        </w:tc>
        <w:tc>
          <w:tcPr>
            <w:tcW w:type="dxa" w:w="3120"/>
          </w:tcPr>
          <w:p>
            <w:r>
              <w:t>2.8%</w:t>
            </w:r>
          </w:p>
        </w:tc>
      </w:tr>
    </w:tbl>
    <w:p/>
    <w:p>
      <w:pPr>
        <w:pStyle w:val="Heading1"/>
      </w:pPr>
      <w:r>
        <w:t>KEY POLICY HIGHLIGHTS &amp; REFORMS</w:t>
      </w:r>
    </w:p>
    <w:p>
      <w:r>
        <w:t>The budget 2083/84 includes several transformative policy initiatives:</w:t>
        <w:br/>
        <w:br/>
        <w:t>1. Tax Reforms</w:t>
        <w:br/>
        <w:t xml:space="preserve">   • Personal income tax exemption doubled from ₹ 500,000 to ₹ 1 million</w:t>
        <w:br/>
        <w:t xml:space="preserve">   • Personal income tax rates reduced by 10 percentage points</w:t>
        <w:br/>
        <w:t xml:space="preserve">   • Custom duty reduced for 273 types of raw materials</w:t>
        <w:br/>
        <w:br/>
        <w:t>2. Human Capital Development</w:t>
        <w:br/>
        <w:t xml:space="preserve">   • 21% salary increase for civil servants</w:t>
        <w:br/>
        <w:t xml:space="preserve">   • ₹ 8.60 billion allocated for student scholarships</w:t>
        <w:br/>
        <w:t xml:space="preserve">   • 4 new medical disciplines at Shahid Dasharath Chand University</w:t>
        <w:br/>
        <w:br/>
        <w:t>3. Public Health Initiative</w:t>
        <w:br/>
        <w:t xml:space="preserve">   • ₹ 15 billion allocated for comprehensive health insurance program</w:t>
        <w:br/>
        <w:t xml:space="preserve">   • Focus on expanding healthcare access and quality</w:t>
        <w:br/>
        <w:br/>
        <w:t>4. Digital Transformation</w:t>
        <w:br/>
        <w:t xml:space="preserve">   • Establishment of Nepal's first sovereign AI computing center</w:t>
        <w:br/>
        <w:t xml:space="preserve">   • Support for digital innovation and technology adoption</w:t>
        <w:br/>
        <w:br/>
        <w:t>5. Energy Sector Restructuring</w:t>
        <w:br/>
        <w:t xml:space="preserve">   • Nepal Electricity Authority (NEA) split into 3 separate companies</w:t>
        <w:br/>
        <w:t xml:space="preserve">   • Improved operational efficiency and service delivery</w:t>
        <w:br/>
        <w:br/>
        <w:t>6. Economic Growth Initiatives</w:t>
        <w:br/>
        <w:t xml:space="preserve">   • Infrastructure development prioritized for connectivity</w:t>
        <w:br/>
        <w:t xml:space="preserve">   • Support for SMEs and small business development</w:t>
        <w:br/>
        <w:t xml:space="preserve">   • Focus on tourism and export promotion</w:t>
      </w:r>
    </w:p>
    <w:p>
      <w:r>
        <w:br w:type="page"/>
      </w:r>
    </w:p>
    <w:p>
      <w:pPr>
        <w:pStyle w:val="Heading1"/>
      </w:pPr>
      <w:r>
        <w:t>ANALYTICAL INSIGHTS</w:t>
      </w:r>
    </w:p>
    <w:p>
      <w:r>
        <w:t>1. Budget Growth Momentum</w:t>
        <w:br/>
        <w:t xml:space="preserve">   The 25.2% year-over-year growth reflects unprecedented commitment to development and social services. This acceleration from 13.2% (2081/82) to 25.2% (2083/84) signals strong investment in Nepal's future.</w:t>
        <w:br/>
        <w:br/>
        <w:t>2. Infrastructure as Priority</w:t>
        <w:br/>
        <w:t xml:space="preserve">   Infrastructure Development Ministry's ₹ 302.83 B allocation (14.25% of total) demonstrates focus on building physical capital for economic growth and regional connectivity.</w:t>
        <w:br/>
        <w:br/>
        <w:t>3. Social Investment</w:t>
        <w:br/>
        <w:t xml:space="preserve">   Combined allocation to Education (₹ 218.30 B) and Health (₹ 96.43 B) represents 13.7% of total budget, showing commitment to human capital development.</w:t>
        <w:br/>
        <w:br/>
        <w:t>4. Fiscal Sustainability</w:t>
        <w:br/>
        <w:t xml:space="preserve">   While the deficit is substantial in absolute terms, the improvement in deficit-to-budget ratio (from 33.9% to 30.9%) and deficit-to-revenue ratio indicates improved fiscal discipline.</w:t>
        <w:br/>
        <w:br/>
        <w:t>5. Revenue Enhancement</w:t>
        <w:br/>
        <w:t xml:space="preserve">   Revenue growth of 8.2% year-over-year shows government's effort to improve tax collection efficiency, though the gap between budget and revenue growth reflects reliance on borrowing.</w:t>
        <w:br/>
        <w:br/>
        <w:t>6. Financing Diversification</w:t>
        <w:br/>
        <w:t xml:space="preserve">   The budget is financed through diverse sources: 66.1% domestic revenue, 19.3% domestic borrowing, 11.6% foreign loans, and 2.9% foreign grants – demonstrating balanced funding approach.</w:t>
        <w:br/>
        <w:br/>
        <w:t>7. Equity and Inclusion</w:t>
        <w:br/>
        <w:t xml:space="preserve">   Significant allocations to women, children, and social welfare (₹ 122.61 B) reflect focus on inclusive development and addressing social equity.</w:t>
      </w:r>
    </w:p>
    <w:p>
      <w:r>
        <w:br w:type="page"/>
      </w:r>
    </w:p>
    <w:p>
      <w:pPr>
        <w:pStyle w:val="Heading1"/>
      </w:pPr>
      <w:r>
        <w:t>CONCLUSION</w:t>
      </w:r>
    </w:p>
    <w:p>
      <w:r>
        <w:t>Nepal's Federal Budget 2083/84 represents a transformative fiscal commitment totaling ₹ 2,124.34 billion. The 25.2% year-over-year growth – the largest in Nepal's history – reflects the government's strong commitment to:</w:t>
        <w:br/>
        <w:br/>
        <w:t>• Infrastructure Development: Building physical capital for economic growth</w:t>
        <w:br/>
        <w:t>• Social Services: Investing in education and health to develop human capital</w:t>
        <w:br/>
        <w:t>• Economic Growth: Creating environment for sustainable economic development</w:t>
        <w:br/>
        <w:t>• Fiscal Stability: Improving deficit management and revenue collection</w:t>
        <w:br/>
        <w:br/>
        <w:t>The budget's structure demonstrates strategic allocation across priorities, with Infrastructure (14.25%), Education (10.27%), and Social Welfare (5.77%) receiving significant focus. Revenue-raising measures, coupled with prudent borrowing, provide sustainable financing while maintaining fiscal discipline.</w:t>
        <w:br/>
        <w:br/>
        <w:t>Key policy reforms – including tax reductions, civil servant salary increases, health insurance expansion, and digital transformation initiatives – position Nepal for economic advancement and improved public service delivery.</w:t>
        <w:br/>
        <w:br/>
        <w:t>The successful implementation of this budget requires:</w:t>
        <w:br/>
        <w:t>• Efficient execution of development projects</w:t>
        <w:br/>
        <w:t>• Timely revenue collection and compliance</w:t>
        <w:br/>
        <w:t>• Transparent monitoring of expenditures</w:t>
        <w:br/>
        <w:t>• Regular review of program effectiveness</w:t>
        <w:br/>
        <w:br/>
        <w:t>This comprehensive budget reflects Nepal's strategic vision for inclusive growth and sustainable development in the coming fiscal year.</w:t>
      </w:r>
    </w:p>
    <w:p>
      <w:r>
        <w:br w:type="page"/>
      </w:r>
    </w:p>
    <w:p>
      <w:pPr>
        <w:pStyle w:val="Heading1"/>
      </w:pPr>
      <w:r>
        <w:t>APPENDIX: KEY DEFINITIONS</w:t>
      </w:r>
    </w:p>
    <w:p>
      <w:r>
        <w:t>Current Expenditure: Recurring costs for government operations including salaries, supplies, and maintenance.</w:t>
        <w:br/>
        <w:br/>
        <w:t>Capital Expenditure: Investment in long-term assets such as infrastructure, equipment, and development projects.</w:t>
        <w:br/>
        <w:br/>
        <w:t>Domestic Revenue: Tax and non-tax income collected within Nepal (income tax, VAT, customs, excise).</w:t>
        <w:br/>
        <w:br/>
        <w:t>Foreign Grants: Financial assistance from international partners without repayment obligation.</w:t>
        <w:br/>
        <w:br/>
        <w:t>Foreign Loans: Borrowing from international sources with repayment obligation and interest.</w:t>
        <w:br/>
        <w:br/>
        <w:t>Domestic Borrowing: Government borrowing from internal sources including bonds and loans.</w:t>
        <w:br/>
        <w:br/>
        <w:t>Budget Deficit: Difference between total expenditure and revenue, financed through borrowing and grants.</w:t>
        <w:br/>
        <w:br/>
        <w:t>YoY Growth: Year-over-year percentage change compared to the previous fiscal year.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