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26D7836E" w14:textId="77777777" w:rsidR="004C04F4" w:rsidRPr="004C04F4" w:rsidRDefault="004C04F4" w:rsidP="004C04F4">
      <w:pPr>
        <w:pStyle w:val="Title"/>
        <w:rPr>
          <w:rFonts w:cs="Times New Roman (Headings CS)"/>
          <w:color w:val="EE0000"/>
        </w:rPr>
      </w:pPr>
      <w:r w:rsidRPr="004C04F4">
        <w:rPr>
          <w:rFonts w:cs="Times New Roman (Headings CS)"/>
          <w:color w:val="EE0000"/>
        </w:rPr>
        <w:t xml:space="preserve">The </w:t>
      </w:r>
      <w:proofErr w:type="spellStart"/>
      <w:r w:rsidRPr="004C04F4">
        <w:rPr>
          <w:rFonts w:cs="Times New Roman (Headings CS)"/>
          <w:color w:val="EE0000"/>
        </w:rPr>
        <w:t>Garantex</w:t>
      </w:r>
      <w:proofErr w:type="spellEnd"/>
      <w:r w:rsidRPr="004C04F4">
        <w:rPr>
          <w:rFonts w:cs="Times New Roman (Headings CS)"/>
          <w:color w:val="EE0000"/>
        </w:rPr>
        <w:t>-to-</w:t>
      </w:r>
      <w:proofErr w:type="spellStart"/>
      <w:r w:rsidRPr="004C04F4">
        <w:rPr>
          <w:rFonts w:cs="Times New Roman (Headings CS)"/>
          <w:color w:val="EE0000"/>
        </w:rPr>
        <w:t>Grinex</w:t>
      </w:r>
      <w:proofErr w:type="spellEnd"/>
      <w:r w:rsidRPr="004C04F4">
        <w:rPr>
          <w:rFonts w:cs="Times New Roman (Headings CS)"/>
          <w:color w:val="EE0000"/>
        </w:rPr>
        <w:t xml:space="preserve"> Pivot: From Sanctions Hit to Shadow Empire</w:t>
      </w:r>
    </w:p>
    <w:p w14:paraId="2BE1612F" w14:textId="08CFD625" w:rsidR="004C04F4" w:rsidRDefault="004C04F4" w:rsidP="004C04F4">
      <w:pPr>
        <w:pStyle w:val="Subtitle"/>
      </w:pPr>
      <w:r>
        <w:t>Formal Analysis of Evolution, Scale, and Regulatory Challenges in Russia’s Crypto Evasion Strategy</w:t>
      </w:r>
    </w:p>
    <w:p w14:paraId="4B4EF83D" w14:textId="05BB9D83" w:rsidR="004C04F4" w:rsidRDefault="004C04F4" w:rsidP="004C04F4">
      <w:pPr>
        <w:pStyle w:val="Heading1"/>
      </w:pPr>
      <w:r>
        <w:t>Introduction</w:t>
      </w:r>
    </w:p>
    <w:p w14:paraId="093034E0" w14:textId="77777777" w:rsidR="004C04F4" w:rsidRDefault="004C04F4" w:rsidP="004C04F4">
      <w:r w:rsidRPr="004C04F4">
        <w:t xml:space="preserve">The transformation of </w:t>
      </w:r>
      <w:proofErr w:type="spellStart"/>
      <w:r w:rsidRPr="004C04F4">
        <w:t>Garantex</w:t>
      </w:r>
      <w:proofErr w:type="spellEnd"/>
      <w:r w:rsidRPr="004C04F4">
        <w:t xml:space="preserve">, a Moscow-based cryptocurrency exchange, in response to United States sanctions, constitutes a salient example of financial innovation under duress. Rather than capitulating in the face of decisive punitive measures, </w:t>
      </w:r>
      <w:proofErr w:type="spellStart"/>
      <w:r w:rsidRPr="004C04F4">
        <w:t>Garantex</w:t>
      </w:r>
      <w:proofErr w:type="spellEnd"/>
      <w:r w:rsidRPr="004C04F4">
        <w:t xml:space="preserve"> re-emerged as </w:t>
      </w:r>
      <w:proofErr w:type="spellStart"/>
      <w:r w:rsidRPr="004C04F4">
        <w:t>Grinex</w:t>
      </w:r>
      <w:proofErr w:type="spellEnd"/>
      <w:r w:rsidRPr="004C04F4">
        <w:t xml:space="preserve">, relocated operations to Kyrgyzstan, and introduced a </w:t>
      </w:r>
      <w:proofErr w:type="spellStart"/>
      <w:r w:rsidRPr="004C04F4">
        <w:t>ruble</w:t>
      </w:r>
      <w:proofErr w:type="spellEnd"/>
      <w:r w:rsidRPr="004C04F4">
        <w:t>-pegged stablecoin, A7A5, thereby enabling the establishment of a sophisticated parallel financial ecosystem. The following analysis examines the mechanisms, scale, and implications of this pivot—emphasising the ensuing challenges and opportunities for anti-money laundering (AML) professionals and regulatory authorities.</w:t>
      </w:r>
    </w:p>
    <w:p w14:paraId="1DB09067" w14:textId="77777777" w:rsidR="004C04F4" w:rsidRDefault="004C04F4" w:rsidP="004C04F4">
      <w:pPr>
        <w:pStyle w:val="Heading2"/>
      </w:pPr>
      <w:r>
        <w:t xml:space="preserve">Background: Sanctions and the </w:t>
      </w:r>
      <w:proofErr w:type="spellStart"/>
      <w:r>
        <w:t>Garantex</w:t>
      </w:r>
      <w:proofErr w:type="spellEnd"/>
      <w:r>
        <w:t xml:space="preserve"> Response</w:t>
      </w:r>
    </w:p>
    <w:p w14:paraId="1629468C" w14:textId="77777777" w:rsidR="004C04F4" w:rsidRDefault="004C04F4" w:rsidP="004C04F4">
      <w:r w:rsidRPr="004C04F4">
        <w:t xml:space="preserve">In April 2022, the United States Department of the Treasury imposed sanctions on </w:t>
      </w:r>
      <w:proofErr w:type="spellStart"/>
      <w:r w:rsidRPr="004C04F4">
        <w:t>Garantex</w:t>
      </w:r>
      <w:proofErr w:type="spellEnd"/>
      <w:r w:rsidRPr="004C04F4">
        <w:t xml:space="preserve"> for facilitating transactions exceeding $100 billion, including those related to ransomware schemes and darknet marketplaces. Rather than ceasing operations, </w:t>
      </w:r>
      <w:proofErr w:type="spellStart"/>
      <w:r w:rsidRPr="004C04F4">
        <w:t>Garantex</w:t>
      </w:r>
      <w:proofErr w:type="spellEnd"/>
      <w:r w:rsidRPr="004C04F4">
        <w:t xml:space="preserve"> initiated a strategic rebranding as </w:t>
      </w:r>
      <w:proofErr w:type="spellStart"/>
      <w:r w:rsidRPr="004C04F4">
        <w:t>Grinex</w:t>
      </w:r>
      <w:proofErr w:type="spellEnd"/>
      <w:r w:rsidRPr="004C04F4">
        <w:t xml:space="preserve"> in early 2025 and transferred its operational base to Kyrgyzstan. Importantly, it preserved affiliations with sanctioned Russian financial institutions, most notably the St. Petersburg Interregional Bank (</w:t>
      </w:r>
      <w:proofErr w:type="spellStart"/>
      <w:r w:rsidRPr="004C04F4">
        <w:t>SPb</w:t>
      </w:r>
      <w:proofErr w:type="spellEnd"/>
      <w:r w:rsidRPr="004C04F4">
        <w:t xml:space="preserve"> Interregional Bank), which underpins the new stablecoin A7A5 on a one-to-one basis with </w:t>
      </w:r>
      <w:proofErr w:type="spellStart"/>
      <w:r w:rsidRPr="004C04F4">
        <w:t>ruble</w:t>
      </w:r>
      <w:proofErr w:type="spellEnd"/>
      <w:r w:rsidRPr="004C04F4">
        <w:t xml:space="preserve"> accounts.</w:t>
      </w:r>
    </w:p>
    <w:p w14:paraId="65ACC127" w14:textId="77777777" w:rsidR="004C04F4" w:rsidRDefault="004C04F4" w:rsidP="004C04F4">
      <w:r w:rsidRPr="004C04F4">
        <w:t>This undertaking was not a mere stopgap measure; it constituted a significant upgrade to infrastructure, expanding the exchange’s functional scope and further entrenching its services within both illicit and mainstream financial flows in Russia and beyond.</w:t>
      </w:r>
    </w:p>
    <w:p w14:paraId="46DE2D66" w14:textId="77777777" w:rsidR="004C04F4" w:rsidRDefault="004C04F4" w:rsidP="004C04F4">
      <w:pPr>
        <w:pStyle w:val="Heading2"/>
      </w:pPr>
      <w:r>
        <w:t>Scale and Speed: The Proliferation of A7A5</w:t>
      </w:r>
    </w:p>
    <w:p w14:paraId="6CAD283C" w14:textId="19C7F8B1" w:rsidR="004C04F4" w:rsidRDefault="004C04F4" w:rsidP="004C04F4">
      <w:r w:rsidRPr="004C04F4">
        <w:t xml:space="preserve">The launch of A7A5 in June 2025 represented a pivotal development. Within a brief period, the token was processing substantial transaction volumes, culminating in a daily peak of $1 billion by July 2025, according to Elliptic data. </w:t>
      </w:r>
      <w:proofErr w:type="spellStart"/>
      <w:r w:rsidRPr="004C04F4">
        <w:t>Grinex</w:t>
      </w:r>
      <w:proofErr w:type="spellEnd"/>
      <w:r w:rsidRPr="004C04F4">
        <w:t xml:space="preserve"> enabled over $1.8 billion in swaps between A7A5 and USDT, thereby reallocating resources from </w:t>
      </w:r>
      <w:proofErr w:type="spellStart"/>
      <w:r w:rsidRPr="004C04F4">
        <w:t>Garantex’s</w:t>
      </w:r>
      <w:proofErr w:type="spellEnd"/>
      <w:r w:rsidRPr="004C04F4">
        <w:t xml:space="preserve"> previously immobilised wallets to newly established, ostensibly “clean” addresses.</w:t>
      </w:r>
    </w:p>
    <w:p w14:paraId="0B8B0DC0" w14:textId="77777777" w:rsidR="004C04F4" w:rsidRDefault="004C04F4" w:rsidP="004C04F4">
      <w:r w:rsidRPr="004C04F4">
        <w:t>This process effectively generated a “parallel settlement layer” for Russian oligarchs, ransomware operators, and darknet vendors, circumventing traditional banking mechanisms, including SWIFT. As a result, previously sanctioned entities acquired renewed capacity to move and launder funds at scale with minimal friction.</w:t>
      </w:r>
    </w:p>
    <w:p w14:paraId="7624DC46" w14:textId="77777777" w:rsidR="004C04F4" w:rsidRDefault="004C04F4" w:rsidP="004C04F4">
      <w:pPr>
        <w:pStyle w:val="Heading2"/>
      </w:pPr>
      <w:r>
        <w:t>Telegram: The Operational Backbone</w:t>
      </w:r>
    </w:p>
    <w:p w14:paraId="0E969950" w14:textId="0E126A27" w:rsidR="004C04F4" w:rsidRDefault="004C04F4" w:rsidP="004C04F4">
      <w:r w:rsidRPr="004C04F4">
        <w:t xml:space="preserve">Telegram’s encrypted channels and automated bots proved indispensable to </w:t>
      </w:r>
      <w:proofErr w:type="spellStart"/>
      <w:r w:rsidRPr="004C04F4">
        <w:t>Grinex’s</w:t>
      </w:r>
      <w:proofErr w:type="spellEnd"/>
      <w:r w:rsidRPr="004C04F4">
        <w:t xml:space="preserve"> operational resilience and adaptability. These instruments facilitated real-time onboarding—frequently circumventing comprehensive know-your-customer (KYC) protocols by employing counterfeit identification or cursory verification. Telegram bots managed client communications during law enforcement raids and directed the automation of transactional swaps, ensuring the continuity of services.</w:t>
      </w:r>
    </w:p>
    <w:p w14:paraId="7C68285D" w14:textId="20A3F54A" w:rsidR="004C04F4" w:rsidRDefault="004C04F4" w:rsidP="004C04F4">
      <w:r w:rsidRPr="004C04F4">
        <w:t xml:space="preserve">A notable incident transpired in March 2025, when Finnish and United States authorities seized $40 million. In response, </w:t>
      </w:r>
      <w:proofErr w:type="gramStart"/>
      <w:r w:rsidRPr="004C04F4">
        <w:t>Telegram</w:t>
      </w:r>
      <w:proofErr w:type="gramEnd"/>
      <w:r w:rsidRPr="004C04F4">
        <w:t xml:space="preserve"> bots rapidly directed users toward </w:t>
      </w:r>
      <w:proofErr w:type="spellStart"/>
      <w:r w:rsidRPr="004C04F4">
        <w:t>Grinex</w:t>
      </w:r>
      <w:proofErr w:type="spellEnd"/>
      <w:r w:rsidRPr="004C04F4">
        <w:t xml:space="preserve"> mirror sites, thereby restoring operations within a matter of hours. This decentralised architecture significantly reduced the efficacy of disruption attempts by authorities, as it eliminated any single point of failure.</w:t>
      </w:r>
    </w:p>
    <w:p w14:paraId="52928328" w14:textId="77777777" w:rsidR="004C04F4" w:rsidRDefault="004C04F4" w:rsidP="004C04F4">
      <w:pPr>
        <w:pStyle w:val="Heading2"/>
      </w:pPr>
      <w:r>
        <w:lastRenderedPageBreak/>
        <w:t>Expansionary Infrastructure: From Illicit to Mainstream Applications</w:t>
      </w:r>
    </w:p>
    <w:p w14:paraId="743DE4D3" w14:textId="77777777" w:rsidR="004C04F4" w:rsidRDefault="004C04F4" w:rsidP="004C04F4">
      <w:r w:rsidRPr="004C04F4">
        <w:t xml:space="preserve">The evolution of </w:t>
      </w:r>
      <w:proofErr w:type="spellStart"/>
      <w:r w:rsidRPr="004C04F4">
        <w:t>Grinex</w:t>
      </w:r>
      <w:proofErr w:type="spellEnd"/>
      <w:r w:rsidRPr="004C04F4">
        <w:t xml:space="preserve"> was not confined to ensuring survival. By the third quarter of 2025, the exchange had introduced fiat on-ramps via Russian bank cards, affording ordinary users the ability to purchase A7A5 directly. This development further obfuscated the distinction between illicit and legitimate adoption, as billions of dollars were utilised for both unlawful evasion and quotidian remittances and trade.</w:t>
      </w:r>
    </w:p>
    <w:p w14:paraId="3AB463D9" w14:textId="77777777" w:rsidR="004C04F4" w:rsidRDefault="004C04F4" w:rsidP="004C04F4">
      <w:r w:rsidRPr="004C04F4">
        <w:t xml:space="preserve">Consequently, the circumvention of sanctions became increasingly embedded within the Russian domestic economy, complicating regulatory efforts to distinguish criminal from routine financial activity. The U.S. Treasury’s August 2025 sanctions on </w:t>
      </w:r>
      <w:proofErr w:type="spellStart"/>
      <w:r w:rsidRPr="004C04F4">
        <w:t>Grinex</w:t>
      </w:r>
      <w:proofErr w:type="spellEnd"/>
      <w:r w:rsidRPr="004C04F4">
        <w:t>, A7A5, and associated entities—blocking over $100 million in ransomware proceeds—attest to the gravity of the threat. Nevertheless, experts caution that the complexity and resilience of these financial networks have advanced to such an extent that subsequent enforcement actions will be increasingly challenging.</w:t>
      </w:r>
    </w:p>
    <w:p w14:paraId="4E872E5C" w14:textId="77777777" w:rsidR="004C04F4" w:rsidRDefault="004C04F4" w:rsidP="004C04F4">
      <w:pPr>
        <w:pStyle w:val="Heading2"/>
      </w:pPr>
      <w:r>
        <w:t>Regulatory Implications and AML Lessons</w:t>
      </w:r>
    </w:p>
    <w:p w14:paraId="4274DAC7" w14:textId="77777777" w:rsidR="004C04F4" w:rsidRDefault="004C04F4" w:rsidP="004C04F4">
      <w:r w:rsidRPr="004C04F4">
        <w:t xml:space="preserve">This case exemplifies the “rebuild” phenomenon: sanctions designed to undermine illicit actors often catalyse their innovation, transforming defensive measures into strategies for expansion. For regulatory bodies, particularly those in jurisdictions such as the UAE Central Bank (CBUAE) and the Dubai International Financial Centre (DIFC), the </w:t>
      </w:r>
      <w:proofErr w:type="spellStart"/>
      <w:r w:rsidRPr="004C04F4">
        <w:t>Grinex</w:t>
      </w:r>
      <w:proofErr w:type="spellEnd"/>
      <w:r w:rsidRPr="004C04F4">
        <w:t xml:space="preserve"> case serves as a paradigm of emerging threats.</w:t>
      </w:r>
    </w:p>
    <w:p w14:paraId="4F38C97A" w14:textId="77777777" w:rsidR="004C04F4" w:rsidRDefault="004C04F4" w:rsidP="004C04F4">
      <w:r w:rsidRPr="004C04F4">
        <w:t xml:space="preserve">Stablecoins such as A7A5 may function as “off-ramps” circumventing fiat regulation, while platforms like Telegram operate as command centres for shadow financial systems. Notably, </w:t>
      </w:r>
      <w:proofErr w:type="spellStart"/>
      <w:r w:rsidRPr="004C04F4">
        <w:t>Chainalysis</w:t>
      </w:r>
      <w:proofErr w:type="spellEnd"/>
      <w:r w:rsidRPr="004C04F4">
        <w:t xml:space="preserve"> estimates that global illicit cryptocurrency flows reached $24 billion in 2025, with Russia and Eastern Europe responsible for 15% of that total. These trends emphasise the necessity for advanced monitoring systems, cross-border collaboration, and adaptive AML strategies.</w:t>
      </w:r>
    </w:p>
    <w:p w14:paraId="6A46024B" w14:textId="77777777" w:rsidR="004C04F4" w:rsidRDefault="004C04F4" w:rsidP="004C04F4">
      <w:pPr>
        <w:pStyle w:val="Heading2"/>
      </w:pPr>
      <w:r>
        <w:t>Recommendations for AML Professionals</w:t>
      </w:r>
    </w:p>
    <w:p w14:paraId="6363542B" w14:textId="77777777" w:rsidR="004C04F4" w:rsidRDefault="004C04F4" w:rsidP="004C04F4">
      <w:pPr>
        <w:pStyle w:val="ListParagraph"/>
        <w:numPr>
          <w:ilvl w:val="0"/>
          <w:numId w:val="2"/>
        </w:numPr>
      </w:pPr>
      <w:r w:rsidRPr="004C04F4">
        <w:t>Monitor Stablecoin Flows: Develop and deploy analytic tools to trace the movement and conversion of stablecoins, particularly those linked to sanctioned entities.</w:t>
      </w:r>
    </w:p>
    <w:p w14:paraId="60260A23" w14:textId="77777777" w:rsidR="004C04F4" w:rsidRDefault="004C04F4" w:rsidP="004C04F4">
      <w:pPr>
        <w:pStyle w:val="ListParagraph"/>
        <w:numPr>
          <w:ilvl w:val="0"/>
          <w:numId w:val="2"/>
        </w:numPr>
      </w:pPr>
      <w:r w:rsidRPr="004C04F4">
        <w:t>Engage with Messaging Platforms: Establish cooperative frameworks with platforms such as Telegram to identify suspicious activity and automate incident reporting.</w:t>
      </w:r>
    </w:p>
    <w:p w14:paraId="43318D25" w14:textId="77777777" w:rsidR="004C04F4" w:rsidRDefault="004C04F4" w:rsidP="004C04F4">
      <w:pPr>
        <w:pStyle w:val="ListParagraph"/>
        <w:numPr>
          <w:ilvl w:val="0"/>
          <w:numId w:val="2"/>
        </w:numPr>
      </w:pPr>
      <w:r w:rsidRPr="004C04F4">
        <w:t>Enhance KYC and Onboarding: Advocate for implementation of robust identification protocols, even within decentralised environments, to mitigate exploitation by illicit actors.</w:t>
      </w:r>
    </w:p>
    <w:p w14:paraId="5A523AB4" w14:textId="77777777" w:rsidR="004C04F4" w:rsidRDefault="004C04F4" w:rsidP="004C04F4">
      <w:pPr>
        <w:pStyle w:val="ListParagraph"/>
        <w:numPr>
          <w:ilvl w:val="0"/>
          <w:numId w:val="2"/>
        </w:numPr>
      </w:pPr>
      <w:r w:rsidRPr="004C04F4">
        <w:t>Cross-Border Collaboration: Pursue relationships with international regulatory authorities and law enforcement to facilitate intelligence sharing and coordinated enforcement actions.</w:t>
      </w:r>
    </w:p>
    <w:p w14:paraId="33172BBD" w14:textId="77777777" w:rsidR="004C04F4" w:rsidRDefault="004C04F4" w:rsidP="004C04F4">
      <w:pPr>
        <w:pStyle w:val="ListParagraph"/>
        <w:numPr>
          <w:ilvl w:val="0"/>
          <w:numId w:val="2"/>
        </w:numPr>
      </w:pPr>
      <w:r w:rsidRPr="004C04F4">
        <w:t>Public-Private Partnerships: Engage proactively with fintech firms and exchanges to remain abreast of technological developments leveraged by malicious actors.</w:t>
      </w:r>
    </w:p>
    <w:p w14:paraId="58B806F5" w14:textId="77777777" w:rsidR="004C04F4" w:rsidRDefault="004C04F4" w:rsidP="004C04F4">
      <w:pPr>
        <w:pStyle w:val="Heading2"/>
      </w:pPr>
      <w:r>
        <w:t>Conclusion</w:t>
      </w:r>
    </w:p>
    <w:p w14:paraId="6654AEB3" w14:textId="5BAEB73A" w:rsidR="004C04F4" w:rsidRPr="004C04F4" w:rsidRDefault="004C04F4" w:rsidP="004C04F4">
      <w:r w:rsidRPr="004C04F4">
        <w:t xml:space="preserve">The transition from </w:t>
      </w:r>
      <w:proofErr w:type="spellStart"/>
      <w:r w:rsidRPr="004C04F4">
        <w:t>Garantex</w:t>
      </w:r>
      <w:proofErr w:type="spellEnd"/>
      <w:r w:rsidRPr="004C04F4">
        <w:t xml:space="preserve"> to </w:t>
      </w:r>
      <w:proofErr w:type="spellStart"/>
      <w:r w:rsidRPr="004C04F4">
        <w:t>Grinex</w:t>
      </w:r>
      <w:proofErr w:type="spellEnd"/>
      <w:r w:rsidRPr="004C04F4">
        <w:t xml:space="preserve"> demonstrates the inadvertent consequences of sanctions: innovation spurred by adversity can yield more robust and elusive financial infrastructures. For AML professionals and regulatory authorities, sustained vigilance and adaptability remain essential. A deep comprehension of stablecoin mechanisms, the operational role of encrypted messaging platforms, and the evolving boundaries between illicit and legitimate activities will be indispensable in addressing emerging financial threats.</w:t>
      </w:r>
    </w:p>
    <w:p w14:paraId="6C52B13D" w14:textId="639BAD4F" w:rsidR="004C04F4" w:rsidRPr="004C04F4" w:rsidRDefault="004C04F4" w:rsidP="004C04F4"/>
    <w:sectPr w:rsidR="004C04F4" w:rsidRPr="004C04F4" w:rsidSect="004C04F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C47E4" w14:textId="77777777" w:rsidR="00E030B5" w:rsidRDefault="00E030B5" w:rsidP="004C04F4">
      <w:r>
        <w:separator/>
      </w:r>
    </w:p>
  </w:endnote>
  <w:endnote w:type="continuationSeparator" w:id="0">
    <w:p w14:paraId="4AFF6269" w14:textId="77777777" w:rsidR="00E030B5" w:rsidRDefault="00E030B5" w:rsidP="004C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29967" w14:textId="77777777" w:rsidR="004C04F4" w:rsidRDefault="004C0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90397" w14:textId="77777777" w:rsidR="004C04F4" w:rsidRDefault="004C0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3698" w14:textId="77777777" w:rsidR="004C04F4" w:rsidRDefault="004C0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BEA67" w14:textId="77777777" w:rsidR="00E030B5" w:rsidRDefault="00E030B5" w:rsidP="004C04F4">
      <w:r>
        <w:separator/>
      </w:r>
    </w:p>
  </w:footnote>
  <w:footnote w:type="continuationSeparator" w:id="0">
    <w:p w14:paraId="381030B7" w14:textId="77777777" w:rsidR="00E030B5" w:rsidRDefault="00E030B5" w:rsidP="004C0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B530" w14:textId="77777777" w:rsidR="004C04F4" w:rsidRDefault="004C0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E40D8" w14:textId="77777777" w:rsidR="004C04F4" w:rsidRDefault="004C0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C68AF" w14:textId="77777777" w:rsidR="004C04F4" w:rsidRDefault="004C0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67218"/>
    <w:multiLevelType w:val="hybridMultilevel"/>
    <w:tmpl w:val="CC6829BC"/>
    <w:lvl w:ilvl="0" w:tplc="77D6E4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2566D"/>
    <w:multiLevelType w:val="hybridMultilevel"/>
    <w:tmpl w:val="C3DA3156"/>
    <w:lvl w:ilvl="0" w:tplc="77D6E4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0330483">
    <w:abstractNumId w:val="0"/>
  </w:num>
  <w:num w:numId="2" w16cid:durableId="92483586">
    <w:abstractNumId w:val="2"/>
  </w:num>
  <w:num w:numId="3" w16cid:durableId="1475567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F4"/>
    <w:rsid w:val="004C04F4"/>
    <w:rsid w:val="009D3064"/>
    <w:rsid w:val="00E03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609E"/>
  <w15:chartTrackingRefBased/>
  <w15:docId w15:val="{90CC2AF2-12A2-C348-96BF-2FDAAFCC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F4"/>
  </w:style>
  <w:style w:type="paragraph" w:styleId="Heading1">
    <w:name w:val="heading 1"/>
    <w:basedOn w:val="Normal"/>
    <w:next w:val="Normal"/>
    <w:link w:val="Heading1Char"/>
    <w:uiPriority w:val="9"/>
    <w:qFormat/>
    <w:rsid w:val="004C04F4"/>
    <w:pPr>
      <w:pBdr>
        <w:bottom w:val="single" w:sz="12" w:space="1" w:color="B43412" w:themeColor="accent1" w:themeShade="BF"/>
      </w:pBdr>
      <w:spacing w:before="600" w:after="80"/>
      <w:ind w:firstLine="0"/>
      <w:outlineLvl w:val="0"/>
    </w:pPr>
    <w:rPr>
      <w:rFonts w:asciiTheme="majorHAnsi" w:eastAsiaTheme="majorEastAsia" w:hAnsiTheme="majorHAnsi" w:cstheme="majorBidi"/>
      <w:b/>
      <w:bCs/>
      <w:color w:val="B43412" w:themeColor="accent1" w:themeShade="BF"/>
      <w:sz w:val="24"/>
      <w:szCs w:val="24"/>
    </w:rPr>
  </w:style>
  <w:style w:type="paragraph" w:styleId="Heading2">
    <w:name w:val="heading 2"/>
    <w:basedOn w:val="Normal"/>
    <w:next w:val="Normal"/>
    <w:link w:val="Heading2Char"/>
    <w:uiPriority w:val="9"/>
    <w:unhideWhenUsed/>
    <w:qFormat/>
    <w:rsid w:val="004C04F4"/>
    <w:pPr>
      <w:pBdr>
        <w:bottom w:val="single" w:sz="8" w:space="1" w:color="E84C22" w:themeColor="accent1"/>
      </w:pBdr>
      <w:spacing w:before="200" w:after="80"/>
      <w:ind w:firstLine="0"/>
      <w:outlineLvl w:val="1"/>
    </w:pPr>
    <w:rPr>
      <w:rFonts w:asciiTheme="majorHAnsi" w:eastAsiaTheme="majorEastAsia" w:hAnsiTheme="majorHAnsi" w:cstheme="majorBidi"/>
      <w:color w:val="B43412" w:themeColor="accent1" w:themeShade="BF"/>
      <w:sz w:val="24"/>
      <w:szCs w:val="24"/>
    </w:rPr>
  </w:style>
  <w:style w:type="paragraph" w:styleId="Heading3">
    <w:name w:val="heading 3"/>
    <w:basedOn w:val="Normal"/>
    <w:next w:val="Normal"/>
    <w:link w:val="Heading3Char"/>
    <w:uiPriority w:val="9"/>
    <w:semiHidden/>
    <w:unhideWhenUsed/>
    <w:qFormat/>
    <w:rsid w:val="004C04F4"/>
    <w:pPr>
      <w:pBdr>
        <w:bottom w:val="single" w:sz="4" w:space="1" w:color="F1937A" w:themeColor="accent1" w:themeTint="99"/>
      </w:pBdr>
      <w:spacing w:before="200" w:after="80"/>
      <w:ind w:firstLine="0"/>
      <w:outlineLvl w:val="2"/>
    </w:pPr>
    <w:rPr>
      <w:rFonts w:asciiTheme="majorHAnsi" w:eastAsiaTheme="majorEastAsia" w:hAnsiTheme="majorHAnsi" w:cstheme="majorBidi"/>
      <w:color w:val="E84C22" w:themeColor="accent1"/>
      <w:sz w:val="24"/>
      <w:szCs w:val="24"/>
    </w:rPr>
  </w:style>
  <w:style w:type="paragraph" w:styleId="Heading4">
    <w:name w:val="heading 4"/>
    <w:basedOn w:val="Normal"/>
    <w:next w:val="Normal"/>
    <w:link w:val="Heading4Char"/>
    <w:uiPriority w:val="9"/>
    <w:semiHidden/>
    <w:unhideWhenUsed/>
    <w:qFormat/>
    <w:rsid w:val="004C04F4"/>
    <w:pPr>
      <w:pBdr>
        <w:bottom w:val="single" w:sz="4" w:space="2" w:color="F5B7A6" w:themeColor="accent1" w:themeTint="66"/>
      </w:pBdr>
      <w:spacing w:before="200" w:after="80"/>
      <w:ind w:firstLine="0"/>
      <w:outlineLvl w:val="3"/>
    </w:pPr>
    <w:rPr>
      <w:rFonts w:asciiTheme="majorHAnsi" w:eastAsiaTheme="majorEastAsia" w:hAnsiTheme="majorHAnsi" w:cstheme="majorBidi"/>
      <w:i/>
      <w:iCs/>
      <w:color w:val="E84C22" w:themeColor="accent1"/>
      <w:sz w:val="24"/>
      <w:szCs w:val="24"/>
    </w:rPr>
  </w:style>
  <w:style w:type="paragraph" w:styleId="Heading5">
    <w:name w:val="heading 5"/>
    <w:basedOn w:val="Normal"/>
    <w:next w:val="Normal"/>
    <w:link w:val="Heading5Char"/>
    <w:uiPriority w:val="9"/>
    <w:semiHidden/>
    <w:unhideWhenUsed/>
    <w:qFormat/>
    <w:rsid w:val="004C04F4"/>
    <w:pPr>
      <w:spacing w:before="200" w:after="80"/>
      <w:ind w:firstLine="0"/>
      <w:outlineLvl w:val="4"/>
    </w:pPr>
    <w:rPr>
      <w:rFonts w:asciiTheme="majorHAnsi" w:eastAsiaTheme="majorEastAsia" w:hAnsiTheme="majorHAnsi" w:cstheme="majorBidi"/>
      <w:color w:val="E84C22" w:themeColor="accent1"/>
    </w:rPr>
  </w:style>
  <w:style w:type="paragraph" w:styleId="Heading6">
    <w:name w:val="heading 6"/>
    <w:basedOn w:val="Normal"/>
    <w:next w:val="Normal"/>
    <w:link w:val="Heading6Char"/>
    <w:uiPriority w:val="9"/>
    <w:semiHidden/>
    <w:unhideWhenUsed/>
    <w:qFormat/>
    <w:rsid w:val="004C04F4"/>
    <w:pPr>
      <w:spacing w:before="280" w:after="100"/>
      <w:ind w:firstLine="0"/>
      <w:outlineLvl w:val="5"/>
    </w:pPr>
    <w:rPr>
      <w:rFonts w:asciiTheme="majorHAnsi" w:eastAsiaTheme="majorEastAsia" w:hAnsiTheme="majorHAnsi" w:cstheme="majorBidi"/>
      <w:i/>
      <w:iCs/>
      <w:color w:val="E84C22" w:themeColor="accent1"/>
    </w:rPr>
  </w:style>
  <w:style w:type="paragraph" w:styleId="Heading7">
    <w:name w:val="heading 7"/>
    <w:basedOn w:val="Normal"/>
    <w:next w:val="Normal"/>
    <w:link w:val="Heading7Char"/>
    <w:uiPriority w:val="9"/>
    <w:semiHidden/>
    <w:unhideWhenUsed/>
    <w:qFormat/>
    <w:rsid w:val="004C04F4"/>
    <w:pPr>
      <w:spacing w:before="320" w:after="100"/>
      <w:ind w:firstLine="0"/>
      <w:outlineLvl w:val="6"/>
    </w:pPr>
    <w:rPr>
      <w:rFonts w:asciiTheme="majorHAnsi" w:eastAsiaTheme="majorEastAsia" w:hAnsiTheme="majorHAnsi" w:cstheme="majorBidi"/>
      <w:b/>
      <w:bCs/>
      <w:color w:val="B64926" w:themeColor="accent3"/>
      <w:sz w:val="20"/>
      <w:szCs w:val="20"/>
    </w:rPr>
  </w:style>
  <w:style w:type="paragraph" w:styleId="Heading8">
    <w:name w:val="heading 8"/>
    <w:basedOn w:val="Normal"/>
    <w:next w:val="Normal"/>
    <w:link w:val="Heading8Char"/>
    <w:uiPriority w:val="9"/>
    <w:semiHidden/>
    <w:unhideWhenUsed/>
    <w:qFormat/>
    <w:rsid w:val="004C04F4"/>
    <w:pPr>
      <w:spacing w:before="320" w:after="100"/>
      <w:ind w:firstLine="0"/>
      <w:outlineLvl w:val="7"/>
    </w:pPr>
    <w:rPr>
      <w:rFonts w:asciiTheme="majorHAnsi" w:eastAsiaTheme="majorEastAsia" w:hAnsiTheme="majorHAnsi" w:cstheme="majorBidi"/>
      <w:b/>
      <w:bCs/>
      <w:i/>
      <w:iCs/>
      <w:color w:val="B64926" w:themeColor="accent3"/>
      <w:sz w:val="20"/>
      <w:szCs w:val="20"/>
    </w:rPr>
  </w:style>
  <w:style w:type="paragraph" w:styleId="Heading9">
    <w:name w:val="heading 9"/>
    <w:basedOn w:val="Normal"/>
    <w:next w:val="Normal"/>
    <w:link w:val="Heading9Char"/>
    <w:uiPriority w:val="9"/>
    <w:semiHidden/>
    <w:unhideWhenUsed/>
    <w:qFormat/>
    <w:rsid w:val="004C04F4"/>
    <w:pPr>
      <w:spacing w:before="320" w:after="100"/>
      <w:ind w:firstLine="0"/>
      <w:outlineLvl w:val="8"/>
    </w:pPr>
    <w:rPr>
      <w:rFonts w:asciiTheme="majorHAnsi" w:eastAsiaTheme="majorEastAsia" w:hAnsiTheme="majorHAnsi" w:cstheme="majorBidi"/>
      <w:i/>
      <w:iCs/>
      <w:color w:val="B64926"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F4"/>
    <w:rPr>
      <w:rFonts w:asciiTheme="majorHAnsi" w:eastAsiaTheme="majorEastAsia" w:hAnsiTheme="majorHAnsi" w:cstheme="majorBidi"/>
      <w:b/>
      <w:bCs/>
      <w:color w:val="B43412" w:themeColor="accent1" w:themeShade="BF"/>
      <w:sz w:val="24"/>
      <w:szCs w:val="24"/>
    </w:rPr>
  </w:style>
  <w:style w:type="character" w:customStyle="1" w:styleId="Heading2Char">
    <w:name w:val="Heading 2 Char"/>
    <w:basedOn w:val="DefaultParagraphFont"/>
    <w:link w:val="Heading2"/>
    <w:uiPriority w:val="9"/>
    <w:rsid w:val="004C04F4"/>
    <w:rPr>
      <w:rFonts w:asciiTheme="majorHAnsi" w:eastAsiaTheme="majorEastAsia" w:hAnsiTheme="majorHAnsi" w:cstheme="majorBidi"/>
      <w:color w:val="B43412" w:themeColor="accent1" w:themeShade="BF"/>
      <w:sz w:val="24"/>
      <w:szCs w:val="24"/>
    </w:rPr>
  </w:style>
  <w:style w:type="character" w:customStyle="1" w:styleId="Heading3Char">
    <w:name w:val="Heading 3 Char"/>
    <w:basedOn w:val="DefaultParagraphFont"/>
    <w:link w:val="Heading3"/>
    <w:uiPriority w:val="9"/>
    <w:semiHidden/>
    <w:rsid w:val="004C04F4"/>
    <w:rPr>
      <w:rFonts w:asciiTheme="majorHAnsi" w:eastAsiaTheme="majorEastAsia" w:hAnsiTheme="majorHAnsi" w:cstheme="majorBidi"/>
      <w:color w:val="E84C22" w:themeColor="accent1"/>
      <w:sz w:val="24"/>
      <w:szCs w:val="24"/>
    </w:rPr>
  </w:style>
  <w:style w:type="character" w:customStyle="1" w:styleId="Heading4Char">
    <w:name w:val="Heading 4 Char"/>
    <w:basedOn w:val="DefaultParagraphFont"/>
    <w:link w:val="Heading4"/>
    <w:uiPriority w:val="9"/>
    <w:semiHidden/>
    <w:rsid w:val="004C04F4"/>
    <w:rPr>
      <w:rFonts w:asciiTheme="majorHAnsi" w:eastAsiaTheme="majorEastAsia" w:hAnsiTheme="majorHAnsi" w:cstheme="majorBidi"/>
      <w:i/>
      <w:iCs/>
      <w:color w:val="E84C22" w:themeColor="accent1"/>
      <w:sz w:val="24"/>
      <w:szCs w:val="24"/>
    </w:rPr>
  </w:style>
  <w:style w:type="character" w:customStyle="1" w:styleId="Heading5Char">
    <w:name w:val="Heading 5 Char"/>
    <w:basedOn w:val="DefaultParagraphFont"/>
    <w:link w:val="Heading5"/>
    <w:uiPriority w:val="9"/>
    <w:semiHidden/>
    <w:rsid w:val="004C04F4"/>
    <w:rPr>
      <w:rFonts w:asciiTheme="majorHAnsi" w:eastAsiaTheme="majorEastAsia" w:hAnsiTheme="majorHAnsi" w:cstheme="majorBidi"/>
      <w:color w:val="E84C22" w:themeColor="accent1"/>
    </w:rPr>
  </w:style>
  <w:style w:type="character" w:customStyle="1" w:styleId="Heading6Char">
    <w:name w:val="Heading 6 Char"/>
    <w:basedOn w:val="DefaultParagraphFont"/>
    <w:link w:val="Heading6"/>
    <w:uiPriority w:val="9"/>
    <w:semiHidden/>
    <w:rsid w:val="004C04F4"/>
    <w:rPr>
      <w:rFonts w:asciiTheme="majorHAnsi" w:eastAsiaTheme="majorEastAsia" w:hAnsiTheme="majorHAnsi" w:cstheme="majorBidi"/>
      <w:i/>
      <w:iCs/>
      <w:color w:val="E84C22" w:themeColor="accent1"/>
    </w:rPr>
  </w:style>
  <w:style w:type="character" w:customStyle="1" w:styleId="Heading7Char">
    <w:name w:val="Heading 7 Char"/>
    <w:basedOn w:val="DefaultParagraphFont"/>
    <w:link w:val="Heading7"/>
    <w:uiPriority w:val="9"/>
    <w:semiHidden/>
    <w:rsid w:val="004C04F4"/>
    <w:rPr>
      <w:rFonts w:asciiTheme="majorHAnsi" w:eastAsiaTheme="majorEastAsia" w:hAnsiTheme="majorHAnsi" w:cstheme="majorBidi"/>
      <w:b/>
      <w:bCs/>
      <w:color w:val="B64926" w:themeColor="accent3"/>
      <w:sz w:val="20"/>
      <w:szCs w:val="20"/>
    </w:rPr>
  </w:style>
  <w:style w:type="character" w:customStyle="1" w:styleId="Heading8Char">
    <w:name w:val="Heading 8 Char"/>
    <w:basedOn w:val="DefaultParagraphFont"/>
    <w:link w:val="Heading8"/>
    <w:uiPriority w:val="9"/>
    <w:semiHidden/>
    <w:rsid w:val="004C04F4"/>
    <w:rPr>
      <w:rFonts w:asciiTheme="majorHAnsi" w:eastAsiaTheme="majorEastAsia" w:hAnsiTheme="majorHAnsi" w:cstheme="majorBidi"/>
      <w:b/>
      <w:bCs/>
      <w:i/>
      <w:iCs/>
      <w:color w:val="B64926" w:themeColor="accent3"/>
      <w:sz w:val="20"/>
      <w:szCs w:val="20"/>
    </w:rPr>
  </w:style>
  <w:style w:type="character" w:customStyle="1" w:styleId="Heading9Char">
    <w:name w:val="Heading 9 Char"/>
    <w:basedOn w:val="DefaultParagraphFont"/>
    <w:link w:val="Heading9"/>
    <w:uiPriority w:val="9"/>
    <w:semiHidden/>
    <w:rsid w:val="004C04F4"/>
    <w:rPr>
      <w:rFonts w:asciiTheme="majorHAnsi" w:eastAsiaTheme="majorEastAsia" w:hAnsiTheme="majorHAnsi" w:cstheme="majorBidi"/>
      <w:i/>
      <w:iCs/>
      <w:color w:val="B64926" w:themeColor="accent3"/>
      <w:sz w:val="20"/>
      <w:szCs w:val="20"/>
    </w:rPr>
  </w:style>
  <w:style w:type="paragraph" w:styleId="Title">
    <w:name w:val="Title"/>
    <w:basedOn w:val="Normal"/>
    <w:next w:val="Normal"/>
    <w:link w:val="TitleChar"/>
    <w:uiPriority w:val="10"/>
    <w:qFormat/>
    <w:rsid w:val="004C04F4"/>
    <w:pPr>
      <w:pBdr>
        <w:top w:val="single" w:sz="8" w:space="10" w:color="F3A590" w:themeColor="accent1" w:themeTint="7F"/>
        <w:bottom w:val="single" w:sz="24" w:space="15" w:color="B64926" w:themeColor="accent3"/>
      </w:pBdr>
      <w:ind w:firstLine="0"/>
      <w:jc w:val="center"/>
    </w:pPr>
    <w:rPr>
      <w:rFonts w:asciiTheme="majorHAnsi" w:eastAsiaTheme="majorEastAsia" w:hAnsiTheme="majorHAnsi" w:cstheme="majorBidi"/>
      <w:i/>
      <w:iCs/>
      <w:color w:val="77230C" w:themeColor="accent1" w:themeShade="7F"/>
      <w:sz w:val="60"/>
      <w:szCs w:val="60"/>
    </w:rPr>
  </w:style>
  <w:style w:type="character" w:customStyle="1" w:styleId="TitleChar">
    <w:name w:val="Title Char"/>
    <w:basedOn w:val="DefaultParagraphFont"/>
    <w:link w:val="Title"/>
    <w:uiPriority w:val="10"/>
    <w:rsid w:val="004C04F4"/>
    <w:rPr>
      <w:rFonts w:asciiTheme="majorHAnsi" w:eastAsiaTheme="majorEastAsia" w:hAnsiTheme="majorHAnsi" w:cstheme="majorBidi"/>
      <w:i/>
      <w:iCs/>
      <w:color w:val="77230C" w:themeColor="accent1" w:themeShade="7F"/>
      <w:sz w:val="60"/>
      <w:szCs w:val="60"/>
    </w:rPr>
  </w:style>
  <w:style w:type="paragraph" w:styleId="Subtitle">
    <w:name w:val="Subtitle"/>
    <w:basedOn w:val="Normal"/>
    <w:next w:val="Normal"/>
    <w:link w:val="SubtitleChar"/>
    <w:uiPriority w:val="11"/>
    <w:qFormat/>
    <w:rsid w:val="004C04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C04F4"/>
    <w:rPr>
      <w:i/>
      <w:iCs/>
      <w:sz w:val="24"/>
      <w:szCs w:val="24"/>
    </w:rPr>
  </w:style>
  <w:style w:type="paragraph" w:styleId="Quote">
    <w:name w:val="Quote"/>
    <w:basedOn w:val="Normal"/>
    <w:next w:val="Normal"/>
    <w:link w:val="QuoteChar"/>
    <w:uiPriority w:val="29"/>
    <w:qFormat/>
    <w:rsid w:val="004C04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04F4"/>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4C04F4"/>
    <w:pPr>
      <w:ind w:left="720"/>
      <w:contextualSpacing/>
    </w:pPr>
  </w:style>
  <w:style w:type="character" w:styleId="IntenseEmphasis">
    <w:name w:val="Intense Emphasis"/>
    <w:uiPriority w:val="21"/>
    <w:qFormat/>
    <w:rsid w:val="004C04F4"/>
    <w:rPr>
      <w:b/>
      <w:bCs/>
      <w:i/>
      <w:iCs/>
      <w:color w:val="E84C22" w:themeColor="accent1"/>
      <w:sz w:val="22"/>
      <w:szCs w:val="22"/>
    </w:rPr>
  </w:style>
  <w:style w:type="paragraph" w:styleId="IntenseQuote">
    <w:name w:val="Intense Quote"/>
    <w:basedOn w:val="Normal"/>
    <w:next w:val="Normal"/>
    <w:link w:val="IntenseQuoteChar"/>
    <w:uiPriority w:val="30"/>
    <w:qFormat/>
    <w:rsid w:val="004C04F4"/>
    <w:pPr>
      <w:pBdr>
        <w:top w:val="single" w:sz="12" w:space="10" w:color="F5B7A6" w:themeColor="accent1" w:themeTint="66"/>
        <w:left w:val="single" w:sz="36" w:space="4" w:color="E84C22" w:themeColor="accent1"/>
        <w:bottom w:val="single" w:sz="24" w:space="10" w:color="B64926" w:themeColor="accent3"/>
        <w:right w:val="single" w:sz="36" w:space="4" w:color="E84C22" w:themeColor="accent1"/>
      </w:pBdr>
      <w:shd w:val="clear" w:color="auto" w:fill="E84C2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C04F4"/>
    <w:rPr>
      <w:rFonts w:asciiTheme="majorHAnsi" w:eastAsiaTheme="majorEastAsia" w:hAnsiTheme="majorHAnsi" w:cstheme="majorBidi"/>
      <w:i/>
      <w:iCs/>
      <w:color w:val="FFFFFF" w:themeColor="background1"/>
      <w:sz w:val="24"/>
      <w:szCs w:val="24"/>
      <w:shd w:val="clear" w:color="auto" w:fill="E84C22" w:themeFill="accent1"/>
    </w:rPr>
  </w:style>
  <w:style w:type="character" w:styleId="IntenseReference">
    <w:name w:val="Intense Reference"/>
    <w:basedOn w:val="DefaultParagraphFont"/>
    <w:uiPriority w:val="32"/>
    <w:qFormat/>
    <w:rsid w:val="004C04F4"/>
    <w:rPr>
      <w:b/>
      <w:bCs/>
      <w:color w:val="88361C" w:themeColor="accent3" w:themeShade="BF"/>
      <w:u w:val="single" w:color="B64926" w:themeColor="accent3"/>
    </w:rPr>
  </w:style>
  <w:style w:type="paragraph" w:styleId="Caption">
    <w:name w:val="caption"/>
    <w:basedOn w:val="Normal"/>
    <w:next w:val="Normal"/>
    <w:uiPriority w:val="35"/>
    <w:semiHidden/>
    <w:unhideWhenUsed/>
    <w:qFormat/>
    <w:rsid w:val="004C04F4"/>
    <w:rPr>
      <w:b/>
      <w:bCs/>
      <w:sz w:val="18"/>
      <w:szCs w:val="18"/>
    </w:rPr>
  </w:style>
  <w:style w:type="character" w:styleId="Strong">
    <w:name w:val="Strong"/>
    <w:basedOn w:val="DefaultParagraphFont"/>
    <w:uiPriority w:val="22"/>
    <w:qFormat/>
    <w:rsid w:val="004C04F4"/>
    <w:rPr>
      <w:b/>
      <w:bCs/>
      <w:spacing w:val="0"/>
    </w:rPr>
  </w:style>
  <w:style w:type="character" w:styleId="Emphasis">
    <w:name w:val="Emphasis"/>
    <w:uiPriority w:val="20"/>
    <w:qFormat/>
    <w:rsid w:val="004C04F4"/>
    <w:rPr>
      <w:b/>
      <w:bCs/>
      <w:i/>
      <w:iCs/>
      <w:color w:val="5A5A5A" w:themeColor="text1" w:themeTint="A5"/>
    </w:rPr>
  </w:style>
  <w:style w:type="paragraph" w:styleId="NoSpacing">
    <w:name w:val="No Spacing"/>
    <w:basedOn w:val="Normal"/>
    <w:link w:val="NoSpacingChar"/>
    <w:uiPriority w:val="1"/>
    <w:qFormat/>
    <w:rsid w:val="004C04F4"/>
    <w:pPr>
      <w:ind w:firstLine="0"/>
    </w:pPr>
  </w:style>
  <w:style w:type="character" w:styleId="SubtleEmphasis">
    <w:name w:val="Subtle Emphasis"/>
    <w:uiPriority w:val="19"/>
    <w:qFormat/>
    <w:rsid w:val="004C04F4"/>
    <w:rPr>
      <w:i/>
      <w:iCs/>
      <w:color w:val="5A5A5A" w:themeColor="text1" w:themeTint="A5"/>
    </w:rPr>
  </w:style>
  <w:style w:type="character" w:styleId="SubtleReference">
    <w:name w:val="Subtle Reference"/>
    <w:uiPriority w:val="31"/>
    <w:qFormat/>
    <w:rsid w:val="004C04F4"/>
    <w:rPr>
      <w:color w:val="auto"/>
      <w:u w:val="single" w:color="B64926" w:themeColor="accent3"/>
    </w:rPr>
  </w:style>
  <w:style w:type="character" w:styleId="BookTitle">
    <w:name w:val="Book Title"/>
    <w:basedOn w:val="DefaultParagraphFont"/>
    <w:uiPriority w:val="33"/>
    <w:qFormat/>
    <w:rsid w:val="004C04F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04F4"/>
    <w:pPr>
      <w:outlineLvl w:val="9"/>
    </w:pPr>
  </w:style>
  <w:style w:type="character" w:customStyle="1" w:styleId="NoSpacingChar">
    <w:name w:val="No Spacing Char"/>
    <w:basedOn w:val="DefaultParagraphFont"/>
    <w:link w:val="NoSpacing"/>
    <w:uiPriority w:val="1"/>
    <w:rsid w:val="004C04F4"/>
  </w:style>
  <w:style w:type="paragraph" w:customStyle="1" w:styleId="PersonalName">
    <w:name w:val="Personal Name"/>
    <w:basedOn w:val="Title"/>
    <w:rsid w:val="004C04F4"/>
    <w:rPr>
      <w:b/>
      <w:caps/>
      <w:color w:val="000000"/>
      <w:sz w:val="28"/>
      <w:szCs w:val="28"/>
    </w:rPr>
  </w:style>
  <w:style w:type="paragraph" w:styleId="Header">
    <w:name w:val="header"/>
    <w:basedOn w:val="Normal"/>
    <w:link w:val="HeaderChar"/>
    <w:uiPriority w:val="99"/>
    <w:unhideWhenUsed/>
    <w:rsid w:val="004C04F4"/>
    <w:pPr>
      <w:tabs>
        <w:tab w:val="center" w:pos="4513"/>
        <w:tab w:val="right" w:pos="9026"/>
      </w:tabs>
    </w:pPr>
  </w:style>
  <w:style w:type="character" w:customStyle="1" w:styleId="HeaderChar">
    <w:name w:val="Header Char"/>
    <w:basedOn w:val="DefaultParagraphFont"/>
    <w:link w:val="Header"/>
    <w:uiPriority w:val="99"/>
    <w:rsid w:val="004C04F4"/>
  </w:style>
  <w:style w:type="paragraph" w:styleId="Footer">
    <w:name w:val="footer"/>
    <w:basedOn w:val="Normal"/>
    <w:link w:val="FooterChar"/>
    <w:uiPriority w:val="99"/>
    <w:unhideWhenUsed/>
    <w:rsid w:val="004C04F4"/>
    <w:pPr>
      <w:tabs>
        <w:tab w:val="center" w:pos="4513"/>
        <w:tab w:val="right" w:pos="9026"/>
      </w:tabs>
    </w:pPr>
  </w:style>
  <w:style w:type="character" w:customStyle="1" w:styleId="FooterChar">
    <w:name w:val="Footer Char"/>
    <w:basedOn w:val="DefaultParagraphFont"/>
    <w:link w:val="Footer"/>
    <w:uiPriority w:val="99"/>
    <w:rsid w:val="004C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720FC-FBBE-3841-B07A-E8333BA5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 Itsawsome✝️</dc:creator>
  <cp:keywords/>
  <dc:description/>
  <cp:lastModifiedBy>Life Itsawsome✝️</cp:lastModifiedBy>
  <cp:revision>1</cp:revision>
  <dcterms:created xsi:type="dcterms:W3CDTF">2025-10-01T11:21:00Z</dcterms:created>
  <dcterms:modified xsi:type="dcterms:W3CDTF">2025-10-01T11:33:00Z</dcterms:modified>
</cp:coreProperties>
</file>