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mallCaps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mallCaps w:val="1"/>
          <w:color w:val="0d0d0d"/>
          <w:sz w:val="22"/>
          <w:szCs w:val="22"/>
        </w:rPr>
      </w:pPr>
      <w:r w:rsidDel="00000000" w:rsidR="00000000" w:rsidRPr="00000000">
        <w:rPr>
          <w:smallCaps w:val="1"/>
          <w:color w:val="0d0d0d"/>
          <w:sz w:val="22"/>
          <w:szCs w:val="22"/>
          <w:rtl w:val="0"/>
        </w:rPr>
        <w:t xml:space="preserve">Консультант 1С</w:t>
      </w:r>
    </w:p>
    <w:p w:rsidR="00000000" w:rsidDel="00000000" w:rsidP="00000000" w:rsidRDefault="00000000" w:rsidRPr="00000000" w14:paraId="00000003">
      <w:pPr>
        <w:jc w:val="center"/>
        <w:rPr>
          <w:smallCaps w:val="1"/>
          <w:color w:val="0d0d0d"/>
          <w:sz w:val="22"/>
          <w:szCs w:val="22"/>
        </w:rPr>
      </w:pPr>
      <w:r w:rsidDel="00000000" w:rsidR="00000000" w:rsidRPr="00000000">
        <w:rPr>
          <w:smallCaps w:val="1"/>
          <w:color w:val="0d0d0d"/>
          <w:sz w:val="22"/>
          <w:szCs w:val="22"/>
          <w:rtl w:val="0"/>
        </w:rPr>
        <w:t xml:space="preserve">Софья Субботина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mallCaps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Опыт работы с ИС и основные показатели квалификации:</w:t>
      </w:r>
    </w:p>
    <w:tbl>
      <w:tblPr>
        <w:tblStyle w:val="Table1"/>
        <w:tblW w:w="9764.0" w:type="dxa"/>
        <w:jc w:val="left"/>
        <w:tbl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color="b3cc82" w:space="0" w:sz="8" w:val="single"/>
        </w:tblBorders>
        <w:tblLayout w:type="fixed"/>
        <w:tblLook w:val="0400"/>
      </w:tblPr>
      <w:tblGrid>
        <w:gridCol w:w="4805"/>
        <w:gridCol w:w="4959"/>
        <w:tblGridChange w:id="0">
          <w:tblGrid>
            <w:gridCol w:w="4805"/>
            <w:gridCol w:w="4959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tcBorders>
              <w:top w:color="b3cc82" w:space="0" w:sz="8" w:val="single"/>
              <w:left w:color="b3cc82" w:space="0" w:sz="8" w:val="single"/>
              <w:bottom w:color="b3cc82" w:space="0" w:sz="8" w:val="single"/>
              <w:right w:color="000000" w:space="0" w:sz="0" w:val="nil"/>
            </w:tcBorders>
            <w:shd w:fill="9bbb59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Название системы</w:t>
            </w:r>
          </w:p>
        </w:tc>
        <w:tc>
          <w:tcPr>
            <w:tcBorders>
              <w:top w:color="b3cc82" w:space="0" w:sz="8" w:val="single"/>
              <w:left w:color="000000" w:space="0" w:sz="0" w:val="nil"/>
              <w:bottom w:color="b3cc82" w:space="0" w:sz="8" w:val="single"/>
              <w:right w:color="b3cc82" w:space="0" w:sz="8" w:val="single"/>
            </w:tcBorders>
            <w:shd w:fill="9bbb59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Опыт работы с системой 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1С: Предприятие 8.3 Управление торговлей</w:t>
            </w:r>
          </w:p>
        </w:tc>
        <w:tc>
          <w:tcPr>
            <w:tcBorders>
              <w:lef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1 год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Собственный продукт компании на базе ERP</w:t>
            </w:r>
          </w:p>
        </w:tc>
        <w:tc>
          <w:tcPr>
            <w:tcBorders>
              <w:lef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2 года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Участие в проектах:</w:t>
      </w:r>
    </w:p>
    <w:tbl>
      <w:tblPr>
        <w:tblStyle w:val="Table2"/>
        <w:tblW w:w="97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114"/>
        <w:gridCol w:w="1559"/>
        <w:gridCol w:w="3900"/>
        <w:tblGridChange w:id="0">
          <w:tblGrid>
            <w:gridCol w:w="1134"/>
            <w:gridCol w:w="3114"/>
            <w:gridCol w:w="1559"/>
            <w:gridCol w:w="39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9bbb59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Период проекта</w:t>
            </w:r>
          </w:p>
        </w:tc>
        <w:tc>
          <w:tcPr>
            <w:shd w:fill="9bbb59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Наименование проекта</w:t>
            </w:r>
          </w:p>
        </w:tc>
        <w:tc>
          <w:tcPr>
            <w:shd w:fill="9bbb59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9bbb59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Выполняемые работы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eaf1dd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Сентябрь 2022 – по настоящее время</w:t>
            </w:r>
          </w:p>
        </w:tc>
        <w:tc>
          <w:tcPr>
            <w:shd w:fill="eaf1dd" w:val="clear"/>
          </w:tcPr>
          <w:p w:rsidR="00000000" w:rsidDel="00000000" w:rsidP="00000000" w:rsidRDefault="00000000" w:rsidRPr="00000000" w14:paraId="00000013">
            <w:pPr>
              <w:spacing w:before="3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 “1С: Управление торговлей” для автоматизации унифицированных торгово-логистических бизнес-процессов единого торгового дома “Комос”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Консультант-аналитик 1С</w:t>
            </w:r>
          </w:p>
        </w:tc>
        <w:tc>
          <w:tcPr>
            <w:shd w:fill="eaf1dd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Ознакомление с бизнес-процессами клиентам.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Сбор требований к учетной системе.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 сценариев работы системы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Проведение проектных совещаний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Запуск интеграции с Интернет-магазином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Запуск интеграции с конфигурацией 1С СТ-мобайл.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Написание инструкций по разработанному функционалу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Обучение пользователей (работа продолжается)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5"/>
              </w:tabs>
              <w:spacing w:after="0" w:before="0" w:line="276" w:lineRule="auto"/>
              <w:ind w:left="181" w:right="0" w:firstLine="0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Май 2022 - Ноябрь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3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АО “Тульский молочный комбинат”. Производственный учет цельномолочной продукции.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709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Моделирование функционала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 сценариев работы системы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Сбор </w:t>
            </w:r>
            <w:r w:rsidDel="00000000" w:rsidR="00000000" w:rsidRPr="00000000">
              <w:rPr>
                <w:b w:val="0"/>
                <w:rtl w:val="0"/>
              </w:rPr>
              <w:t xml:space="preserve">уточняющих</w:t>
            </w:r>
            <w:r w:rsidDel="00000000" w:rsidR="00000000" w:rsidRPr="00000000">
              <w:rPr>
                <w:b w:val="0"/>
                <w:rtl w:val="0"/>
              </w:rPr>
              <w:t xml:space="preserve"> требований для подготовки макета системы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Демонстрация работы функционала бизнес-заказчику.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Закрытие этапа проекта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5"/>
              </w:tabs>
              <w:spacing w:after="0" w:before="0" w:line="240" w:lineRule="auto"/>
              <w:ind w:left="181" w:right="0" w:firstLine="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65"/>
              </w:tabs>
              <w:ind w:left="18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Февраль 2022 - Март 2022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2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Работы по передачи веса маркируемой продукции в ГИС “Честный знак”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 функциональных требований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Тестирование доработок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09" w:hanging="36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Сдача результатов работ клиенту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Январь 2022 - Май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ООО “Орел”. Проект по интеграции с SCADA-системой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Анализ бизнес-требований к учетной системе для интеграции со SCADA-системой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Моделирование функционала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Показ функционала клиенту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Написание инструкций по разработанному функционалу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Промышленный запуск функционала и обучение пользователей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Составление документации о старте и завершении работ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Сдача результатов работ клиенту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92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7832031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Декабрь 2021 - Январь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3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ООО “НМ Ингредиенты”. Производственный учет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"/>
                <w:tab w:val="left" w:leader="none" w:pos="465"/>
              </w:tabs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Подключение к запуску функционала маркировки сыров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Самостоятельное обучение пользователей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Анализ ошибок в работе функционала, 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Поддержка работы пользователей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Октябрь 2021 - Ноябрь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ООО “Орел”. Проект по автоматизации отгрузок готовой продукции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Составление технического задания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Тестирование доработок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Написание инструкций по функционалу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Настройка оборудования для работы: ТСД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Промышленный запуск функционала и обучение пользователей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Составление документации о старте и завершении работ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Сдача работ клиенту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65"/>
              </w:tabs>
              <w:ind w:left="323" w:hanging="14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Июль 2021 - Декабрь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3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АО “Княгининское молоко”. Настройка интеграции с ГИС “Честный знак”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Моделирование функционала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</w:t>
            </w:r>
            <w:r w:rsidDel="00000000" w:rsidR="00000000" w:rsidRPr="00000000">
              <w:rPr>
                <w:b w:val="0"/>
                <w:rtl w:val="0"/>
              </w:rPr>
              <w:t xml:space="preserve">GiLab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Настройка интеграции 1С с оборудованием GPS (global printing system)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Самостоятельная настройка интеграции с ГИС “Меркурий” и ГИС “Честный знак”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Написание инструкций по разработанному функционалу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Настройка оборудования для работы с маркировкой: сканеры, принтеры, ТСД.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Промышленный запуск функционала и обучение пользователей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Составление документации о старте и завершении работ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Сдача работ клиенту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tabs>
                <w:tab w:val="left" w:leader="none" w:pos="465"/>
              </w:tabs>
              <w:ind w:left="323" w:hanging="14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Март 2021 - Март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3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Порховский МСЗ. Настройка интеграции с ГИС “Честный знак”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Консультант-аналитик 1С</w:t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Обучение правилам интеграции 1С с ГИС “Честный знак” и работе с документацией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Тестирование небольших задач по функционалу маркировки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Настройка интеграции 1С с ГИС “Меркурий” и ГИС “Честный знак”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Проведение показа клиенту по интеграциям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Написание инструкций по функционалу маркировки и интеграции с ГИС “Меркурий” и ГИС “Честный знак”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Помощь в настройке системы и промышленном запуске функционала на предприятии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Самостоятельный сбор поставок обновления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Самостоятельное обновление рабочей базы клиента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Самостоятельный промышленный запуск функционала по 2 этапу работу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Самостоятельное обучение пользователей работе с системой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Поддержка работы системы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Обработка запросов клиента на дополнительные доработки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line="276" w:lineRule="auto"/>
              <w:ind w:left="709" w:hanging="36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Постановка задач в GitLab и передача оценки трудозатрат клиенту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92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Карта знаний:</w:t>
      </w:r>
    </w:p>
    <w:tbl>
      <w:tblPr>
        <w:tblStyle w:val="Table3"/>
        <w:tblW w:w="9771.0" w:type="dxa"/>
        <w:jc w:val="left"/>
        <w:tbl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color="b3cc82" w:space="0" w:sz="8" w:val="single"/>
        </w:tblBorders>
        <w:tblLayout w:type="fixed"/>
        <w:tblLook w:val="0400"/>
      </w:tblPr>
      <w:tblGrid>
        <w:gridCol w:w="2595"/>
        <w:gridCol w:w="7176"/>
        <w:tblGridChange w:id="0">
          <w:tblGrid>
            <w:gridCol w:w="2595"/>
            <w:gridCol w:w="7176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tcBorders>
              <w:top w:color="b3cc82" w:space="0" w:sz="8" w:val="single"/>
              <w:left w:color="b3cc82" w:space="0" w:sz="8" w:val="single"/>
              <w:bottom w:color="b3cc82" w:space="0" w:sz="8" w:val="single"/>
              <w:right w:color="000000" w:space="0" w:sz="0" w:val="nil"/>
            </w:tcBorders>
            <w:shd w:fill="9bbb59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Область</w:t>
            </w:r>
          </w:p>
        </w:tc>
        <w:tc>
          <w:tcPr>
            <w:tcBorders>
              <w:top w:color="b3cc82" w:space="0" w:sz="8" w:val="single"/>
              <w:left w:color="000000" w:space="0" w:sz="0" w:val="nil"/>
              <w:bottom w:color="b3cc82" w:space="0" w:sz="8" w:val="single"/>
              <w:right w:color="b3cc82" w:space="0" w:sz="8" w:val="single"/>
            </w:tcBorders>
            <w:shd w:fill="9bbb59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Умения и опыт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tcBorders>
              <w:righ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Платформы и технологии</w:t>
            </w:r>
          </w:p>
        </w:tc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1С: Предприятие 8.3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О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перативный учет, производственный учет.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" w:hRule="atLeast"/>
          <w:tblHeader w:val="0"/>
        </w:trPr>
        <w:tc>
          <w:tcPr>
            <w:tcBorders>
              <w:bottom w:color="b3cc8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Конфигурации</w:t>
            </w:r>
          </w:p>
        </w:tc>
        <w:tc>
          <w:tcPr>
            <w:tcBorders>
              <w:left w:color="000000" w:space="0" w:sz="0" w:val="nil"/>
              <w:bottom w:color="b3cc82" w:space="0" w:sz="8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3"/>
              </w:tabs>
              <w:spacing w:after="0" w:before="0" w:line="240" w:lineRule="auto"/>
              <w:ind w:left="0" w:right="0" w:firstLine="0"/>
              <w:jc w:val="both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1С: Управление торговлей 11</w:t>
            </w:r>
          </w:p>
          <w:p w:rsidR="00000000" w:rsidDel="00000000" w:rsidP="00000000" w:rsidRDefault="00000000" w:rsidRPr="00000000" w14:paraId="00000083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Собственный продукт компании на базе ERP. Блок Производства.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b3cc82" w:space="0" w:sz="8" w:val="single"/>
              <w:righ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Выделенные методологические знания</w:t>
            </w:r>
          </w:p>
        </w:tc>
        <w:tc>
          <w:tcPr>
            <w:tcBorders>
              <w:left w:color="000000" w:space="0" w:sz="0" w:val="nil"/>
              <w:bottom w:color="b3cc82" w:space="0" w:sz="8" w:val="single"/>
            </w:tcBorders>
            <w:shd w:fill="e2efd9" w:val="clea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Опыт настройки, автоматизации оперативного и производственного учета;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u w:val="no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Опыт настройки интеграций с другими информационными системами;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u w:val="no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Опыт настройки интеграций с производственным оборудованием;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u w:val="no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Опыт сбора требований к учетной системе;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Опыт консультирования пользователей;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35" w:hanging="360"/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Опыт проведения переговоров, презентаций;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rPr>
          <w:rFonts w:ascii="Arial" w:cs="Arial" w:eastAsia="Arial" w:hAnsi="Arial"/>
          <w:b w:val="1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Образование:</w:t>
      </w:r>
    </w:p>
    <w:tbl>
      <w:tblPr>
        <w:tblStyle w:val="Table4"/>
        <w:tblW w:w="9771.0" w:type="dxa"/>
        <w:jc w:val="left"/>
        <w:tbl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color="b3cc82" w:space="0" w:sz="8" w:val="single"/>
        </w:tblBorders>
        <w:tblLayout w:type="fixed"/>
        <w:tblLook w:val="0000"/>
      </w:tblPr>
      <w:tblGrid>
        <w:gridCol w:w="2518"/>
        <w:gridCol w:w="7253"/>
        <w:tblGridChange w:id="0">
          <w:tblGrid>
            <w:gridCol w:w="2518"/>
            <w:gridCol w:w="7253"/>
          </w:tblGrid>
        </w:tblGridChange>
      </w:tblGrid>
      <w:tr>
        <w:trPr>
          <w:cantSplit w:val="0"/>
          <w:trHeight w:val="549.9609375" w:hRule="atLeast"/>
          <w:tblHeader w:val="0"/>
        </w:trPr>
        <w:tc>
          <w:tcPr>
            <w:tcBorders>
              <w:top w:color="b3cc82" w:space="0" w:sz="8" w:val="single"/>
              <w:left w:color="b3cc82" w:space="0" w:sz="8" w:val="single"/>
              <w:bottom w:color="b3cc82" w:space="0" w:sz="8" w:val="single"/>
              <w:right w:color="000000" w:space="0" w:sz="0" w:val="nil"/>
            </w:tcBorders>
            <w:shd w:fill="9bbb59" w:val="clear"/>
          </w:tcPr>
          <w:p w:rsidR="00000000" w:rsidDel="00000000" w:rsidP="00000000" w:rsidRDefault="00000000" w:rsidRPr="00000000" w14:paraId="00000091">
            <w:pPr>
              <w:keepNext w:val="1"/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Годы обучения</w:t>
            </w:r>
          </w:p>
        </w:tc>
        <w:tc>
          <w:tcPr>
            <w:tcBorders>
              <w:top w:color="b3cc82" w:space="0" w:sz="8" w:val="single"/>
              <w:left w:color="000000" w:space="0" w:sz="0" w:val="nil"/>
              <w:bottom w:color="b3cc82" w:space="0" w:sz="8" w:val="single"/>
              <w:right w:color="b3cc82" w:space="0" w:sz="8" w:val="single"/>
            </w:tcBorders>
            <w:shd w:fill="9bbb59" w:val="clear"/>
          </w:tcPr>
          <w:p w:rsidR="00000000" w:rsidDel="00000000" w:rsidP="00000000" w:rsidRDefault="00000000" w:rsidRPr="00000000" w14:paraId="00000092">
            <w:pPr>
              <w:keepNext w:val="1"/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Наименование учебного заведения (город)</w:t>
            </w:r>
          </w:p>
          <w:p w:rsidR="00000000" w:rsidDel="00000000" w:rsidP="00000000" w:rsidRDefault="00000000" w:rsidRPr="00000000" w14:paraId="00000093">
            <w:pPr>
              <w:keepNext w:val="1"/>
              <w:rPr>
                <w:rFonts w:ascii="Arial" w:cs="Arial" w:eastAsia="Arial" w:hAnsi="Arial"/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Полученная специальность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b3cc82" w:space="0" w:sz="6" w:val="single"/>
              <w:left w:color="b3cc82" w:space="0" w:sz="8" w:val="single"/>
              <w:bottom w:color="b3cc8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- 20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3cc82" w:space="0" w:sz="6" w:val="single"/>
              <w:left w:color="000000" w:space="0" w:sz="0" w:val="nil"/>
              <w:bottom w:color="b3cc82" w:space="0" w:sz="8" w:val="single"/>
              <w:right w:color="b3cc82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Национальный исследовательский университет Высшая школа экономики, факультет Бизнес-информатика, г. Нижний Новгород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b3cc82" w:space="0" w:sz="6" w:val="single"/>
              <w:left w:color="b3cc82" w:space="0" w:sz="8" w:val="single"/>
              <w:bottom w:color="b3cc8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2023-2025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3cc82" w:space="0" w:sz="6" w:val="single"/>
              <w:left w:color="000000" w:space="0" w:sz="0" w:val="nil"/>
              <w:bottom w:color="b3cc82" w:space="0" w:sz="8" w:val="single"/>
              <w:right w:color="b3cc82" w:space="0" w:sz="8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Национальный исследовательский университет Высшая школа экономики, магистерская программа Управление развитием компании,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г. Нижний Новгород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647" w:left="1701" w:right="1416" w:header="36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2520.0" w:type="dxa"/>
      <w:jc w:val="left"/>
      <w:tblInd w:w="7404.0" w:type="dxa"/>
      <w:tblLayout w:type="fixed"/>
      <w:tblLook w:val="0000"/>
    </w:tblPr>
    <w:tblGrid>
      <w:gridCol w:w="2520"/>
      <w:tblGridChange w:id="0">
        <w:tblGrid>
          <w:gridCol w:w="2520"/>
        </w:tblGrid>
      </w:tblGridChange>
    </w:tblGrid>
    <w:tr>
      <w:trPr>
        <w:cantSplit w:val="1"/>
        <w:trHeight w:val="3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spacing w:after="120" w:before="120" w:lineRule="auto"/>
      <w:jc w:val="center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