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513" w:rsidRPr="00AE46C4" w:rsidRDefault="00B43513" w:rsidP="00B43513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Занятие № </w:t>
      </w:r>
      <w:r w:rsidRPr="00AE46C4">
        <w:rPr>
          <w:b/>
          <w:color w:val="000000"/>
          <w:sz w:val="32"/>
          <w:szCs w:val="32"/>
        </w:rPr>
        <w:t>8</w:t>
      </w:r>
    </w:p>
    <w:p w:rsidR="00B43513" w:rsidRDefault="00B43513" w:rsidP="00B43513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П-16.</w:t>
      </w:r>
    </w:p>
    <w:p w:rsidR="00B43513" w:rsidRDefault="00B43513" w:rsidP="00B43513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Новалихина</w:t>
      </w:r>
      <w:proofErr w:type="spellEnd"/>
      <w:r>
        <w:rPr>
          <w:color w:val="000000"/>
          <w:sz w:val="28"/>
          <w:szCs w:val="28"/>
        </w:rPr>
        <w:t xml:space="preserve"> С. К.</w:t>
      </w:r>
    </w:p>
    <w:p w:rsidR="00B43513" w:rsidRDefault="00B43513" w:rsidP="00B43513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 xml:space="preserve"> 16.11.2022.</w:t>
      </w:r>
    </w:p>
    <w:p w:rsidR="00B43513" w:rsidRDefault="00B43513" w:rsidP="00B43513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«Разработка концептуальной модели базы данных»</w:t>
      </w:r>
    </w:p>
    <w:p w:rsidR="00B43513" w:rsidRDefault="00B43513" w:rsidP="00B43513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46C4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модели «сущность-связь» в нотации </w:t>
      </w:r>
      <w:proofErr w:type="spellStart"/>
      <w:r w:rsidRPr="00AE46C4">
        <w:rPr>
          <w:rFonts w:ascii="Times New Roman" w:hAnsi="Times New Roman" w:cs="Times New Roman"/>
          <w:color w:val="000000"/>
          <w:sz w:val="28"/>
          <w:szCs w:val="28"/>
        </w:rPr>
        <w:t>Баркера</w:t>
      </w:r>
      <w:proofErr w:type="spellEnd"/>
      <w:r w:rsidRPr="00AE46C4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современных CASE технологий.</w:t>
      </w:r>
    </w:p>
    <w:p w:rsidR="00B43513" w:rsidRDefault="00B43513" w:rsidP="00B43513">
      <w:pPr>
        <w:shd w:val="clear" w:color="auto" w:fill="FFFFFF"/>
        <w:tabs>
          <w:tab w:val="left" w:pos="993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B43513" w:rsidRDefault="00B43513" w:rsidP="00B4351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1</w:t>
      </w:r>
    </w:p>
    <w:p w:rsidR="00B43513" w:rsidRDefault="00B43513" w:rsidP="00B4351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C195A">
        <w:rPr>
          <w:rFonts w:ascii="Times New Roman" w:hAnsi="Times New Roman" w:cs="Times New Roman"/>
          <w:color w:val="000000"/>
          <w:sz w:val="28"/>
          <w:szCs w:val="28"/>
        </w:rPr>
        <w:t xml:space="preserve">Изучить теоретический материал по работе в программе </w:t>
      </w:r>
      <w:proofErr w:type="spellStart"/>
      <w:r w:rsidRPr="004C195A">
        <w:rPr>
          <w:rFonts w:ascii="Times New Roman" w:hAnsi="Times New Roman" w:cs="Times New Roman"/>
          <w:color w:val="000000"/>
          <w:sz w:val="28"/>
          <w:szCs w:val="28"/>
        </w:rPr>
        <w:t>Dia</w:t>
      </w:r>
      <w:proofErr w:type="spellEnd"/>
      <w:r w:rsidRPr="004C195A">
        <w:rPr>
          <w:rFonts w:ascii="Times New Roman" w:hAnsi="Times New Roman" w:cs="Times New Roman"/>
          <w:color w:val="000000"/>
          <w:sz w:val="28"/>
          <w:szCs w:val="28"/>
        </w:rPr>
        <w:t xml:space="preserve"> для создания декомпозиции функциональных диаграмм. Описать в отчете работу с программой. Описать элементы используемые при создании модели сущность-связь в нотации </w:t>
      </w:r>
      <w:proofErr w:type="spellStart"/>
      <w:r w:rsidRPr="004C195A">
        <w:rPr>
          <w:rFonts w:ascii="Times New Roman" w:hAnsi="Times New Roman" w:cs="Times New Roman"/>
          <w:color w:val="000000"/>
          <w:sz w:val="28"/>
          <w:szCs w:val="28"/>
        </w:rPr>
        <w:t>Баркера</w:t>
      </w:r>
      <w:proofErr w:type="spellEnd"/>
      <w:r w:rsidRPr="004C195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43513" w:rsidRDefault="00B43513" w:rsidP="00B4351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19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бесплатный редактор для создания диаграмм и схем. Коммерческим аналогом этой программы является продукт компании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Visio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 помощью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 создание многих видов структурированных диаграмм и схем, в том числе: - блок-схемы; - диаграммы UML; - сетевые диаграммы; - ER-диаграммы (проектирование баз данных); - упрощенные схемы электрических цепей и другие. В программе поддерживается множество языков и региональных стандартов, среди прочих есть русский и украинский.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экспортировать данные в более чем 25 форматов векторной и растровой графики, в том числе векторные SVG, DXF, FIG, VDX (MS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Visio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PDF и растровые рисунки BMP, GIF, JPG, PNG, TIF. «Родной» формат программы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Native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Diagram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(DIA). Интерфейс 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простой, создать диаграмму достаточно просто даже пользователю, впервые работающему с программой. До версии 0.97 панель инструментов и рабочая область располагаются в отдельных окнах. Это так называемый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однодокументный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 (CSDI). При работе с несколькими файлами для каждого открывается отдельное окно, а панель инструментов в этом случае постоянно находится поверх остальных окон. Поначалу это непривычно, но в процессе использования оказывается вполне удобно.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на выбор пользователя большой набор геометрических фигур, библиотеку клипартов, электрические схемы, пиктограммы по компьютерным сетям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Cisco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кибернетические, гидравлические, логические и многие другие символы. Среди доступных возможностей можно выделить рисование кривых Безье, поддержку слоев, поиск элементов схемы, введение новых символов,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определяемых в XML-файлах с помощью подмножества тегов SVG для изображения фигур, загрузка и сохранение диаграммы в своем XML-формате.</w:t>
      </w:r>
    </w:p>
    <w:p w:rsidR="00B43513" w:rsidRDefault="00B43513" w:rsidP="00B43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Нотация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Баркера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Сущности обозначаются прямоугольниками, внутри которых приводится список атрибутов. Ключевые атрибуты отмечаются символом # (решетка). Связи обозначаются линиями с именами, место соединения связи и сущности определяет кардинальность связи:</w:t>
      </w:r>
    </w:p>
    <w:tbl>
      <w:tblPr>
        <w:tblW w:w="0" w:type="auto"/>
        <w:jc w:val="center"/>
        <w:tblCellSpacing w:w="15" w:type="dxa"/>
        <w:tblLook w:val="04A0" w:firstRow="1" w:lastRow="0" w:firstColumn="1" w:lastColumn="0" w:noHBand="0" w:noVBand="1"/>
      </w:tblPr>
      <w:tblGrid>
        <w:gridCol w:w="2511"/>
        <w:gridCol w:w="2195"/>
      </w:tblGrid>
      <w:tr w:rsidR="00B43513" w:rsidTr="00CE4284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3513" w:rsidRDefault="00B43513" w:rsidP="00CE4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Обозначение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3513" w:rsidRDefault="00B43513" w:rsidP="00CE4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Кардинальность</w:t>
            </w:r>
          </w:p>
        </w:tc>
      </w:tr>
      <w:tr w:rsidR="00B43513" w:rsidTr="00CE4284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3513" w:rsidRDefault="00B43513" w:rsidP="00C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 wp14:anchorId="618578B9" wp14:editId="58753875">
                  <wp:extent cx="1546860" cy="198120"/>
                  <wp:effectExtent l="0" t="0" r="0" b="0"/>
                  <wp:docPr id="7" name="Рисунок 7" descr="http://www.mstu.edu.ru/study/materials/zelenkov/image16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http://www.mstu.edu.ru/study/materials/zelenkov/image16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8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3513" w:rsidRDefault="00B43513" w:rsidP="00C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0,1</w:t>
            </w:r>
          </w:p>
        </w:tc>
      </w:tr>
      <w:tr w:rsidR="00B43513" w:rsidTr="00CE4284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3513" w:rsidRDefault="00B43513" w:rsidP="00C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 wp14:anchorId="2403C5E2" wp14:editId="3FCB3FBA">
                  <wp:extent cx="1447800" cy="297180"/>
                  <wp:effectExtent l="0" t="0" r="0" b="0"/>
                  <wp:docPr id="6" name="Рисунок 6" descr="http://www.mstu.edu.ru/study/materials/zelenkov/image1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http://www.mstu.edu.ru/study/materials/zelenkov/image14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3513" w:rsidRDefault="00B43513" w:rsidP="00C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1,1</w:t>
            </w:r>
          </w:p>
        </w:tc>
      </w:tr>
      <w:tr w:rsidR="00B43513" w:rsidTr="00CE4284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3513" w:rsidRDefault="00B43513" w:rsidP="00C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 wp14:anchorId="73588720" wp14:editId="2644DE8C">
                  <wp:extent cx="1447800" cy="381000"/>
                  <wp:effectExtent l="0" t="0" r="0" b="0"/>
                  <wp:docPr id="5" name="Рисунок 5" descr="http://www.mstu.edu.ru/study/materials/zelenkov/image16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://www.mstu.edu.ru/study/materials/zelenkov/image16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3513" w:rsidRDefault="00B43513" w:rsidP="00C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0,N</w:t>
            </w:r>
          </w:p>
        </w:tc>
      </w:tr>
      <w:tr w:rsidR="00B43513" w:rsidTr="00CE4284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3513" w:rsidRDefault="00B43513" w:rsidP="00C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 wp14:anchorId="3B1A6784" wp14:editId="7F0217CE">
                  <wp:extent cx="1447800" cy="373380"/>
                  <wp:effectExtent l="0" t="0" r="0" b="0"/>
                  <wp:docPr id="4" name="Рисунок 4" descr="http://www.mstu.edu.ru/study/materials/zelenkov/image16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http://www.mstu.edu.ru/study/materials/zelenkov/image16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3513" w:rsidRDefault="00B43513" w:rsidP="00C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1,N</w:t>
            </w:r>
          </w:p>
        </w:tc>
      </w:tr>
    </w:tbl>
    <w:p w:rsidR="00B43513" w:rsidRDefault="00B43513" w:rsidP="00B43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Пример:</w:t>
      </w:r>
    </w:p>
    <w:p w:rsidR="00B43513" w:rsidRDefault="00B43513" w:rsidP="00B435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E582669" wp14:editId="66C64543">
            <wp:extent cx="3695700" cy="1097280"/>
            <wp:effectExtent l="0" t="0" r="0" b="0"/>
            <wp:docPr id="3" name="Рисунок 3" descr="http://www.mstu.edu.ru/study/materials/zelenkov/image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www.mstu.edu.ru/study/materials/zelenkov/image7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513" w:rsidRDefault="00B43513" w:rsidP="00B43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обозначения отношения категоризации вводится элемент "дуга":</w:t>
      </w:r>
    </w:p>
    <w:p w:rsidR="00B43513" w:rsidRDefault="00B43513" w:rsidP="00B435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F5C013E" wp14:editId="67A8828F">
            <wp:extent cx="4229100" cy="2543175"/>
            <wp:effectExtent l="0" t="0" r="0" b="0"/>
            <wp:docPr id="2" name="Рисунок 2" descr="http://www.mstu.edu.ru/study/materials/zelenkov/image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www.mstu.edu.ru/study/materials/zelenkov/image7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2_4_4"/>
      <w:bookmarkEnd w:id="0"/>
    </w:p>
    <w:p w:rsidR="00B43513" w:rsidRDefault="00B43513" w:rsidP="00B4351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43513" w:rsidRDefault="00B43513" w:rsidP="00B4351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2</w:t>
      </w:r>
    </w:p>
    <w:p w:rsidR="00B43513" w:rsidRDefault="00B43513" w:rsidP="00B4351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4193">
        <w:rPr>
          <w:rFonts w:ascii="Times New Roman" w:hAnsi="Times New Roman" w:cs="Times New Roman"/>
          <w:color w:val="000000"/>
          <w:sz w:val="28"/>
          <w:szCs w:val="28"/>
        </w:rPr>
        <w:t>На основании созданной информационной модели (занятие 7) созда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8E4193">
        <w:rPr>
          <w:rFonts w:ascii="Times New Roman" w:hAnsi="Times New Roman" w:cs="Times New Roman"/>
          <w:color w:val="000000"/>
          <w:sz w:val="28"/>
          <w:szCs w:val="28"/>
        </w:rPr>
        <w:t xml:space="preserve"> модель «сущность-связь» в нотации </w:t>
      </w:r>
      <w:proofErr w:type="spellStart"/>
      <w:r w:rsidRPr="008E4193">
        <w:rPr>
          <w:rFonts w:ascii="Times New Roman" w:hAnsi="Times New Roman" w:cs="Times New Roman"/>
          <w:color w:val="000000"/>
          <w:sz w:val="28"/>
          <w:szCs w:val="28"/>
        </w:rPr>
        <w:t>Баркера</w:t>
      </w:r>
      <w:proofErr w:type="spellEnd"/>
      <w:r w:rsidRPr="008E4193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конструктора </w:t>
      </w:r>
      <w:proofErr w:type="spellStart"/>
      <w:r w:rsidRPr="008E4193">
        <w:rPr>
          <w:rFonts w:ascii="Times New Roman" w:hAnsi="Times New Roman" w:cs="Times New Roman"/>
          <w:color w:val="000000"/>
          <w:sz w:val="28"/>
          <w:szCs w:val="28"/>
        </w:rPr>
        <w:t>Dia</w:t>
      </w:r>
      <w:proofErr w:type="spellEnd"/>
      <w:r w:rsidRPr="008E419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43513" w:rsidRPr="008E4193" w:rsidRDefault="001D03B2" w:rsidP="00B4351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930C6E7" wp14:editId="7EA08516">
            <wp:extent cx="5940425" cy="3373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43513" w:rsidRPr="008E4193" w:rsidRDefault="00B43513" w:rsidP="00B4351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3</w:t>
      </w:r>
    </w:p>
    <w:p w:rsidR="00B43513" w:rsidRPr="006860F7" w:rsidRDefault="00B43513" w:rsidP="00B43513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E4193">
        <w:rPr>
          <w:rFonts w:ascii="Times New Roman" w:hAnsi="Times New Roman" w:cs="Times New Roman"/>
          <w:bCs/>
          <w:color w:val="000000"/>
          <w:sz w:val="28"/>
          <w:szCs w:val="28"/>
        </w:rPr>
        <w:t>Ответил на контрольные вопросы</w:t>
      </w:r>
      <w:r w:rsidRPr="006860F7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B43513" w:rsidRDefault="00B43513" w:rsidP="00B43513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Case</w:t>
      </w:r>
      <w:proofErr w:type="spellEnd"/>
      <w:r>
        <w:rPr>
          <w:color w:val="000000" w:themeColor="text1"/>
          <w:sz w:val="28"/>
          <w:szCs w:val="28"/>
        </w:rPr>
        <w:t xml:space="preserve">-средства. </w:t>
      </w:r>
      <w:proofErr w:type="spellStart"/>
      <w:r>
        <w:rPr>
          <w:color w:val="000000" w:themeColor="text1"/>
          <w:sz w:val="28"/>
          <w:szCs w:val="28"/>
        </w:rPr>
        <w:t>ERwin</w:t>
      </w:r>
      <w:proofErr w:type="spellEnd"/>
      <w:r>
        <w:rPr>
          <w:color w:val="000000" w:themeColor="text1"/>
          <w:sz w:val="28"/>
          <w:szCs w:val="28"/>
        </w:rPr>
        <w:t>. Его функции и задачи.</w:t>
      </w:r>
    </w:p>
    <w:p w:rsidR="00B43513" w:rsidRDefault="00B43513" w:rsidP="00B435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Процесс построения информационной модели состоит из следующих шагов:</w:t>
      </w:r>
    </w:p>
    <w:p w:rsidR="00B43513" w:rsidRDefault="00B43513" w:rsidP="00B4351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определение сущностей;</w:t>
      </w:r>
    </w:p>
    <w:p w:rsidR="00B43513" w:rsidRDefault="00B43513" w:rsidP="00B4351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определение зависимостей между сущностями;</w:t>
      </w:r>
    </w:p>
    <w:p w:rsidR="00B43513" w:rsidRDefault="00B43513" w:rsidP="00B4351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задание первичных и альтернативных ключей;</w:t>
      </w:r>
    </w:p>
    <w:p w:rsidR="00B43513" w:rsidRDefault="00B43513" w:rsidP="00B4351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определение атрибутов сущностей;</w:t>
      </w:r>
    </w:p>
    <w:p w:rsidR="00B43513" w:rsidRDefault="00B43513" w:rsidP="00B4351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приведение модели к требуемому уровню нормальной формы;</w:t>
      </w:r>
    </w:p>
    <w:p w:rsidR="00B43513" w:rsidRDefault="00B43513" w:rsidP="00B4351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переход к физическому описанию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модели:назначение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соответствий имя сущности - имя таблицы, атрибут сущности - атрибут таблицы; задание триггеров, процедур и ограничений;</w:t>
      </w:r>
    </w:p>
    <w:p w:rsidR="00B43513" w:rsidRDefault="00B43513" w:rsidP="00B4351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генерация базы данных.</w:t>
      </w:r>
    </w:p>
    <w:p w:rsidR="00B43513" w:rsidRDefault="00B43513" w:rsidP="00B435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ERwin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создает визуальное представление (модель данных) для решаемой задачи. Это представление может использоваться для детального анализа, уточнения и распространения как части документации, необходимой в цикле разработки. Однако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ERwin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далеко не только инструмент для рисования.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ERwin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автоматически создает базу данных (таблицы, индексы, хранимые процедуры, триггеры для обеспечения ссылочной целостности и другие объекты, необходимые для управления данными).</w:t>
      </w:r>
    </w:p>
    <w:p w:rsidR="00B43513" w:rsidRDefault="00B43513" w:rsidP="00B43513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Методология IDEF1X.</w:t>
      </w:r>
    </w:p>
    <w:p w:rsidR="00B43513" w:rsidRDefault="00B43513" w:rsidP="00B43513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IDEF1X является методом для разработки реляционных баз данных и использует условный синтаксис, специально разработанный для удобного построения концептуальной схемы. 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Концептуальной схемой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 мы называем </w:t>
      </w:r>
      <w:r>
        <w:rPr>
          <w:color w:val="000000" w:themeColor="text1"/>
          <w:sz w:val="28"/>
          <w:szCs w:val="28"/>
          <w:shd w:val="clear" w:color="auto" w:fill="FFFFFF"/>
        </w:rPr>
        <w:lastRenderedPageBreak/>
        <w:t>универсальное представление структуры данных в рамках коммерческого предприятия, независимое от конечной реализации базы данных и аппаратной платформы. Будучи статическим методом разработки, IDEF1X изначально не предназначен для динамического анализа по принципу "AS IS", тем не менее, он иногда применяется в этом качестве, как альтернатива методу IDEF1. Использование метода IDEF1X наиболее целесообразно для построения логической структуры базы данных после того, как все информационные ресурсы исследованы (скажем с помощью метода IDEF1) и решение о внедрении реляционной базы данных, как части корпоративной информационной системы, было принято. Однако не стоит забывать, что средства моделирования IDEF1X специально разработаны для построения реляционных информационных систем, и если существует необходимость проектирования другой системы, скажем объектно-ориентированной, то лучше избрать другие методы моделирования.</w:t>
      </w:r>
    </w:p>
    <w:p w:rsidR="00B43513" w:rsidRDefault="00B43513" w:rsidP="00B43513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Идентификация сущностей. Сущности в </w:t>
      </w:r>
      <w:proofErr w:type="spellStart"/>
      <w:r>
        <w:rPr>
          <w:color w:val="000000" w:themeColor="text1"/>
          <w:sz w:val="28"/>
          <w:szCs w:val="28"/>
        </w:rPr>
        <w:t>ERwin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B43513" w:rsidRDefault="00B43513" w:rsidP="00B43513">
      <w:pPr>
        <w:shd w:val="clear" w:color="auto" w:fill="FFFFFF"/>
        <w:spacing w:before="100" w:beforeAutospacing="1" w:after="21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диаграмме сущность изображается прямоугольником. В зависимости от режима представления диаграммы прямоугольник может содержать имя сущности, ее описание, список ее атрибутов и другие сведения. Для внесения сущности в модель необходимо (убедившись предварительно, что Вы находитесь на уровне логической модели - переключателем между логической и физической моделью служит раскрывающийся список в правой части панели инструментов) нажать на кнопку сущности на панели инструментов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ERwin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Toolbox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затем нажать на то место на диаграмме, где Вы хотите расположить новую сущность. Нажав правую кнопку мыши по сущности и выбрав из всплывающего меню пункт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Editor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можно вызвать диалог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Editor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 котором определяются имя, описание и комментарии сущности.</w:t>
      </w:r>
    </w:p>
    <w:p w:rsidR="00B43513" w:rsidRDefault="00B43513" w:rsidP="00B43513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Связи в </w:t>
      </w:r>
      <w:proofErr w:type="spellStart"/>
      <w:r>
        <w:rPr>
          <w:color w:val="000000" w:themeColor="text1"/>
          <w:sz w:val="28"/>
          <w:szCs w:val="28"/>
        </w:rPr>
        <w:t>ERwin</w:t>
      </w:r>
      <w:proofErr w:type="spellEnd"/>
      <w:r>
        <w:rPr>
          <w:color w:val="000000" w:themeColor="text1"/>
          <w:sz w:val="28"/>
          <w:szCs w:val="28"/>
        </w:rPr>
        <w:t>. Классификация связей.</w:t>
      </w:r>
    </w:p>
    <w:p w:rsidR="00B43513" w:rsidRDefault="00B43513" w:rsidP="00B43513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На </w:t>
      </w:r>
      <w:proofErr w:type="spellStart"/>
      <w:r>
        <w:rPr>
          <w:bCs/>
          <w:color w:val="000000" w:themeColor="text1"/>
          <w:sz w:val="28"/>
          <w:szCs w:val="28"/>
          <w:shd w:val="clear" w:color="auto" w:fill="FFFFFF"/>
        </w:rPr>
        <w:t>ERwin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Toolbox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есть пять типов 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связей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: идентифицирующая,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неидентифицирующая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, полный кластер подтипов, неполный кластер подтипов, неопределенная (</w:t>
      </w:r>
      <w:proofErr w:type="spellStart"/>
      <w:proofErr w:type="gramStart"/>
      <w:r>
        <w:rPr>
          <w:bCs/>
          <w:color w:val="000000" w:themeColor="text1"/>
          <w:sz w:val="28"/>
          <w:szCs w:val="28"/>
          <w:shd w:val="clear" w:color="auto" w:fill="FFFFFF"/>
        </w:rPr>
        <w:t>связь</w:t>
      </w:r>
      <w:r>
        <w:rPr>
          <w:color w:val="000000" w:themeColor="text1"/>
          <w:sz w:val="28"/>
          <w:szCs w:val="28"/>
          <w:shd w:val="clear" w:color="auto" w:fill="FFFFFF"/>
        </w:rPr>
        <w:t>”многие</w:t>
      </w:r>
      <w:proofErr w:type="spellEnd"/>
      <w:proofErr w:type="gramEnd"/>
      <w:r>
        <w:rPr>
          <w:color w:val="000000" w:themeColor="text1"/>
          <w:sz w:val="28"/>
          <w:szCs w:val="28"/>
          <w:shd w:val="clear" w:color="auto" w:fill="FFFFFF"/>
        </w:rPr>
        <w:t>-ко-многим”). Идентифицирующая 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связь</w:t>
      </w:r>
      <w:r>
        <w:rPr>
          <w:color w:val="000000" w:themeColor="text1"/>
          <w:sz w:val="28"/>
          <w:szCs w:val="28"/>
          <w:shd w:val="clear" w:color="auto" w:fill="FFFFFF"/>
        </w:rPr>
        <w:t> - такая 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связь</w:t>
      </w:r>
      <w:r>
        <w:rPr>
          <w:color w:val="000000" w:themeColor="text1"/>
          <w:sz w:val="28"/>
          <w:szCs w:val="28"/>
          <w:shd w:val="clear" w:color="auto" w:fill="FFFFFF"/>
        </w:rPr>
        <w:t>, при которой экземпляр дочерней сущности идентифицируется через свою ассоциацию с родительской сущностью.</w:t>
      </w:r>
    </w:p>
    <w:p w:rsidR="00B43513" w:rsidRDefault="00B43513" w:rsidP="00B43513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Атрибуты в </w:t>
      </w:r>
      <w:proofErr w:type="spellStart"/>
      <w:r>
        <w:rPr>
          <w:color w:val="000000" w:themeColor="text1"/>
          <w:sz w:val="28"/>
          <w:szCs w:val="28"/>
        </w:rPr>
        <w:t>ERwin</w:t>
      </w:r>
      <w:proofErr w:type="spellEnd"/>
      <w:r>
        <w:rPr>
          <w:color w:val="000000" w:themeColor="text1"/>
          <w:sz w:val="28"/>
          <w:szCs w:val="28"/>
        </w:rPr>
        <w:t>. Классификация атрибутов</w:t>
      </w:r>
    </w:p>
    <w:p w:rsidR="00B43513" w:rsidRDefault="00B43513" w:rsidP="00B43513">
      <w:pPr>
        <w:pStyle w:val="a3"/>
        <w:rPr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Entity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Editor</w:t>
      </w:r>
      <w:proofErr w:type="spellEnd"/>
      <w:r>
        <w:rPr>
          <w:color w:val="000000" w:themeColor="text1"/>
          <w:sz w:val="28"/>
          <w:szCs w:val="28"/>
        </w:rPr>
        <w:t> в контекстном меню для сущности позволяет определить имя, описание, комментарии, иконку. Для описания атрибутов сущности выбирается пункт </w:t>
      </w:r>
      <w:proofErr w:type="spellStart"/>
      <w:r>
        <w:rPr>
          <w:bCs/>
          <w:color w:val="000000" w:themeColor="text1"/>
          <w:sz w:val="28"/>
          <w:szCs w:val="28"/>
        </w:rPr>
        <w:t>Attribute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Editor</w:t>
      </w:r>
      <w:proofErr w:type="spellEnd"/>
      <w:r>
        <w:rPr>
          <w:color w:val="000000" w:themeColor="text1"/>
          <w:sz w:val="28"/>
          <w:szCs w:val="28"/>
        </w:rPr>
        <w:t xml:space="preserve">. Здесь можно указать имя нового атрибута и домен, который будет использоваться при определении типа колонки на уровне физической модели. Атрибуты должны именоваться в единственном числе, иметь четкое смысловое значение и быть достаточно важными для </w:t>
      </w:r>
      <w:r>
        <w:rPr>
          <w:color w:val="000000" w:themeColor="text1"/>
          <w:sz w:val="28"/>
          <w:szCs w:val="28"/>
        </w:rPr>
        <w:lastRenderedPageBreak/>
        <w:t>того, чтобы их моделировать. Именование </w:t>
      </w:r>
      <w:r>
        <w:rPr>
          <w:iCs/>
          <w:color w:val="000000" w:themeColor="text1"/>
          <w:sz w:val="28"/>
          <w:szCs w:val="28"/>
        </w:rPr>
        <w:t>сущности </w:t>
      </w:r>
      <w:r>
        <w:rPr>
          <w:color w:val="000000" w:themeColor="text1"/>
          <w:sz w:val="28"/>
          <w:szCs w:val="28"/>
        </w:rPr>
        <w:t>в единственном числе облегчает в дальнейшем чтение модели. Каждый атрибут должен быть определен (закладка </w:t>
      </w:r>
      <w:proofErr w:type="spellStart"/>
      <w:r>
        <w:rPr>
          <w:bCs/>
          <w:color w:val="000000" w:themeColor="text1"/>
          <w:sz w:val="28"/>
          <w:szCs w:val="28"/>
        </w:rPr>
        <w:t>Definition</w:t>
      </w:r>
      <w:proofErr w:type="spellEnd"/>
      <w:r>
        <w:rPr>
          <w:color w:val="000000" w:themeColor="text1"/>
          <w:sz w:val="28"/>
          <w:szCs w:val="28"/>
        </w:rPr>
        <w:t>), при этом следует избегать циклических определений и производных атрибутов. Для внесения дополнительных комментариев и определений к </w:t>
      </w:r>
      <w:r>
        <w:rPr>
          <w:iCs/>
          <w:color w:val="000000" w:themeColor="text1"/>
          <w:sz w:val="28"/>
          <w:szCs w:val="28"/>
        </w:rPr>
        <w:t>сущности </w:t>
      </w:r>
      <w:r>
        <w:rPr>
          <w:color w:val="000000" w:themeColor="text1"/>
          <w:sz w:val="28"/>
          <w:szCs w:val="28"/>
        </w:rPr>
        <w:t>служат свойства, определенные пользователем (UDP). Соблюдение этого правила позволяет частично решить проблему нормализации данных уже на этапе определения </w:t>
      </w:r>
      <w:r>
        <w:rPr>
          <w:iCs/>
          <w:color w:val="000000" w:themeColor="text1"/>
          <w:sz w:val="28"/>
          <w:szCs w:val="28"/>
        </w:rPr>
        <w:t>атрибутов.</w:t>
      </w:r>
    </w:p>
    <w:p w:rsidR="00B43513" w:rsidRPr="008E4193" w:rsidRDefault="00B43513" w:rsidP="00B43513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43513" w:rsidRDefault="00B43513" w:rsidP="00B4351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43513" w:rsidRDefault="00B43513" w:rsidP="00B43513"/>
    <w:p w:rsidR="00DA77F2" w:rsidRDefault="00DA77F2"/>
    <w:sectPr w:rsidR="00DA7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6377"/>
    <w:multiLevelType w:val="multilevel"/>
    <w:tmpl w:val="531CD7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2102B"/>
    <w:multiLevelType w:val="hybridMultilevel"/>
    <w:tmpl w:val="C4046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8B"/>
    <w:rsid w:val="001D03B2"/>
    <w:rsid w:val="00276A8B"/>
    <w:rsid w:val="00583D98"/>
    <w:rsid w:val="00B43513"/>
    <w:rsid w:val="00DA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82CF9-C013-447A-8E81-E7E81286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51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3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2868</TotalTime>
  <Pages>5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2022-11-19T13:25:00Z</dcterms:created>
  <dcterms:modified xsi:type="dcterms:W3CDTF">2022-11-23T05:32:00Z</dcterms:modified>
</cp:coreProperties>
</file>