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215" w:rsidRPr="00A83215" w:rsidRDefault="00A83215" w:rsidP="00A8321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hint="eastAsia"/>
          <w:color w:val="000000"/>
          <w:szCs w:val="24"/>
        </w:rPr>
      </w:pPr>
      <w:bookmarkStart w:id="0" w:name="_Toc249241047"/>
      <w:bookmarkStart w:id="1" w:name="_Toc248744734"/>
      <w:r>
        <w:rPr>
          <w:rFonts w:ascii="Times New Roman" w:eastAsia="楷体_GB2312" w:hAnsi="Times New Roman" w:hint="eastAsia"/>
          <w:color w:val="000000"/>
          <w:szCs w:val="24"/>
        </w:rPr>
        <w:t>央行</w:t>
      </w:r>
      <w:r w:rsidRPr="00A83215">
        <w:rPr>
          <w:rFonts w:ascii="Times New Roman" w:eastAsia="楷体_GB2312" w:hAnsi="Times New Roman" w:hint="eastAsia"/>
          <w:color w:val="000000"/>
          <w:szCs w:val="24"/>
        </w:rPr>
        <w:t>公布了</w:t>
      </w:r>
      <w:r w:rsidRPr="00A83215">
        <w:rPr>
          <w:rFonts w:ascii="Times New Roman" w:eastAsia="楷体_GB2312" w:hAnsi="Times New Roman" w:hint="eastAsia"/>
          <w:color w:val="000000"/>
          <w:szCs w:val="24"/>
        </w:rPr>
        <w:t>222</w:t>
      </w:r>
      <w:r w:rsidRPr="00A83215">
        <w:rPr>
          <w:rFonts w:ascii="Times New Roman" w:eastAsia="楷体_GB2312" w:hAnsi="Times New Roman" w:hint="eastAsia"/>
          <w:color w:val="000000"/>
          <w:szCs w:val="24"/>
        </w:rPr>
        <w:t>号文《关于对普惠金融实施定向降准的通知》，对</w:t>
      </w:r>
      <w:r>
        <w:rPr>
          <w:rFonts w:ascii="Times New Roman" w:eastAsia="楷体_GB2312" w:hAnsi="Times New Roman" w:hint="eastAsia"/>
          <w:color w:val="000000"/>
          <w:szCs w:val="24"/>
        </w:rPr>
        <w:t>从</w:t>
      </w:r>
      <w:r>
        <w:rPr>
          <w:rFonts w:ascii="Times New Roman" w:eastAsia="楷体_GB2312" w:hAnsi="Times New Roman" w:hint="eastAsia"/>
          <w:color w:val="000000"/>
          <w:szCs w:val="24"/>
        </w:rPr>
        <w:t>2014</w:t>
      </w:r>
      <w:r>
        <w:rPr>
          <w:rFonts w:ascii="Times New Roman" w:eastAsia="楷体_GB2312" w:hAnsi="Times New Roman" w:hint="eastAsia"/>
          <w:color w:val="000000"/>
          <w:szCs w:val="24"/>
        </w:rPr>
        <w:t>年</w:t>
      </w:r>
      <w:r w:rsidRPr="00A83215">
        <w:rPr>
          <w:rFonts w:ascii="Times New Roman" w:eastAsia="楷体_GB2312" w:hAnsi="Times New Roman" w:hint="eastAsia"/>
          <w:color w:val="000000"/>
          <w:szCs w:val="24"/>
        </w:rPr>
        <w:t>实施</w:t>
      </w:r>
      <w:r>
        <w:rPr>
          <w:rFonts w:ascii="Times New Roman" w:eastAsia="楷体_GB2312" w:hAnsi="Times New Roman" w:hint="eastAsia"/>
          <w:color w:val="000000"/>
          <w:szCs w:val="24"/>
        </w:rPr>
        <w:t>至今的</w:t>
      </w:r>
      <w:r w:rsidRPr="00A83215">
        <w:rPr>
          <w:rFonts w:ascii="Times New Roman" w:eastAsia="楷体_GB2312" w:hAnsi="Times New Roman" w:hint="eastAsia"/>
          <w:color w:val="000000"/>
          <w:szCs w:val="24"/>
        </w:rPr>
        <w:t>定向</w:t>
      </w:r>
      <w:proofErr w:type="gramStart"/>
      <w:r w:rsidRPr="00A83215">
        <w:rPr>
          <w:rFonts w:ascii="Times New Roman" w:eastAsia="楷体_GB2312" w:hAnsi="Times New Roman" w:hint="eastAsia"/>
          <w:color w:val="000000"/>
          <w:szCs w:val="24"/>
        </w:rPr>
        <w:t>降准政策</w:t>
      </w:r>
      <w:proofErr w:type="gramEnd"/>
      <w:r w:rsidRPr="00A83215">
        <w:rPr>
          <w:rFonts w:ascii="Times New Roman" w:eastAsia="楷体_GB2312" w:hAnsi="Times New Roman" w:hint="eastAsia"/>
          <w:color w:val="000000"/>
          <w:szCs w:val="24"/>
        </w:rPr>
        <w:t>进行了调整：</w:t>
      </w:r>
    </w:p>
    <w:p w:rsidR="00A83215" w:rsidRPr="00A83215" w:rsidRDefault="00A83215" w:rsidP="00A8321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1.</w:t>
      </w:r>
      <w:r>
        <w:rPr>
          <w:rFonts w:ascii="Times New Roman" w:eastAsia="楷体_GB2312" w:hAnsi="Times New Roman" w:hint="eastAsia"/>
          <w:color w:val="000000"/>
          <w:szCs w:val="24"/>
        </w:rPr>
        <w:t>调整口径，匹配“普惠金融”。</w:t>
      </w:r>
      <w:r w:rsidRPr="00A83215">
        <w:rPr>
          <w:rFonts w:ascii="Times New Roman" w:eastAsia="楷体_GB2312" w:hAnsi="Times New Roman" w:hint="eastAsia"/>
          <w:color w:val="000000"/>
          <w:szCs w:val="24"/>
        </w:rPr>
        <w:t>222</w:t>
      </w:r>
      <w:r>
        <w:rPr>
          <w:rFonts w:ascii="Times New Roman" w:eastAsia="楷体_GB2312" w:hAnsi="Times New Roman" w:hint="eastAsia"/>
          <w:color w:val="000000"/>
          <w:szCs w:val="24"/>
        </w:rPr>
        <w:t>号</w:t>
      </w:r>
      <w:proofErr w:type="gramStart"/>
      <w:r>
        <w:rPr>
          <w:rFonts w:ascii="Times New Roman" w:eastAsia="楷体_GB2312" w:hAnsi="Times New Roman" w:hint="eastAsia"/>
          <w:color w:val="000000"/>
          <w:szCs w:val="24"/>
        </w:rPr>
        <w:t>文调整</w:t>
      </w:r>
      <w:proofErr w:type="gramEnd"/>
      <w:r>
        <w:rPr>
          <w:rFonts w:ascii="Times New Roman" w:eastAsia="楷体_GB2312" w:hAnsi="Times New Roman" w:hint="eastAsia"/>
          <w:color w:val="000000"/>
          <w:szCs w:val="24"/>
        </w:rPr>
        <w:t>了定向</w:t>
      </w:r>
      <w:proofErr w:type="gramStart"/>
      <w:r>
        <w:rPr>
          <w:rFonts w:ascii="Times New Roman" w:eastAsia="楷体_GB2312" w:hAnsi="Times New Roman" w:hint="eastAsia"/>
          <w:color w:val="000000"/>
          <w:szCs w:val="24"/>
        </w:rPr>
        <w:t>降准标准</w:t>
      </w:r>
      <w:proofErr w:type="gramEnd"/>
      <w:r>
        <w:rPr>
          <w:rFonts w:ascii="Times New Roman" w:eastAsia="楷体_GB2312" w:hAnsi="Times New Roman" w:hint="eastAsia"/>
          <w:color w:val="000000"/>
          <w:szCs w:val="24"/>
        </w:rPr>
        <w:t>的统计口径，由原先的“小微贷款、</w:t>
      </w:r>
      <w:r w:rsidRPr="00A83215">
        <w:rPr>
          <w:rFonts w:ascii="Times New Roman" w:eastAsia="楷体_GB2312" w:hAnsi="Times New Roman" w:hint="eastAsia"/>
          <w:color w:val="000000"/>
          <w:szCs w:val="24"/>
        </w:rPr>
        <w:t>三农贷款”调整为“单户授信小于</w:t>
      </w:r>
      <w:r w:rsidRPr="00A83215">
        <w:rPr>
          <w:rFonts w:ascii="Times New Roman" w:eastAsia="楷体_GB2312" w:hAnsi="Times New Roman" w:hint="eastAsia"/>
          <w:color w:val="000000"/>
          <w:szCs w:val="24"/>
        </w:rPr>
        <w:t xml:space="preserve">500 </w:t>
      </w:r>
      <w:r w:rsidRPr="00A83215">
        <w:rPr>
          <w:rFonts w:ascii="Times New Roman" w:eastAsia="楷体_GB2312" w:hAnsi="Times New Roman" w:hint="eastAsia"/>
          <w:color w:val="000000"/>
          <w:szCs w:val="24"/>
        </w:rPr>
        <w:t>万元的小微型企业贷款、个体工商户经营性贷款、小微企业主经营性贷款、农户生产经营贷款、创业担</w:t>
      </w:r>
      <w:r>
        <w:rPr>
          <w:rFonts w:ascii="Times New Roman" w:eastAsia="楷体_GB2312" w:hAnsi="Times New Roman" w:hint="eastAsia"/>
          <w:color w:val="000000"/>
          <w:szCs w:val="24"/>
        </w:rPr>
        <w:t>保（下岗失业人员）贷款、建档立卡贫困人口消费贷款和助学贷款”。</w:t>
      </w:r>
      <w:r w:rsidRPr="00A83215">
        <w:rPr>
          <w:rFonts w:ascii="Times New Roman" w:eastAsia="楷体_GB2312" w:hAnsi="Times New Roman"/>
          <w:color w:val="000000"/>
          <w:szCs w:val="24"/>
        </w:rPr>
        <w:tab/>
      </w:r>
    </w:p>
    <w:p w:rsidR="00A83215" w:rsidRPr="00A83215" w:rsidRDefault="00A83215" w:rsidP="00A8321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2.</w:t>
      </w:r>
      <w:r>
        <w:rPr>
          <w:rFonts w:ascii="Times New Roman" w:eastAsia="楷体_GB2312" w:hAnsi="Times New Roman" w:hint="eastAsia"/>
          <w:color w:val="000000"/>
          <w:szCs w:val="24"/>
        </w:rPr>
        <w:t>第一</w:t>
      </w:r>
      <w:proofErr w:type="gramStart"/>
      <w:r>
        <w:rPr>
          <w:rFonts w:ascii="Times New Roman" w:eastAsia="楷体_GB2312" w:hAnsi="Times New Roman" w:hint="eastAsia"/>
          <w:color w:val="000000"/>
          <w:szCs w:val="24"/>
        </w:rPr>
        <w:t>档</w:t>
      </w:r>
      <w:proofErr w:type="gramEnd"/>
      <w:r>
        <w:rPr>
          <w:rFonts w:ascii="Times New Roman" w:eastAsia="楷体_GB2312" w:hAnsi="Times New Roman" w:hint="eastAsia"/>
          <w:color w:val="000000"/>
          <w:szCs w:val="24"/>
        </w:rPr>
        <w:t>优惠</w:t>
      </w:r>
      <w:proofErr w:type="gramStart"/>
      <w:r>
        <w:rPr>
          <w:rFonts w:ascii="Times New Roman" w:eastAsia="楷体_GB2312" w:hAnsi="Times New Roman" w:hint="eastAsia"/>
          <w:color w:val="000000"/>
          <w:szCs w:val="24"/>
        </w:rPr>
        <w:t>档</w:t>
      </w:r>
      <w:proofErr w:type="gramEnd"/>
      <w:r>
        <w:rPr>
          <w:rFonts w:ascii="Times New Roman" w:eastAsia="楷体_GB2312" w:hAnsi="Times New Roman" w:hint="eastAsia"/>
          <w:color w:val="000000"/>
          <w:szCs w:val="24"/>
        </w:rPr>
        <w:t>门槛降低</w:t>
      </w:r>
      <w:r w:rsidRPr="00A83215">
        <w:rPr>
          <w:rFonts w:ascii="Times New Roman" w:eastAsia="楷体_GB2312" w:hAnsi="Times New Roman" w:hint="eastAsia"/>
          <w:color w:val="000000"/>
          <w:szCs w:val="24"/>
        </w:rPr>
        <w:t>。第一</w:t>
      </w:r>
      <w:proofErr w:type="gramStart"/>
      <w:r w:rsidRPr="00A83215">
        <w:rPr>
          <w:rFonts w:ascii="Times New Roman" w:eastAsia="楷体_GB2312" w:hAnsi="Times New Roman" w:hint="eastAsia"/>
          <w:color w:val="000000"/>
          <w:szCs w:val="24"/>
        </w:rPr>
        <w:t>档</w:t>
      </w:r>
      <w:proofErr w:type="gramEnd"/>
      <w:r>
        <w:rPr>
          <w:rFonts w:ascii="Times New Roman" w:eastAsia="楷体_GB2312" w:hAnsi="Times New Roman" w:hint="eastAsia"/>
          <w:color w:val="000000"/>
          <w:szCs w:val="24"/>
        </w:rPr>
        <w:t>优惠档</w:t>
      </w:r>
      <w:r w:rsidRPr="00A83215">
        <w:rPr>
          <w:rFonts w:ascii="Times New Roman" w:eastAsia="楷体_GB2312" w:hAnsi="Times New Roman" w:hint="eastAsia"/>
          <w:color w:val="000000"/>
          <w:szCs w:val="24"/>
        </w:rPr>
        <w:t>（</w:t>
      </w:r>
      <w:proofErr w:type="gramStart"/>
      <w:r>
        <w:rPr>
          <w:rFonts w:ascii="Times New Roman" w:eastAsia="楷体_GB2312" w:hAnsi="Times New Roman" w:hint="eastAsia"/>
          <w:color w:val="000000"/>
          <w:szCs w:val="24"/>
        </w:rPr>
        <w:t>优惠</w:t>
      </w:r>
      <w:r w:rsidRPr="00A83215">
        <w:rPr>
          <w:rFonts w:ascii="Times New Roman" w:eastAsia="楷体_GB2312" w:hAnsi="Times New Roman" w:hint="eastAsia"/>
          <w:color w:val="000000"/>
          <w:szCs w:val="24"/>
        </w:rPr>
        <w:t>降准</w:t>
      </w:r>
      <w:proofErr w:type="gramEnd"/>
      <w:r w:rsidRPr="00A83215">
        <w:rPr>
          <w:rFonts w:ascii="Times New Roman" w:eastAsia="楷体_GB2312" w:hAnsi="Times New Roman" w:hint="eastAsia"/>
          <w:color w:val="000000"/>
          <w:szCs w:val="24"/>
        </w:rPr>
        <w:t>0.5%</w:t>
      </w:r>
      <w:r w:rsidRPr="00A83215">
        <w:rPr>
          <w:rFonts w:ascii="Times New Roman" w:eastAsia="楷体_GB2312" w:hAnsi="Times New Roman" w:hint="eastAsia"/>
          <w:color w:val="000000"/>
          <w:szCs w:val="24"/>
        </w:rPr>
        <w:t>）的要求由</w:t>
      </w:r>
      <w:r>
        <w:rPr>
          <w:rFonts w:ascii="Times New Roman" w:eastAsia="楷体_GB2312" w:hAnsi="Times New Roman" w:hint="eastAsia"/>
          <w:color w:val="000000"/>
          <w:szCs w:val="24"/>
        </w:rPr>
        <w:t>三农、小</w:t>
      </w:r>
      <w:proofErr w:type="gramStart"/>
      <w:r>
        <w:rPr>
          <w:rFonts w:ascii="Times New Roman" w:eastAsia="楷体_GB2312" w:hAnsi="Times New Roman" w:hint="eastAsia"/>
          <w:color w:val="000000"/>
          <w:szCs w:val="24"/>
        </w:rPr>
        <w:t>微</w:t>
      </w:r>
      <w:r w:rsidRPr="00A83215">
        <w:rPr>
          <w:rFonts w:ascii="Times New Roman" w:eastAsia="楷体_GB2312" w:hAnsi="Times New Roman" w:hint="eastAsia"/>
          <w:color w:val="000000"/>
          <w:szCs w:val="24"/>
        </w:rPr>
        <w:t>贷款</w:t>
      </w:r>
      <w:proofErr w:type="gramEnd"/>
      <w:r w:rsidRPr="00A83215">
        <w:rPr>
          <w:rFonts w:ascii="Times New Roman" w:eastAsia="楷体_GB2312" w:hAnsi="Times New Roman" w:hint="eastAsia"/>
          <w:color w:val="000000"/>
          <w:szCs w:val="24"/>
        </w:rPr>
        <w:t>增量占比</w:t>
      </w:r>
      <w:r w:rsidRPr="00A83215">
        <w:rPr>
          <w:rFonts w:ascii="Times New Roman" w:eastAsia="楷体_GB2312" w:hAnsi="Times New Roman" w:hint="eastAsia"/>
          <w:color w:val="000000"/>
          <w:szCs w:val="24"/>
        </w:rPr>
        <w:t>15%</w:t>
      </w:r>
      <w:r w:rsidRPr="00A83215">
        <w:rPr>
          <w:rFonts w:ascii="Times New Roman" w:eastAsia="楷体_GB2312" w:hAnsi="Times New Roman" w:hint="eastAsia"/>
          <w:color w:val="000000"/>
          <w:szCs w:val="24"/>
        </w:rPr>
        <w:t>下降为</w:t>
      </w:r>
      <w:r>
        <w:rPr>
          <w:rFonts w:ascii="Times New Roman" w:eastAsia="楷体_GB2312" w:hAnsi="Times New Roman" w:hint="eastAsia"/>
          <w:color w:val="000000"/>
          <w:szCs w:val="24"/>
        </w:rPr>
        <w:t>普惠贷款</w:t>
      </w:r>
      <w:r w:rsidRPr="00A83215">
        <w:rPr>
          <w:rFonts w:ascii="Times New Roman" w:eastAsia="楷体_GB2312" w:hAnsi="Times New Roman" w:hint="eastAsia"/>
          <w:color w:val="000000"/>
          <w:szCs w:val="24"/>
        </w:rPr>
        <w:t>存量或增量占比</w:t>
      </w:r>
      <w:r w:rsidRPr="00A83215">
        <w:rPr>
          <w:rFonts w:ascii="Times New Roman" w:eastAsia="楷体_GB2312" w:hAnsi="Times New Roman" w:hint="eastAsia"/>
          <w:color w:val="000000"/>
          <w:szCs w:val="24"/>
        </w:rPr>
        <w:t>1.5%</w:t>
      </w:r>
      <w:r w:rsidRPr="00A83215">
        <w:rPr>
          <w:rFonts w:ascii="Times New Roman" w:eastAsia="楷体_GB2312" w:hAnsi="Times New Roman" w:hint="eastAsia"/>
          <w:color w:val="000000"/>
          <w:szCs w:val="24"/>
        </w:rPr>
        <w:t>，</w:t>
      </w:r>
      <w:r>
        <w:rPr>
          <w:rFonts w:ascii="Times New Roman" w:eastAsia="楷体_GB2312" w:hAnsi="Times New Roman" w:hint="eastAsia"/>
          <w:color w:val="000000"/>
          <w:szCs w:val="24"/>
        </w:rPr>
        <w:t>基本覆盖</w:t>
      </w:r>
      <w:r>
        <w:rPr>
          <w:rFonts w:ascii="Times New Roman" w:eastAsia="楷体_GB2312" w:hAnsi="Times New Roman" w:hint="eastAsia"/>
          <w:color w:val="000000"/>
          <w:szCs w:val="24"/>
        </w:rPr>
        <w:t>90%</w:t>
      </w:r>
      <w:r>
        <w:rPr>
          <w:rFonts w:ascii="Times New Roman" w:eastAsia="楷体_GB2312" w:hAnsi="Times New Roman" w:hint="eastAsia"/>
          <w:color w:val="000000"/>
          <w:szCs w:val="24"/>
        </w:rPr>
        <w:t>以上银行</w:t>
      </w:r>
      <w:r w:rsidRPr="00A83215">
        <w:rPr>
          <w:rFonts w:ascii="Times New Roman" w:eastAsia="楷体_GB2312" w:hAnsi="Times New Roman" w:hint="eastAsia"/>
          <w:color w:val="000000"/>
          <w:szCs w:val="24"/>
        </w:rPr>
        <w:t>。</w:t>
      </w:r>
      <w:bookmarkStart w:id="2" w:name="_GoBack"/>
      <w:bookmarkEnd w:id="2"/>
      <w:r w:rsidRPr="00A83215">
        <w:rPr>
          <w:rFonts w:ascii="Times New Roman" w:eastAsia="楷体_GB2312" w:hAnsi="Times New Roman"/>
          <w:color w:val="000000"/>
          <w:szCs w:val="24"/>
        </w:rPr>
        <w:tab/>
      </w:r>
    </w:p>
    <w:p w:rsidR="00857681" w:rsidRPr="00A83215" w:rsidRDefault="00A83215" w:rsidP="00A8321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rPr>
      </w:pPr>
      <w:r>
        <w:rPr>
          <w:rFonts w:ascii="Times New Roman" w:eastAsia="楷体_GB2312" w:hAnsi="Times New Roman" w:hint="eastAsia"/>
          <w:color w:val="000000"/>
          <w:szCs w:val="24"/>
        </w:rPr>
        <w:t>3.</w:t>
      </w:r>
      <w:r w:rsidRPr="00A83215">
        <w:rPr>
          <w:rFonts w:ascii="Times New Roman" w:eastAsia="楷体_GB2312" w:hAnsi="Times New Roman" w:hint="eastAsia"/>
          <w:color w:val="000000"/>
          <w:szCs w:val="24"/>
        </w:rPr>
        <w:t>第二</w:t>
      </w:r>
      <w:proofErr w:type="gramStart"/>
      <w:r w:rsidRPr="00A83215">
        <w:rPr>
          <w:rFonts w:ascii="Times New Roman" w:eastAsia="楷体_GB2312" w:hAnsi="Times New Roman" w:hint="eastAsia"/>
          <w:color w:val="000000"/>
          <w:szCs w:val="24"/>
        </w:rPr>
        <w:t>档</w:t>
      </w:r>
      <w:proofErr w:type="gramEnd"/>
      <w:r>
        <w:rPr>
          <w:rFonts w:ascii="Times New Roman" w:eastAsia="楷体_GB2312" w:hAnsi="Times New Roman" w:hint="eastAsia"/>
          <w:color w:val="000000"/>
          <w:szCs w:val="24"/>
        </w:rPr>
        <w:t>门槛依旧较高。第二</w:t>
      </w:r>
      <w:proofErr w:type="gramStart"/>
      <w:r>
        <w:rPr>
          <w:rFonts w:ascii="Times New Roman" w:eastAsia="楷体_GB2312" w:hAnsi="Times New Roman" w:hint="eastAsia"/>
          <w:color w:val="000000"/>
          <w:szCs w:val="24"/>
        </w:rPr>
        <w:t>档</w:t>
      </w:r>
      <w:proofErr w:type="gramEnd"/>
      <w:r>
        <w:rPr>
          <w:rFonts w:ascii="Times New Roman" w:eastAsia="楷体_GB2312" w:hAnsi="Times New Roman" w:hint="eastAsia"/>
          <w:color w:val="000000"/>
          <w:szCs w:val="24"/>
        </w:rPr>
        <w:t>优惠档</w:t>
      </w:r>
      <w:r w:rsidRPr="00A83215">
        <w:rPr>
          <w:rFonts w:ascii="Times New Roman" w:eastAsia="楷体_GB2312" w:hAnsi="Times New Roman" w:hint="eastAsia"/>
          <w:color w:val="000000"/>
          <w:szCs w:val="24"/>
        </w:rPr>
        <w:t>（</w:t>
      </w:r>
      <w:proofErr w:type="gramStart"/>
      <w:r>
        <w:rPr>
          <w:rFonts w:ascii="Times New Roman" w:eastAsia="楷体_GB2312" w:hAnsi="Times New Roman" w:hint="eastAsia"/>
          <w:color w:val="000000"/>
          <w:szCs w:val="24"/>
        </w:rPr>
        <w:t>优惠</w:t>
      </w:r>
      <w:r w:rsidRPr="00A83215">
        <w:rPr>
          <w:rFonts w:ascii="Times New Roman" w:eastAsia="楷体_GB2312" w:hAnsi="Times New Roman" w:hint="eastAsia"/>
          <w:color w:val="000000"/>
          <w:szCs w:val="24"/>
        </w:rPr>
        <w:t>降准</w:t>
      </w:r>
      <w:proofErr w:type="gramEnd"/>
      <w:r w:rsidRPr="00A83215">
        <w:rPr>
          <w:rFonts w:ascii="Times New Roman" w:eastAsia="楷体_GB2312" w:hAnsi="Times New Roman" w:hint="eastAsia"/>
          <w:color w:val="000000"/>
          <w:szCs w:val="24"/>
        </w:rPr>
        <w:t>1.5%</w:t>
      </w:r>
      <w:r w:rsidRPr="00A83215">
        <w:rPr>
          <w:rFonts w:ascii="Times New Roman" w:eastAsia="楷体_GB2312" w:hAnsi="Times New Roman" w:hint="eastAsia"/>
          <w:color w:val="000000"/>
          <w:szCs w:val="24"/>
        </w:rPr>
        <w:t>）要求由符合条件贷款存量占比</w:t>
      </w:r>
      <w:r w:rsidRPr="00A83215">
        <w:rPr>
          <w:rFonts w:ascii="Times New Roman" w:eastAsia="楷体_GB2312" w:hAnsi="Times New Roman" w:hint="eastAsia"/>
          <w:color w:val="000000"/>
          <w:szCs w:val="24"/>
        </w:rPr>
        <w:t>30%</w:t>
      </w:r>
      <w:r w:rsidRPr="00A83215">
        <w:rPr>
          <w:rFonts w:ascii="Times New Roman" w:eastAsia="楷体_GB2312" w:hAnsi="Times New Roman" w:hint="eastAsia"/>
          <w:color w:val="000000"/>
          <w:szCs w:val="24"/>
        </w:rPr>
        <w:t>或增量占比</w:t>
      </w:r>
      <w:r w:rsidRPr="00A83215">
        <w:rPr>
          <w:rFonts w:ascii="Times New Roman" w:eastAsia="楷体_GB2312" w:hAnsi="Times New Roman" w:hint="eastAsia"/>
          <w:color w:val="000000"/>
          <w:szCs w:val="24"/>
        </w:rPr>
        <w:t>50%</w:t>
      </w:r>
      <w:r w:rsidRPr="00A83215">
        <w:rPr>
          <w:rFonts w:ascii="Times New Roman" w:eastAsia="楷体_GB2312" w:hAnsi="Times New Roman" w:hint="eastAsia"/>
          <w:color w:val="000000"/>
          <w:szCs w:val="24"/>
        </w:rPr>
        <w:t>，下调到</w:t>
      </w:r>
      <w:r>
        <w:rPr>
          <w:rFonts w:ascii="Times New Roman" w:eastAsia="楷体_GB2312" w:hAnsi="Times New Roman" w:hint="eastAsia"/>
          <w:color w:val="000000"/>
          <w:szCs w:val="24"/>
        </w:rPr>
        <w:t>普惠贷款</w:t>
      </w:r>
      <w:r w:rsidRPr="00A83215">
        <w:rPr>
          <w:rFonts w:ascii="Times New Roman" w:eastAsia="楷体_GB2312" w:hAnsi="Times New Roman" w:hint="eastAsia"/>
          <w:color w:val="000000"/>
          <w:szCs w:val="24"/>
        </w:rPr>
        <w:t>存量或增量占比</w:t>
      </w:r>
      <w:r w:rsidRPr="00A83215">
        <w:rPr>
          <w:rFonts w:ascii="Times New Roman" w:eastAsia="楷体_GB2312" w:hAnsi="Times New Roman" w:hint="eastAsia"/>
          <w:color w:val="000000"/>
          <w:szCs w:val="24"/>
        </w:rPr>
        <w:t>10%</w:t>
      </w:r>
      <w:r w:rsidRPr="00A83215">
        <w:rPr>
          <w:rFonts w:ascii="Times New Roman" w:eastAsia="楷体_GB2312" w:hAnsi="Times New Roman" w:hint="eastAsia"/>
          <w:color w:val="000000"/>
          <w:szCs w:val="24"/>
        </w:rPr>
        <w:t>。人民银行公告中也指出“这一档标准相对较高，只有在普惠金融领域贷款投放较为突出的商业银行才能</w:t>
      </w:r>
      <w:r>
        <w:rPr>
          <w:rFonts w:ascii="Times New Roman" w:eastAsia="楷体_GB2312" w:hAnsi="Times New Roman" w:hint="eastAsia"/>
          <w:color w:val="000000"/>
          <w:szCs w:val="24"/>
        </w:rPr>
        <w:t>达到”。同时对“小微企业”的</w:t>
      </w:r>
      <w:r w:rsidRPr="00A83215">
        <w:rPr>
          <w:rFonts w:ascii="Times New Roman" w:eastAsia="楷体_GB2312" w:hAnsi="Times New Roman" w:hint="eastAsia"/>
          <w:color w:val="000000"/>
          <w:szCs w:val="24"/>
        </w:rPr>
        <w:t>授信额度</w:t>
      </w:r>
      <w:r w:rsidRPr="00A83215">
        <w:rPr>
          <w:rFonts w:ascii="Times New Roman" w:eastAsia="楷体_GB2312" w:hAnsi="Times New Roman" w:hint="eastAsia"/>
          <w:color w:val="000000"/>
          <w:szCs w:val="24"/>
        </w:rPr>
        <w:t>500</w:t>
      </w:r>
      <w:r w:rsidRPr="00A83215">
        <w:rPr>
          <w:rFonts w:ascii="Times New Roman" w:eastAsia="楷体_GB2312" w:hAnsi="Times New Roman" w:hint="eastAsia"/>
          <w:color w:val="000000"/>
          <w:szCs w:val="24"/>
        </w:rPr>
        <w:t>万以内的标准，</w:t>
      </w:r>
      <w:r>
        <w:rPr>
          <w:rFonts w:ascii="Times New Roman" w:eastAsia="楷体_GB2312" w:hAnsi="Times New Roman" w:hint="eastAsia"/>
          <w:color w:val="000000"/>
          <w:szCs w:val="24"/>
        </w:rPr>
        <w:t>使得银行可操作空间更小</w:t>
      </w:r>
      <w:r w:rsidRPr="00A83215">
        <w:rPr>
          <w:rFonts w:ascii="Times New Roman" w:eastAsia="楷体_GB2312" w:hAnsi="Times New Roman" w:hint="eastAsia"/>
          <w:color w:val="000000"/>
          <w:szCs w:val="24"/>
        </w:rPr>
        <w:t>。</w:t>
      </w:r>
    </w:p>
    <w:tbl>
      <w:tblPr>
        <w:tblW w:w="11058"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8"/>
      </w:tblGrid>
      <w:tr w:rsidR="002C6F73" w:rsidRPr="00750071" w:rsidTr="00857681">
        <w:tc>
          <w:tcPr>
            <w:tcW w:w="11058" w:type="dxa"/>
            <w:tcBorders>
              <w:top w:val="nil"/>
              <w:bottom w:val="single" w:sz="8" w:space="0" w:color="000000"/>
            </w:tcBorders>
          </w:tcPr>
          <w:p w:rsidR="002C6F73" w:rsidRPr="00C13463" w:rsidRDefault="002C6F73" w:rsidP="00E54603">
            <w:pPr>
              <w:pStyle w:val="ab"/>
              <w:ind w:leftChars="16" w:left="34" w:rightChars="15" w:right="31"/>
              <w:jc w:val="left"/>
              <w:rPr>
                <w:rFonts w:ascii="Times New Roman" w:eastAsia="楷体_GB2312" w:hAnsi="Times New Roman"/>
                <w:sz w:val="21"/>
                <w:szCs w:val="21"/>
              </w:rPr>
            </w:pPr>
            <w:bookmarkStart w:id="3" w:name="_Toc486750423"/>
            <w:bookmarkStart w:id="4" w:name="_Toc494044058"/>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064552">
              <w:rPr>
                <w:rFonts w:ascii="Times New Roman" w:eastAsia="楷体_GB2312" w:hAnsi="Times New Roman" w:cs="Times New Roman"/>
                <w:b/>
                <w:noProof/>
                <w:color w:val="17365D"/>
                <w:sz w:val="21"/>
                <w:szCs w:val="21"/>
              </w:rPr>
              <w:t>1</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3"/>
            <w:bookmarkEnd w:id="4"/>
            <w:r w:rsidR="00A83215">
              <w:rPr>
                <w:rFonts w:ascii="Times New Roman" w:eastAsia="楷体_GB2312" w:hAnsi="Times New Roman" w:hint="eastAsia"/>
                <w:b/>
                <w:color w:val="17365D"/>
                <w:sz w:val="21"/>
                <w:szCs w:val="21"/>
              </w:rPr>
              <w:t>调整前会</w:t>
            </w:r>
            <w:proofErr w:type="gramStart"/>
            <w:r w:rsidR="00A83215">
              <w:rPr>
                <w:rFonts w:ascii="Times New Roman" w:eastAsia="楷体_GB2312" w:hAnsi="Times New Roman" w:hint="eastAsia"/>
                <w:b/>
                <w:color w:val="17365D"/>
                <w:sz w:val="21"/>
                <w:szCs w:val="21"/>
              </w:rPr>
              <w:t>降准政策</w:t>
            </w:r>
            <w:proofErr w:type="gramEnd"/>
            <w:r w:rsidR="00A83215">
              <w:rPr>
                <w:rFonts w:ascii="Times New Roman" w:eastAsia="楷体_GB2312" w:hAnsi="Times New Roman" w:hint="eastAsia"/>
                <w:b/>
                <w:color w:val="17365D"/>
                <w:sz w:val="21"/>
                <w:szCs w:val="21"/>
              </w:rPr>
              <w:t>对比</w:t>
            </w:r>
          </w:p>
        </w:tc>
      </w:tr>
      <w:tr w:rsidR="002C6F73" w:rsidRPr="00520DC6" w:rsidTr="00857681">
        <w:trPr>
          <w:trHeight w:val="264"/>
        </w:trPr>
        <w:tc>
          <w:tcPr>
            <w:tcW w:w="11058" w:type="dxa"/>
            <w:tcBorders>
              <w:top w:val="single" w:sz="8" w:space="0" w:color="000000"/>
              <w:bottom w:val="single" w:sz="4" w:space="0" w:color="auto"/>
            </w:tcBorders>
          </w:tcPr>
          <w:tbl>
            <w:tblPr>
              <w:tblW w:w="10420" w:type="dxa"/>
              <w:tblLayout w:type="fixed"/>
              <w:tblLook w:val="04A0" w:firstRow="1" w:lastRow="0" w:firstColumn="1" w:lastColumn="0" w:noHBand="0" w:noVBand="1"/>
            </w:tblPr>
            <w:tblGrid>
              <w:gridCol w:w="2640"/>
              <w:gridCol w:w="2900"/>
              <w:gridCol w:w="1740"/>
              <w:gridCol w:w="3140"/>
            </w:tblGrid>
            <w:tr w:rsidR="00A83215" w:rsidRPr="00A83215" w:rsidTr="00A83215">
              <w:trPr>
                <w:trHeight w:val="278"/>
              </w:trPr>
              <w:tc>
                <w:tcPr>
                  <w:tcW w:w="2640" w:type="dxa"/>
                  <w:tcBorders>
                    <w:top w:val="nil"/>
                    <w:left w:val="nil"/>
                    <w:bottom w:val="nil"/>
                    <w:right w:val="nil"/>
                  </w:tcBorders>
                  <w:shd w:val="clear" w:color="000000" w:fill="1F4E79"/>
                  <w:vAlign w:val="center"/>
                  <w:hideMark/>
                </w:tcPr>
                <w:p w:rsidR="00A83215" w:rsidRPr="00A83215" w:rsidRDefault="00A83215" w:rsidP="00A83215">
                  <w:pPr>
                    <w:widowControl/>
                    <w:jc w:val="center"/>
                    <w:rPr>
                      <w:rFonts w:ascii="Times New Roman" w:eastAsia="等线" w:hAnsi="Times New Roman"/>
                      <w:b/>
                      <w:bCs/>
                      <w:color w:val="FFFFFF"/>
                      <w:kern w:val="0"/>
                      <w:szCs w:val="21"/>
                    </w:rPr>
                  </w:pPr>
                  <w:r w:rsidRPr="00A83215">
                    <w:rPr>
                      <w:rFonts w:ascii="楷体" w:eastAsia="楷体" w:hAnsi="楷体" w:hint="eastAsia"/>
                      <w:b/>
                      <w:bCs/>
                      <w:color w:val="FFFFFF"/>
                      <w:kern w:val="0"/>
                      <w:szCs w:val="21"/>
                    </w:rPr>
                    <w:t>银行类型</w:t>
                  </w:r>
                </w:p>
              </w:tc>
              <w:tc>
                <w:tcPr>
                  <w:tcW w:w="2900" w:type="dxa"/>
                  <w:tcBorders>
                    <w:top w:val="nil"/>
                    <w:left w:val="nil"/>
                    <w:bottom w:val="nil"/>
                    <w:right w:val="nil"/>
                  </w:tcBorders>
                  <w:shd w:val="clear" w:color="000000" w:fill="1F4E79"/>
                  <w:vAlign w:val="center"/>
                  <w:hideMark/>
                </w:tcPr>
                <w:p w:rsidR="00A83215" w:rsidRPr="00A83215" w:rsidRDefault="00A83215" w:rsidP="00A83215">
                  <w:pPr>
                    <w:widowControl/>
                    <w:jc w:val="center"/>
                    <w:rPr>
                      <w:rFonts w:ascii="Times New Roman" w:eastAsia="等线" w:hAnsi="Times New Roman"/>
                      <w:b/>
                      <w:bCs/>
                      <w:color w:val="FFFFFF"/>
                      <w:kern w:val="0"/>
                      <w:szCs w:val="21"/>
                    </w:rPr>
                  </w:pPr>
                  <w:r w:rsidRPr="00A83215">
                    <w:rPr>
                      <w:rFonts w:ascii="楷体" w:eastAsia="楷体" w:hAnsi="楷体" w:hint="eastAsia"/>
                      <w:b/>
                      <w:bCs/>
                      <w:color w:val="FFFFFF"/>
                      <w:kern w:val="0"/>
                      <w:szCs w:val="21"/>
                    </w:rPr>
                    <w:t>现行标准</w:t>
                  </w:r>
                </w:p>
              </w:tc>
              <w:tc>
                <w:tcPr>
                  <w:tcW w:w="1740" w:type="dxa"/>
                  <w:tcBorders>
                    <w:top w:val="nil"/>
                    <w:left w:val="nil"/>
                    <w:bottom w:val="nil"/>
                    <w:right w:val="nil"/>
                  </w:tcBorders>
                  <w:shd w:val="clear" w:color="000000" w:fill="1F4E79"/>
                  <w:vAlign w:val="center"/>
                  <w:hideMark/>
                </w:tcPr>
                <w:p w:rsidR="00A83215" w:rsidRPr="00A83215" w:rsidRDefault="00A83215" w:rsidP="00A83215">
                  <w:pPr>
                    <w:widowControl/>
                    <w:jc w:val="center"/>
                    <w:rPr>
                      <w:rFonts w:ascii="Times New Roman" w:eastAsia="等线" w:hAnsi="Times New Roman"/>
                      <w:b/>
                      <w:bCs/>
                      <w:color w:val="FFFFFF"/>
                      <w:kern w:val="0"/>
                      <w:szCs w:val="21"/>
                    </w:rPr>
                  </w:pPr>
                  <w:r w:rsidRPr="00A83215">
                    <w:rPr>
                      <w:rFonts w:ascii="Times New Roman" w:eastAsia="等线" w:hAnsi="Times New Roman"/>
                      <w:b/>
                      <w:bCs/>
                      <w:color w:val="FFFFFF"/>
                      <w:kern w:val="0"/>
                      <w:szCs w:val="21"/>
                    </w:rPr>
                    <w:t>18</w:t>
                  </w:r>
                  <w:r w:rsidRPr="00A83215">
                    <w:rPr>
                      <w:rFonts w:ascii="楷体" w:eastAsia="楷体" w:hAnsi="楷体" w:hint="eastAsia"/>
                      <w:b/>
                      <w:bCs/>
                      <w:color w:val="FFFFFF"/>
                      <w:kern w:val="0"/>
                      <w:szCs w:val="21"/>
                    </w:rPr>
                    <w:t>年以后标准</w:t>
                  </w:r>
                </w:p>
              </w:tc>
              <w:tc>
                <w:tcPr>
                  <w:tcW w:w="3140" w:type="dxa"/>
                  <w:tcBorders>
                    <w:top w:val="nil"/>
                    <w:left w:val="nil"/>
                    <w:bottom w:val="nil"/>
                    <w:right w:val="nil"/>
                  </w:tcBorders>
                  <w:shd w:val="clear" w:color="000000" w:fill="1F4E79"/>
                  <w:vAlign w:val="center"/>
                  <w:hideMark/>
                </w:tcPr>
                <w:p w:rsidR="00A83215" w:rsidRPr="00A83215" w:rsidRDefault="00A83215" w:rsidP="00A83215">
                  <w:pPr>
                    <w:widowControl/>
                    <w:jc w:val="center"/>
                    <w:rPr>
                      <w:rFonts w:ascii="Times New Roman" w:eastAsia="等线" w:hAnsi="Times New Roman"/>
                      <w:b/>
                      <w:bCs/>
                      <w:color w:val="FFFFFF"/>
                      <w:kern w:val="0"/>
                      <w:szCs w:val="21"/>
                    </w:rPr>
                  </w:pPr>
                  <w:r w:rsidRPr="00A83215">
                    <w:rPr>
                      <w:rFonts w:ascii="楷体" w:eastAsia="楷体" w:hAnsi="楷体" w:hint="eastAsia"/>
                      <w:b/>
                      <w:bCs/>
                      <w:color w:val="FFFFFF"/>
                      <w:kern w:val="0"/>
                      <w:szCs w:val="21"/>
                    </w:rPr>
                    <w:t>三挡对应法定准备金率</w:t>
                  </w:r>
                </w:p>
              </w:tc>
            </w:tr>
            <w:tr w:rsidR="00A83215" w:rsidRPr="00A83215" w:rsidTr="00A83215">
              <w:trPr>
                <w:trHeight w:val="278"/>
              </w:trPr>
              <w:tc>
                <w:tcPr>
                  <w:tcW w:w="2640" w:type="dxa"/>
                  <w:vMerge w:val="restart"/>
                  <w:tcBorders>
                    <w:top w:val="nil"/>
                    <w:left w:val="nil"/>
                    <w:bottom w:val="single" w:sz="8" w:space="0" w:color="000000"/>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国有大行</w:t>
                  </w:r>
                </w:p>
              </w:tc>
              <w:tc>
                <w:tcPr>
                  <w:tcW w:w="290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174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3140" w:type="dxa"/>
                  <w:tcBorders>
                    <w:top w:val="nil"/>
                    <w:left w:val="nil"/>
                    <w:bottom w:val="nil"/>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17.00%</w:t>
                  </w:r>
                </w:p>
              </w:tc>
            </w:tr>
            <w:tr w:rsidR="00A83215" w:rsidRPr="00A83215" w:rsidTr="00A83215">
              <w:trPr>
                <w:trHeight w:val="555"/>
              </w:trPr>
              <w:tc>
                <w:tcPr>
                  <w:tcW w:w="2640" w:type="dxa"/>
                  <w:vMerge/>
                  <w:tcBorders>
                    <w:top w:val="nil"/>
                    <w:left w:val="nil"/>
                    <w:bottom w:val="single" w:sz="8" w:space="0" w:color="000000"/>
                    <w:right w:val="nil"/>
                  </w:tcBorders>
                  <w:vAlign w:val="center"/>
                  <w:hideMark/>
                </w:tcPr>
                <w:p w:rsidR="00A83215" w:rsidRPr="00A83215" w:rsidRDefault="00A83215" w:rsidP="00A83215">
                  <w:pPr>
                    <w:widowControl/>
                    <w:jc w:val="left"/>
                    <w:rPr>
                      <w:rFonts w:ascii="Times New Roman" w:eastAsia="等线" w:hAnsi="Times New Roman"/>
                      <w:color w:val="000000"/>
                      <w:kern w:val="0"/>
                      <w:szCs w:val="21"/>
                    </w:rPr>
                  </w:pPr>
                </w:p>
              </w:tc>
              <w:tc>
                <w:tcPr>
                  <w:tcW w:w="290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三农</w:t>
                  </w: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或者小</w:t>
                  </w:r>
                  <w:proofErr w:type="gramStart"/>
                  <w:r w:rsidRPr="00A83215">
                    <w:rPr>
                      <w:rFonts w:ascii="楷体" w:eastAsia="楷体" w:hAnsi="楷体" w:hint="eastAsia"/>
                      <w:color w:val="000000"/>
                      <w:kern w:val="0"/>
                      <w:szCs w:val="21"/>
                    </w:rPr>
                    <w:t>微企业</w:t>
                  </w:r>
                  <w:proofErr w:type="gramEnd"/>
                  <w:r w:rsidRPr="00A83215">
                    <w:rPr>
                      <w:rFonts w:ascii="楷体" w:eastAsia="楷体" w:hAnsi="楷体" w:hint="eastAsia"/>
                      <w:color w:val="000000"/>
                      <w:kern w:val="0"/>
                      <w:szCs w:val="21"/>
                    </w:rPr>
                    <w:t>贷款增量占比达</w:t>
                  </w:r>
                  <w:r w:rsidRPr="00A83215">
                    <w:rPr>
                      <w:rFonts w:ascii="Times New Roman" w:eastAsia="等线" w:hAnsi="Times New Roman"/>
                      <w:color w:val="000000"/>
                      <w:kern w:val="0"/>
                      <w:szCs w:val="21"/>
                    </w:rPr>
                    <w:t>15%</w:t>
                  </w:r>
                  <w:r w:rsidRPr="00A83215">
                    <w:rPr>
                      <w:rFonts w:ascii="楷体" w:eastAsia="楷体" w:hAnsi="楷体" w:hint="eastAsia"/>
                      <w:color w:val="000000"/>
                      <w:kern w:val="0"/>
                      <w:szCs w:val="21"/>
                    </w:rPr>
                    <w:t>以上</w:t>
                  </w:r>
                </w:p>
              </w:tc>
              <w:tc>
                <w:tcPr>
                  <w:tcW w:w="174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普惠贷款余额或增量占比达</w:t>
                  </w:r>
                  <w:r w:rsidRPr="00A83215">
                    <w:rPr>
                      <w:rFonts w:ascii="Times New Roman" w:eastAsia="等线" w:hAnsi="Times New Roman"/>
                      <w:color w:val="000000"/>
                      <w:kern w:val="0"/>
                      <w:szCs w:val="21"/>
                    </w:rPr>
                    <w:t>1.5%</w:t>
                  </w:r>
                </w:p>
              </w:tc>
              <w:tc>
                <w:tcPr>
                  <w:tcW w:w="3140" w:type="dxa"/>
                  <w:tcBorders>
                    <w:top w:val="nil"/>
                    <w:left w:val="nil"/>
                    <w:bottom w:val="nil"/>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16.50%</w:t>
                  </w:r>
                </w:p>
              </w:tc>
            </w:tr>
            <w:tr w:rsidR="00A83215" w:rsidRPr="00A83215" w:rsidTr="00A83215">
              <w:trPr>
                <w:trHeight w:val="840"/>
              </w:trPr>
              <w:tc>
                <w:tcPr>
                  <w:tcW w:w="2640" w:type="dxa"/>
                  <w:vMerge/>
                  <w:tcBorders>
                    <w:top w:val="nil"/>
                    <w:left w:val="nil"/>
                    <w:bottom w:val="single" w:sz="8" w:space="0" w:color="000000"/>
                    <w:right w:val="nil"/>
                  </w:tcBorders>
                  <w:vAlign w:val="center"/>
                  <w:hideMark/>
                </w:tcPr>
                <w:p w:rsidR="00A83215" w:rsidRPr="00A83215" w:rsidRDefault="00A83215" w:rsidP="00A83215">
                  <w:pPr>
                    <w:widowControl/>
                    <w:jc w:val="left"/>
                    <w:rPr>
                      <w:rFonts w:ascii="Times New Roman" w:eastAsia="等线" w:hAnsi="Times New Roman"/>
                      <w:color w:val="000000"/>
                      <w:kern w:val="0"/>
                      <w:szCs w:val="21"/>
                    </w:rPr>
                  </w:pPr>
                </w:p>
              </w:tc>
              <w:tc>
                <w:tcPr>
                  <w:tcW w:w="290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三农</w:t>
                  </w: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或者小</w:t>
                  </w:r>
                  <w:proofErr w:type="gramStart"/>
                  <w:r w:rsidRPr="00A83215">
                    <w:rPr>
                      <w:rFonts w:ascii="楷体" w:eastAsia="楷体" w:hAnsi="楷体" w:hint="eastAsia"/>
                      <w:color w:val="000000"/>
                      <w:kern w:val="0"/>
                      <w:szCs w:val="21"/>
                    </w:rPr>
                    <w:t>微企业</w:t>
                  </w:r>
                  <w:proofErr w:type="gramEnd"/>
                  <w:r w:rsidRPr="00A83215">
                    <w:rPr>
                      <w:rFonts w:ascii="楷体" w:eastAsia="楷体" w:hAnsi="楷体" w:hint="eastAsia"/>
                      <w:color w:val="000000"/>
                      <w:kern w:val="0"/>
                      <w:szCs w:val="21"/>
                    </w:rPr>
                    <w:t>贷款增量占比达</w:t>
                  </w:r>
                  <w:r w:rsidRPr="00A83215">
                    <w:rPr>
                      <w:rFonts w:ascii="Times New Roman" w:eastAsia="等线" w:hAnsi="Times New Roman"/>
                      <w:color w:val="000000"/>
                      <w:kern w:val="0"/>
                      <w:szCs w:val="21"/>
                    </w:rPr>
                    <w:t>30%</w:t>
                  </w:r>
                  <w:r w:rsidRPr="00A83215">
                    <w:rPr>
                      <w:rFonts w:ascii="楷体" w:eastAsia="楷体" w:hAnsi="楷体" w:hint="eastAsia"/>
                      <w:color w:val="000000"/>
                      <w:kern w:val="0"/>
                      <w:szCs w:val="21"/>
                    </w:rPr>
                    <w:t>以上，且存量余额占</w:t>
                  </w:r>
                  <w:r w:rsidRPr="00A83215">
                    <w:rPr>
                      <w:rFonts w:ascii="Times New Roman" w:eastAsia="等线" w:hAnsi="Times New Roman"/>
                      <w:color w:val="000000"/>
                      <w:kern w:val="0"/>
                      <w:szCs w:val="21"/>
                    </w:rPr>
                    <w:t>30%</w:t>
                  </w:r>
                  <w:r w:rsidRPr="00A83215">
                    <w:rPr>
                      <w:rFonts w:ascii="楷体" w:eastAsia="楷体" w:hAnsi="楷体" w:hint="eastAsia"/>
                      <w:color w:val="000000"/>
                      <w:kern w:val="0"/>
                      <w:szCs w:val="21"/>
                    </w:rPr>
                    <w:t>以上</w:t>
                  </w:r>
                </w:p>
              </w:tc>
              <w:tc>
                <w:tcPr>
                  <w:tcW w:w="17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普惠贷款余额或增量占比达</w:t>
                  </w:r>
                  <w:r w:rsidRPr="00A83215">
                    <w:rPr>
                      <w:rFonts w:ascii="Times New Roman" w:eastAsia="等线" w:hAnsi="Times New Roman"/>
                      <w:color w:val="000000"/>
                      <w:kern w:val="0"/>
                      <w:szCs w:val="21"/>
                    </w:rPr>
                    <w:t>10%</w:t>
                  </w:r>
                </w:p>
              </w:tc>
              <w:tc>
                <w:tcPr>
                  <w:tcW w:w="31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15.50%</w:t>
                  </w:r>
                </w:p>
              </w:tc>
            </w:tr>
            <w:tr w:rsidR="00A83215" w:rsidRPr="00A83215" w:rsidTr="00A83215">
              <w:trPr>
                <w:trHeight w:val="525"/>
              </w:trPr>
              <w:tc>
                <w:tcPr>
                  <w:tcW w:w="2640" w:type="dxa"/>
                  <w:vMerge w:val="restart"/>
                  <w:tcBorders>
                    <w:top w:val="nil"/>
                    <w:left w:val="nil"/>
                    <w:bottom w:val="single" w:sz="8" w:space="0" w:color="000000"/>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股份行、城商行、非县域农商行</w:t>
                  </w:r>
                </w:p>
              </w:tc>
              <w:tc>
                <w:tcPr>
                  <w:tcW w:w="290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174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3140" w:type="dxa"/>
                  <w:tcBorders>
                    <w:top w:val="nil"/>
                    <w:left w:val="nil"/>
                    <w:bottom w:val="nil"/>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15.00%</w:t>
                  </w:r>
                </w:p>
              </w:tc>
            </w:tr>
            <w:tr w:rsidR="00A83215" w:rsidRPr="00A83215" w:rsidTr="00A83215">
              <w:trPr>
                <w:trHeight w:val="555"/>
              </w:trPr>
              <w:tc>
                <w:tcPr>
                  <w:tcW w:w="2640" w:type="dxa"/>
                  <w:vMerge/>
                  <w:tcBorders>
                    <w:top w:val="nil"/>
                    <w:left w:val="nil"/>
                    <w:bottom w:val="single" w:sz="8" w:space="0" w:color="000000"/>
                    <w:right w:val="nil"/>
                  </w:tcBorders>
                  <w:vAlign w:val="center"/>
                  <w:hideMark/>
                </w:tcPr>
                <w:p w:rsidR="00A83215" w:rsidRPr="00A83215" w:rsidRDefault="00A83215" w:rsidP="00A83215">
                  <w:pPr>
                    <w:widowControl/>
                    <w:jc w:val="left"/>
                    <w:rPr>
                      <w:rFonts w:ascii="Times New Roman" w:eastAsia="等线" w:hAnsi="Times New Roman"/>
                      <w:color w:val="000000"/>
                      <w:kern w:val="0"/>
                      <w:szCs w:val="21"/>
                    </w:rPr>
                  </w:pPr>
                </w:p>
              </w:tc>
              <w:tc>
                <w:tcPr>
                  <w:tcW w:w="2900" w:type="dxa"/>
                  <w:tcBorders>
                    <w:top w:val="nil"/>
                    <w:left w:val="nil"/>
                    <w:bottom w:val="nil"/>
                    <w:right w:val="nil"/>
                  </w:tcBorders>
                  <w:shd w:val="clear" w:color="auto" w:fill="auto"/>
                  <w:vAlign w:val="center"/>
                  <w:hideMark/>
                </w:tcPr>
                <w:p w:rsidR="00A83215" w:rsidRDefault="00A83215" w:rsidP="00A83215">
                  <w:pPr>
                    <w:widowControl/>
                    <w:jc w:val="center"/>
                    <w:rPr>
                      <w:rFonts w:ascii="Times New Roman" w:eastAsia="等线" w:hAnsi="Times New Roman"/>
                      <w:color w:val="000000"/>
                      <w:kern w:val="0"/>
                      <w:szCs w:val="21"/>
                    </w:rPr>
                  </w:pP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三农</w:t>
                  </w: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或者小</w:t>
                  </w:r>
                  <w:proofErr w:type="gramStart"/>
                  <w:r w:rsidRPr="00A83215">
                    <w:rPr>
                      <w:rFonts w:ascii="楷体" w:eastAsia="楷体" w:hAnsi="楷体" w:hint="eastAsia"/>
                      <w:color w:val="000000"/>
                      <w:kern w:val="0"/>
                      <w:szCs w:val="21"/>
                    </w:rPr>
                    <w:t>微企业</w:t>
                  </w:r>
                  <w:proofErr w:type="gramEnd"/>
                  <w:r w:rsidRPr="00A83215">
                    <w:rPr>
                      <w:rFonts w:ascii="楷体" w:eastAsia="楷体" w:hAnsi="楷体" w:hint="eastAsia"/>
                      <w:color w:val="000000"/>
                      <w:kern w:val="0"/>
                      <w:szCs w:val="21"/>
                    </w:rPr>
                    <w:t>贷款增量占比达</w:t>
                  </w:r>
                  <w:r w:rsidRPr="00A83215">
                    <w:rPr>
                      <w:rFonts w:ascii="Times New Roman" w:eastAsia="等线" w:hAnsi="Times New Roman"/>
                      <w:color w:val="000000"/>
                      <w:kern w:val="0"/>
                      <w:szCs w:val="21"/>
                    </w:rPr>
                    <w:t>15%</w:t>
                  </w:r>
                  <w:r w:rsidRPr="00A83215">
                    <w:rPr>
                      <w:rFonts w:ascii="楷体" w:eastAsia="楷体" w:hAnsi="楷体" w:hint="eastAsia"/>
                      <w:color w:val="000000"/>
                      <w:kern w:val="0"/>
                      <w:szCs w:val="21"/>
                    </w:rPr>
                    <w:t>以上</w:t>
                  </w:r>
                </w:p>
                <w:p w:rsidR="00A83215" w:rsidRPr="00A83215" w:rsidRDefault="00A83215" w:rsidP="00A83215">
                  <w:pPr>
                    <w:rPr>
                      <w:rFonts w:ascii="Times New Roman" w:eastAsia="等线" w:hAnsi="Times New Roman"/>
                      <w:szCs w:val="21"/>
                    </w:rPr>
                  </w:pPr>
                </w:p>
                <w:p w:rsidR="00A83215" w:rsidRPr="00A83215" w:rsidRDefault="00A83215" w:rsidP="00A83215">
                  <w:pPr>
                    <w:rPr>
                      <w:rFonts w:ascii="Times New Roman" w:eastAsia="等线" w:hAnsi="Times New Roman"/>
                      <w:szCs w:val="21"/>
                    </w:rPr>
                  </w:pPr>
                </w:p>
              </w:tc>
              <w:tc>
                <w:tcPr>
                  <w:tcW w:w="174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普惠贷款余额或增量占比达</w:t>
                  </w:r>
                  <w:r w:rsidRPr="00A83215">
                    <w:rPr>
                      <w:rFonts w:ascii="Times New Roman" w:eastAsia="等线" w:hAnsi="Times New Roman"/>
                      <w:color w:val="000000"/>
                      <w:kern w:val="0"/>
                      <w:szCs w:val="21"/>
                    </w:rPr>
                    <w:t>1.5%</w:t>
                  </w:r>
                </w:p>
              </w:tc>
              <w:tc>
                <w:tcPr>
                  <w:tcW w:w="3140" w:type="dxa"/>
                  <w:tcBorders>
                    <w:top w:val="nil"/>
                    <w:left w:val="nil"/>
                    <w:bottom w:val="nil"/>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14.50%</w:t>
                  </w:r>
                </w:p>
              </w:tc>
            </w:tr>
            <w:tr w:rsidR="00A83215" w:rsidRPr="00A83215" w:rsidTr="00A83215">
              <w:trPr>
                <w:trHeight w:val="840"/>
              </w:trPr>
              <w:tc>
                <w:tcPr>
                  <w:tcW w:w="2640" w:type="dxa"/>
                  <w:vMerge/>
                  <w:tcBorders>
                    <w:top w:val="nil"/>
                    <w:left w:val="nil"/>
                    <w:bottom w:val="single" w:sz="8" w:space="0" w:color="000000"/>
                    <w:right w:val="nil"/>
                  </w:tcBorders>
                  <w:vAlign w:val="center"/>
                  <w:hideMark/>
                </w:tcPr>
                <w:p w:rsidR="00A83215" w:rsidRPr="00A83215" w:rsidRDefault="00A83215" w:rsidP="00A83215">
                  <w:pPr>
                    <w:widowControl/>
                    <w:jc w:val="left"/>
                    <w:rPr>
                      <w:rFonts w:ascii="Times New Roman" w:eastAsia="等线" w:hAnsi="Times New Roman"/>
                      <w:color w:val="000000"/>
                      <w:kern w:val="0"/>
                      <w:szCs w:val="21"/>
                    </w:rPr>
                  </w:pPr>
                </w:p>
              </w:tc>
              <w:tc>
                <w:tcPr>
                  <w:tcW w:w="290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三农</w:t>
                  </w:r>
                  <w:r w:rsidRPr="00A83215">
                    <w:rPr>
                      <w:rFonts w:ascii="Times New Roman" w:eastAsia="等线" w:hAnsi="Times New Roman"/>
                      <w:color w:val="000000"/>
                      <w:kern w:val="0"/>
                      <w:szCs w:val="21"/>
                    </w:rPr>
                    <w:t>”</w:t>
                  </w:r>
                  <w:r w:rsidRPr="00A83215">
                    <w:rPr>
                      <w:rFonts w:ascii="楷体" w:eastAsia="楷体" w:hAnsi="楷体" w:hint="eastAsia"/>
                      <w:color w:val="000000"/>
                      <w:kern w:val="0"/>
                      <w:szCs w:val="21"/>
                    </w:rPr>
                    <w:t>或者小</w:t>
                  </w:r>
                  <w:proofErr w:type="gramStart"/>
                  <w:r w:rsidRPr="00A83215">
                    <w:rPr>
                      <w:rFonts w:ascii="楷体" w:eastAsia="楷体" w:hAnsi="楷体" w:hint="eastAsia"/>
                      <w:color w:val="000000"/>
                      <w:kern w:val="0"/>
                      <w:szCs w:val="21"/>
                    </w:rPr>
                    <w:t>微企业</w:t>
                  </w:r>
                  <w:proofErr w:type="gramEnd"/>
                  <w:r w:rsidRPr="00A83215">
                    <w:rPr>
                      <w:rFonts w:ascii="楷体" w:eastAsia="楷体" w:hAnsi="楷体" w:hint="eastAsia"/>
                      <w:color w:val="000000"/>
                      <w:kern w:val="0"/>
                      <w:szCs w:val="21"/>
                    </w:rPr>
                    <w:t>贷款增量占比达</w:t>
                  </w:r>
                  <w:r w:rsidRPr="00A83215">
                    <w:rPr>
                      <w:rFonts w:ascii="Times New Roman" w:eastAsia="等线" w:hAnsi="Times New Roman"/>
                      <w:color w:val="000000"/>
                      <w:kern w:val="0"/>
                      <w:szCs w:val="21"/>
                    </w:rPr>
                    <w:t>30%</w:t>
                  </w:r>
                  <w:r w:rsidRPr="00A83215">
                    <w:rPr>
                      <w:rFonts w:ascii="楷体" w:eastAsia="楷体" w:hAnsi="楷体" w:hint="eastAsia"/>
                      <w:color w:val="000000"/>
                      <w:kern w:val="0"/>
                      <w:szCs w:val="21"/>
                    </w:rPr>
                    <w:t>以上，且存量余额占</w:t>
                  </w:r>
                  <w:r w:rsidRPr="00A83215">
                    <w:rPr>
                      <w:rFonts w:ascii="Times New Roman" w:eastAsia="等线" w:hAnsi="Times New Roman"/>
                      <w:color w:val="000000"/>
                      <w:kern w:val="0"/>
                      <w:szCs w:val="21"/>
                    </w:rPr>
                    <w:t>30%</w:t>
                  </w:r>
                  <w:r w:rsidRPr="00A83215">
                    <w:rPr>
                      <w:rFonts w:ascii="楷体" w:eastAsia="楷体" w:hAnsi="楷体" w:hint="eastAsia"/>
                      <w:color w:val="000000"/>
                      <w:kern w:val="0"/>
                      <w:szCs w:val="21"/>
                    </w:rPr>
                    <w:t>以上</w:t>
                  </w:r>
                </w:p>
              </w:tc>
              <w:tc>
                <w:tcPr>
                  <w:tcW w:w="17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普惠贷款余额或增量占比达</w:t>
                  </w:r>
                  <w:r w:rsidRPr="00A83215">
                    <w:rPr>
                      <w:rFonts w:ascii="Times New Roman" w:eastAsia="等线" w:hAnsi="Times New Roman"/>
                      <w:color w:val="000000"/>
                      <w:kern w:val="0"/>
                      <w:szCs w:val="21"/>
                    </w:rPr>
                    <w:t>10%</w:t>
                  </w:r>
                </w:p>
              </w:tc>
              <w:tc>
                <w:tcPr>
                  <w:tcW w:w="31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13.50%</w:t>
                  </w:r>
                </w:p>
              </w:tc>
            </w:tr>
            <w:tr w:rsidR="00A83215" w:rsidRPr="00A83215" w:rsidTr="00A83215">
              <w:trPr>
                <w:trHeight w:val="278"/>
              </w:trPr>
              <w:tc>
                <w:tcPr>
                  <w:tcW w:w="2640" w:type="dxa"/>
                  <w:vMerge w:val="restart"/>
                  <w:tcBorders>
                    <w:top w:val="nil"/>
                    <w:left w:val="nil"/>
                    <w:bottom w:val="single" w:sz="8" w:space="0" w:color="000000"/>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县域农商行</w:t>
                  </w:r>
                </w:p>
              </w:tc>
              <w:tc>
                <w:tcPr>
                  <w:tcW w:w="290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1740" w:type="dxa"/>
                  <w:tcBorders>
                    <w:top w:val="nil"/>
                    <w:left w:val="nil"/>
                    <w:bottom w:val="nil"/>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一般情况</w:t>
                  </w:r>
                </w:p>
              </w:tc>
              <w:tc>
                <w:tcPr>
                  <w:tcW w:w="3140" w:type="dxa"/>
                  <w:tcBorders>
                    <w:top w:val="nil"/>
                    <w:left w:val="nil"/>
                    <w:bottom w:val="nil"/>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12.00%</w:t>
                  </w:r>
                </w:p>
              </w:tc>
            </w:tr>
            <w:tr w:rsidR="00A83215" w:rsidRPr="00A83215" w:rsidTr="00A83215">
              <w:trPr>
                <w:trHeight w:val="533"/>
              </w:trPr>
              <w:tc>
                <w:tcPr>
                  <w:tcW w:w="2640" w:type="dxa"/>
                  <w:vMerge/>
                  <w:tcBorders>
                    <w:top w:val="nil"/>
                    <w:left w:val="nil"/>
                    <w:bottom w:val="single" w:sz="8" w:space="0" w:color="000000"/>
                    <w:right w:val="nil"/>
                  </w:tcBorders>
                  <w:vAlign w:val="center"/>
                  <w:hideMark/>
                </w:tcPr>
                <w:p w:rsidR="00A83215" w:rsidRPr="00A83215" w:rsidRDefault="00A83215" w:rsidP="00A83215">
                  <w:pPr>
                    <w:widowControl/>
                    <w:jc w:val="left"/>
                    <w:rPr>
                      <w:rFonts w:ascii="Times New Roman" w:eastAsia="等线" w:hAnsi="Times New Roman"/>
                      <w:color w:val="000000"/>
                      <w:kern w:val="0"/>
                      <w:szCs w:val="21"/>
                    </w:rPr>
                  </w:pPr>
                </w:p>
              </w:tc>
              <w:tc>
                <w:tcPr>
                  <w:tcW w:w="290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新增存款一定比例用于当地政策</w:t>
                  </w:r>
                </w:p>
              </w:tc>
              <w:tc>
                <w:tcPr>
                  <w:tcW w:w="17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center"/>
                    <w:rPr>
                      <w:rFonts w:ascii="Times New Roman" w:eastAsia="等线" w:hAnsi="Times New Roman"/>
                      <w:color w:val="000000"/>
                      <w:kern w:val="0"/>
                      <w:szCs w:val="21"/>
                    </w:rPr>
                  </w:pPr>
                  <w:r w:rsidRPr="00A83215">
                    <w:rPr>
                      <w:rFonts w:ascii="楷体" w:eastAsia="楷体" w:hAnsi="楷体" w:hint="eastAsia"/>
                      <w:color w:val="000000"/>
                      <w:kern w:val="0"/>
                      <w:szCs w:val="21"/>
                    </w:rPr>
                    <w:t>新增存款一定比例用于当地政策</w:t>
                  </w:r>
                </w:p>
              </w:tc>
              <w:tc>
                <w:tcPr>
                  <w:tcW w:w="3140" w:type="dxa"/>
                  <w:tcBorders>
                    <w:top w:val="nil"/>
                    <w:left w:val="nil"/>
                    <w:bottom w:val="single" w:sz="8" w:space="0" w:color="auto"/>
                    <w:right w:val="nil"/>
                  </w:tcBorders>
                  <w:shd w:val="clear" w:color="auto" w:fill="auto"/>
                  <w:vAlign w:val="center"/>
                  <w:hideMark/>
                </w:tcPr>
                <w:p w:rsidR="00A83215" w:rsidRPr="00A83215" w:rsidRDefault="00A83215" w:rsidP="00A83215">
                  <w:pPr>
                    <w:widowControl/>
                    <w:jc w:val="right"/>
                    <w:rPr>
                      <w:rFonts w:ascii="Times New Roman" w:eastAsia="等线" w:hAnsi="Times New Roman"/>
                      <w:color w:val="000000"/>
                      <w:kern w:val="0"/>
                      <w:szCs w:val="21"/>
                    </w:rPr>
                  </w:pPr>
                  <w:r w:rsidRPr="00A83215">
                    <w:rPr>
                      <w:rFonts w:ascii="Times New Roman" w:eastAsia="等线" w:hAnsi="Times New Roman"/>
                      <w:color w:val="000000"/>
                      <w:kern w:val="0"/>
                      <w:szCs w:val="21"/>
                    </w:rPr>
                    <w:t>11.00%</w:t>
                  </w:r>
                </w:p>
              </w:tc>
            </w:tr>
          </w:tbl>
          <w:p w:rsidR="002C6F73" w:rsidRPr="000A7793" w:rsidRDefault="002C6F73" w:rsidP="00240965">
            <w:pPr>
              <w:snapToGrid w:val="0"/>
              <w:jc w:val="center"/>
              <w:rPr>
                <w:rFonts w:ascii="Times New Roman" w:eastAsia="楷体_GB2312" w:hAnsi="Times New Roman"/>
                <w:b/>
              </w:rPr>
            </w:pPr>
          </w:p>
        </w:tc>
      </w:tr>
      <w:tr w:rsidR="002C6F73" w:rsidRPr="00C13463" w:rsidTr="00857681">
        <w:tc>
          <w:tcPr>
            <w:tcW w:w="11058" w:type="dxa"/>
            <w:tcBorders>
              <w:top w:val="single" w:sz="4" w:space="0" w:color="auto"/>
              <w:bottom w:val="nil"/>
            </w:tcBorders>
          </w:tcPr>
          <w:p w:rsidR="00E45FD0" w:rsidRPr="006665C3" w:rsidRDefault="002C6F73" w:rsidP="00E54603">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CE45A1">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Pr="00BC49B5" w:rsidRDefault="00306F8E" w:rsidP="0024096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sidRPr="00BC49B5">
        <w:rPr>
          <w:rFonts w:ascii="Times New Roman" w:eastAsia="楷体_GB2312" w:hAnsi="Times New Roman" w:hint="eastAsia"/>
          <w:color w:val="000000"/>
          <w:szCs w:val="24"/>
        </w:rPr>
        <w:t>从</w:t>
      </w:r>
      <w:r w:rsidR="00BC49B5" w:rsidRPr="00BC49B5">
        <w:rPr>
          <w:rFonts w:ascii="Times New Roman" w:eastAsia="楷体_GB2312" w:hAnsi="Times New Roman" w:hint="eastAsia"/>
          <w:color w:val="000000"/>
          <w:szCs w:val="24"/>
        </w:rPr>
        <w:t>各家上市银行情况看，</w:t>
      </w:r>
      <w:r w:rsidR="00BC49B5">
        <w:rPr>
          <w:rFonts w:ascii="Times New Roman" w:eastAsia="楷体_GB2312" w:hAnsi="Times New Roman" w:hint="eastAsia"/>
          <w:color w:val="000000"/>
          <w:szCs w:val="24"/>
        </w:rPr>
        <w:t>之前多数银行不符合第一</w:t>
      </w:r>
      <w:proofErr w:type="gramStart"/>
      <w:r w:rsidR="00BC49B5">
        <w:rPr>
          <w:rFonts w:ascii="Times New Roman" w:eastAsia="楷体_GB2312" w:hAnsi="Times New Roman" w:hint="eastAsia"/>
          <w:color w:val="000000"/>
          <w:szCs w:val="24"/>
        </w:rPr>
        <w:t>档</w:t>
      </w:r>
      <w:proofErr w:type="gramEnd"/>
      <w:r w:rsidR="00BC49B5">
        <w:rPr>
          <w:rFonts w:ascii="Times New Roman" w:eastAsia="楷体_GB2312" w:hAnsi="Times New Roman" w:hint="eastAsia"/>
          <w:color w:val="000000"/>
          <w:szCs w:val="24"/>
        </w:rPr>
        <w:t>优惠</w:t>
      </w:r>
      <w:proofErr w:type="gramStart"/>
      <w:r w:rsidR="00BC49B5">
        <w:rPr>
          <w:rFonts w:ascii="Times New Roman" w:eastAsia="楷体_GB2312" w:hAnsi="Times New Roman" w:hint="eastAsia"/>
          <w:color w:val="000000"/>
          <w:szCs w:val="24"/>
        </w:rPr>
        <w:t>档</w:t>
      </w:r>
      <w:proofErr w:type="gramEnd"/>
      <w:r w:rsidR="00BC49B5">
        <w:rPr>
          <w:rFonts w:ascii="Times New Roman" w:eastAsia="楷体_GB2312" w:hAnsi="Times New Roman" w:hint="eastAsia"/>
          <w:color w:val="000000"/>
          <w:szCs w:val="24"/>
        </w:rPr>
        <w:t>要求，但在新的</w:t>
      </w:r>
      <w:proofErr w:type="gramStart"/>
      <w:r w:rsidR="004418DC">
        <w:rPr>
          <w:rFonts w:ascii="Times New Roman" w:eastAsia="楷体_GB2312" w:hAnsi="Times New Roman" w:hint="eastAsia"/>
          <w:color w:val="000000"/>
          <w:szCs w:val="24"/>
        </w:rPr>
        <w:t>降准政策</w:t>
      </w:r>
      <w:proofErr w:type="gramEnd"/>
      <w:r w:rsidR="004418DC">
        <w:rPr>
          <w:rFonts w:ascii="Times New Roman" w:eastAsia="楷体_GB2312" w:hAnsi="Times New Roman" w:hint="eastAsia"/>
          <w:color w:val="000000"/>
          <w:szCs w:val="24"/>
        </w:rPr>
        <w:t>下都能满足要求，由于多数银行尚未公布普惠贷款的具体数据，无法确定有多少银行能跳级至二挡，但预计原本处于二档的降级可能性较低。工行建行以及大多数股份行预计至少能获得升级至一档（</w:t>
      </w:r>
      <w:r w:rsidR="004418DC">
        <w:rPr>
          <w:rFonts w:ascii="Times New Roman" w:eastAsia="楷体_GB2312" w:hAnsi="Times New Roman" w:hint="eastAsia"/>
          <w:color w:val="000000"/>
          <w:szCs w:val="24"/>
        </w:rPr>
        <w:t>0.5%</w:t>
      </w:r>
      <w:r w:rsidR="004418DC">
        <w:rPr>
          <w:rFonts w:ascii="Times New Roman" w:eastAsia="楷体_GB2312" w:hAnsi="Times New Roman" w:hint="eastAsia"/>
          <w:color w:val="000000"/>
          <w:szCs w:val="24"/>
        </w:rPr>
        <w:t>降准）的优惠，不考虑货币乘数效应的情况下释放流动性有限。</w:t>
      </w:r>
    </w:p>
    <w:tbl>
      <w:tblPr>
        <w:tblW w:w="11199"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9"/>
      </w:tblGrid>
      <w:tr w:rsidR="00032CC6" w:rsidRPr="00750071" w:rsidTr="00032CC6">
        <w:tc>
          <w:tcPr>
            <w:tcW w:w="11199" w:type="dxa"/>
            <w:tcBorders>
              <w:top w:val="nil"/>
              <w:bottom w:val="single" w:sz="8" w:space="0" w:color="000000"/>
            </w:tcBorders>
          </w:tcPr>
          <w:p w:rsidR="00032CC6" w:rsidRPr="00C13463" w:rsidRDefault="00032CC6" w:rsidP="00032CC6">
            <w:pPr>
              <w:pStyle w:val="ab"/>
              <w:ind w:leftChars="16" w:left="34" w:rightChars="15" w:right="31"/>
              <w:jc w:val="left"/>
              <w:rPr>
                <w:rFonts w:ascii="Times New Roman" w:eastAsia="楷体_GB2312" w:hAnsi="Times New Roman"/>
                <w:sz w:val="21"/>
                <w:szCs w:val="21"/>
              </w:rPr>
            </w:pPr>
            <w:bookmarkStart w:id="5" w:name="_Toc494044059"/>
            <w:r w:rsidRPr="00C13463">
              <w:rPr>
                <w:rFonts w:ascii="Times New Roman" w:eastAsia="楷体_GB2312" w:hAnsi="Times New Roman" w:hint="eastAsia"/>
                <w:b/>
                <w:color w:val="17365D"/>
                <w:sz w:val="21"/>
                <w:szCs w:val="21"/>
              </w:rPr>
              <w:lastRenderedPageBreak/>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857681">
              <w:rPr>
                <w:rFonts w:ascii="Times New Roman" w:eastAsia="楷体_GB2312" w:hAnsi="Times New Roman" w:cs="Times New Roman"/>
                <w:b/>
                <w:noProof/>
                <w:color w:val="17365D"/>
                <w:sz w:val="21"/>
                <w:szCs w:val="21"/>
              </w:rPr>
              <w:t>2</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5"/>
            <w:r w:rsidR="00306F8E">
              <w:rPr>
                <w:rFonts w:ascii="Times New Roman" w:eastAsia="楷体_GB2312" w:hAnsi="Times New Roman" w:hint="eastAsia"/>
                <w:b/>
                <w:color w:val="17365D"/>
                <w:sz w:val="21"/>
                <w:szCs w:val="21"/>
              </w:rPr>
              <w:t>上市银行法定准备金率释放流动性测算（亿元）</w:t>
            </w:r>
          </w:p>
        </w:tc>
      </w:tr>
      <w:tr w:rsidR="00032CC6" w:rsidRPr="00520DC6" w:rsidTr="00032CC6">
        <w:trPr>
          <w:trHeight w:val="264"/>
        </w:trPr>
        <w:tc>
          <w:tcPr>
            <w:tcW w:w="11199" w:type="dxa"/>
            <w:tcBorders>
              <w:top w:val="single" w:sz="8" w:space="0" w:color="000000"/>
              <w:bottom w:val="single" w:sz="4" w:space="0" w:color="auto"/>
            </w:tcBorders>
          </w:tcPr>
          <w:tbl>
            <w:tblPr>
              <w:tblW w:w="11069" w:type="dxa"/>
              <w:tblLayout w:type="fixed"/>
              <w:tblLook w:val="04A0" w:firstRow="1" w:lastRow="0" w:firstColumn="1" w:lastColumn="0" w:noHBand="0" w:noVBand="1"/>
            </w:tblPr>
            <w:tblGrid>
              <w:gridCol w:w="1168"/>
              <w:gridCol w:w="1134"/>
              <w:gridCol w:w="1134"/>
              <w:gridCol w:w="1450"/>
              <w:gridCol w:w="1560"/>
              <w:gridCol w:w="1134"/>
              <w:gridCol w:w="2409"/>
              <w:gridCol w:w="1080"/>
            </w:tblGrid>
            <w:tr w:rsidR="00306F8E" w:rsidRPr="00306F8E" w:rsidTr="00306F8E">
              <w:trPr>
                <w:trHeight w:val="563"/>
              </w:trPr>
              <w:tc>
                <w:tcPr>
                  <w:tcW w:w="1168"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银行类别</w:t>
                  </w:r>
                </w:p>
              </w:tc>
              <w:tc>
                <w:tcPr>
                  <w:tcW w:w="1134"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银行</w:t>
                  </w:r>
                </w:p>
              </w:tc>
              <w:tc>
                <w:tcPr>
                  <w:tcW w:w="1134"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存款</w:t>
                  </w:r>
                </w:p>
              </w:tc>
              <w:tc>
                <w:tcPr>
                  <w:tcW w:w="1450"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原有法定存款准备金率</w:t>
                  </w:r>
                </w:p>
              </w:tc>
              <w:tc>
                <w:tcPr>
                  <w:tcW w:w="1560"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对应一般</w:t>
                  </w:r>
                  <w:proofErr w:type="gramStart"/>
                  <w:r w:rsidRPr="00306F8E">
                    <w:rPr>
                      <w:rFonts w:ascii="楷体" w:eastAsia="楷体" w:hAnsi="楷体" w:hint="eastAsia"/>
                      <w:color w:val="FFFFFF"/>
                      <w:kern w:val="0"/>
                      <w:sz w:val="22"/>
                    </w:rPr>
                    <w:t>档</w:t>
                  </w:r>
                  <w:proofErr w:type="gramEnd"/>
                  <w:r w:rsidRPr="00306F8E">
                    <w:rPr>
                      <w:rFonts w:ascii="楷体" w:eastAsia="楷体" w:hAnsi="楷体" w:hint="eastAsia"/>
                      <w:color w:val="FFFFFF"/>
                      <w:kern w:val="0"/>
                      <w:sz w:val="22"/>
                    </w:rPr>
                    <w:t>准备金率</w:t>
                  </w:r>
                </w:p>
              </w:tc>
              <w:tc>
                <w:tcPr>
                  <w:tcW w:w="1134"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优惠级别</w:t>
                  </w:r>
                </w:p>
              </w:tc>
              <w:tc>
                <w:tcPr>
                  <w:tcW w:w="2409"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假设至少达到一档的法定存款准备金率</w:t>
                  </w:r>
                </w:p>
              </w:tc>
              <w:tc>
                <w:tcPr>
                  <w:tcW w:w="1080" w:type="dxa"/>
                  <w:tcBorders>
                    <w:top w:val="nil"/>
                    <w:left w:val="nil"/>
                    <w:bottom w:val="nil"/>
                    <w:right w:val="nil"/>
                  </w:tcBorders>
                  <w:shd w:val="clear" w:color="000000" w:fill="1F4E79"/>
                  <w:vAlign w:val="center"/>
                  <w:hideMark/>
                </w:tcPr>
                <w:p w:rsidR="00306F8E" w:rsidRPr="00306F8E" w:rsidRDefault="00306F8E" w:rsidP="00306F8E">
                  <w:pPr>
                    <w:widowControl/>
                    <w:jc w:val="center"/>
                    <w:rPr>
                      <w:rFonts w:ascii="Times New Roman" w:eastAsia="等线" w:hAnsi="Times New Roman"/>
                      <w:b/>
                      <w:bCs/>
                      <w:color w:val="FFFFFF"/>
                      <w:kern w:val="0"/>
                      <w:szCs w:val="21"/>
                    </w:rPr>
                  </w:pPr>
                  <w:r w:rsidRPr="00306F8E">
                    <w:rPr>
                      <w:rFonts w:ascii="楷体" w:eastAsia="楷体" w:hAnsi="楷体" w:hint="eastAsia"/>
                      <w:color w:val="FFFFFF"/>
                      <w:kern w:val="0"/>
                      <w:sz w:val="22"/>
                    </w:rPr>
                    <w:t>释放流动性</w:t>
                  </w:r>
                </w:p>
              </w:tc>
            </w:tr>
            <w:tr w:rsidR="00306F8E" w:rsidRPr="00306F8E" w:rsidTr="00306F8E">
              <w:trPr>
                <w:trHeight w:val="285"/>
              </w:trPr>
              <w:tc>
                <w:tcPr>
                  <w:tcW w:w="1168" w:type="dxa"/>
                  <w:vMerge w:val="restart"/>
                  <w:tcBorders>
                    <w:top w:val="nil"/>
                    <w:left w:val="nil"/>
                    <w:bottom w:val="single" w:sz="8" w:space="0" w:color="000000"/>
                    <w:right w:val="nil"/>
                  </w:tcBorders>
                  <w:shd w:val="clear" w:color="auto" w:fill="auto"/>
                  <w:noWrap/>
                  <w:vAlign w:val="center"/>
                  <w:hideMark/>
                </w:tcPr>
                <w:p w:rsidR="00306F8E" w:rsidRPr="00306F8E" w:rsidRDefault="00306F8E" w:rsidP="00306F8E">
                  <w:pPr>
                    <w:widowControl/>
                    <w:jc w:val="center"/>
                    <w:rPr>
                      <w:rFonts w:ascii="Times New Roman" w:eastAsia="等线" w:hAnsi="Times New Roman"/>
                      <w:color w:val="000000"/>
                      <w:kern w:val="0"/>
                      <w:sz w:val="22"/>
                    </w:rPr>
                  </w:pPr>
                  <w:r w:rsidRPr="00306F8E">
                    <w:rPr>
                      <w:rFonts w:ascii="楷体" w:eastAsia="楷体" w:hAnsi="楷体" w:hint="eastAsia"/>
                      <w:color w:val="000000"/>
                      <w:kern w:val="0"/>
                      <w:sz w:val="22"/>
                    </w:rPr>
                    <w:t>国有行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工商银行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190,211.7</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951.1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建设银行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162,743.9</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813.7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农业银行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161,049.5</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中国银行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137,320.6</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93"/>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交通银行</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49,386.9</w:t>
                  </w:r>
                </w:p>
              </w:tc>
              <w:tc>
                <w:tcPr>
                  <w:tcW w:w="145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56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17.0%</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16.5%</w:t>
                  </w:r>
                </w:p>
              </w:tc>
              <w:tc>
                <w:tcPr>
                  <w:tcW w:w="108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val="restart"/>
                  <w:tcBorders>
                    <w:top w:val="nil"/>
                    <w:left w:val="nil"/>
                    <w:bottom w:val="single" w:sz="8" w:space="0" w:color="000000"/>
                    <w:right w:val="nil"/>
                  </w:tcBorders>
                  <w:shd w:val="clear" w:color="auto" w:fill="auto"/>
                  <w:noWrap/>
                  <w:vAlign w:val="center"/>
                  <w:hideMark/>
                </w:tcPr>
                <w:p w:rsidR="00306F8E" w:rsidRPr="00306F8E" w:rsidRDefault="00306F8E" w:rsidP="00306F8E">
                  <w:pPr>
                    <w:widowControl/>
                    <w:jc w:val="center"/>
                    <w:rPr>
                      <w:rFonts w:ascii="Times New Roman" w:eastAsia="等线" w:hAnsi="Times New Roman"/>
                      <w:color w:val="000000"/>
                      <w:kern w:val="0"/>
                      <w:sz w:val="22"/>
                    </w:rPr>
                  </w:pPr>
                  <w:r w:rsidRPr="00306F8E">
                    <w:rPr>
                      <w:rFonts w:ascii="楷体" w:eastAsia="楷体" w:hAnsi="楷体" w:hint="eastAsia"/>
                      <w:color w:val="000000"/>
                      <w:kern w:val="0"/>
                      <w:sz w:val="22"/>
                    </w:rPr>
                    <w:t>股份行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招商银行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41,422.5</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207.1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中信银行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34,534.8</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172.7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浦发银行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31,725.2</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158.6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民生银行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30,231.3</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151.2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兴业银行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30,082.2</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150.4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光大银行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22,713.0</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华夏银行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13,768.8</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93"/>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平安银行</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19,123.3</w:t>
                  </w:r>
                </w:p>
              </w:tc>
              <w:tc>
                <w:tcPr>
                  <w:tcW w:w="145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56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95.6 </w:t>
                  </w:r>
                </w:p>
              </w:tc>
            </w:tr>
            <w:tr w:rsidR="00306F8E" w:rsidRPr="00306F8E" w:rsidTr="00306F8E">
              <w:trPr>
                <w:trHeight w:val="285"/>
              </w:trPr>
              <w:tc>
                <w:tcPr>
                  <w:tcW w:w="1168" w:type="dxa"/>
                  <w:vMerge w:val="restart"/>
                  <w:tcBorders>
                    <w:top w:val="nil"/>
                    <w:left w:val="nil"/>
                    <w:bottom w:val="single" w:sz="8" w:space="0" w:color="000000"/>
                    <w:right w:val="nil"/>
                  </w:tcBorders>
                  <w:shd w:val="clear" w:color="auto" w:fill="auto"/>
                  <w:noWrap/>
                  <w:vAlign w:val="center"/>
                  <w:hideMark/>
                </w:tcPr>
                <w:p w:rsidR="00306F8E" w:rsidRPr="00306F8E" w:rsidRDefault="00306F8E" w:rsidP="00306F8E">
                  <w:pPr>
                    <w:widowControl/>
                    <w:jc w:val="center"/>
                    <w:rPr>
                      <w:rFonts w:ascii="Times New Roman" w:eastAsia="等线" w:hAnsi="Times New Roman"/>
                      <w:color w:val="000000"/>
                      <w:kern w:val="0"/>
                      <w:sz w:val="22"/>
                    </w:rPr>
                  </w:pPr>
                  <w:r w:rsidRPr="00306F8E">
                    <w:rPr>
                      <w:rFonts w:ascii="楷体" w:eastAsia="楷体" w:hAnsi="楷体" w:hint="eastAsia"/>
                      <w:color w:val="000000"/>
                      <w:kern w:val="0"/>
                      <w:sz w:val="22"/>
                    </w:rPr>
                    <w:t>城商行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北京银行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12,679.1</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南京银行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7,202.9</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宁波银行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5,551.1</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上海银行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8,807.5</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14.5%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贵阳银行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2,732.6</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杭州银行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3,819.5</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93"/>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江苏银行</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9,843.1</w:t>
                  </w:r>
                </w:p>
              </w:tc>
              <w:tc>
                <w:tcPr>
                  <w:tcW w:w="145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val="restart"/>
                  <w:tcBorders>
                    <w:top w:val="nil"/>
                    <w:left w:val="nil"/>
                    <w:bottom w:val="single" w:sz="8" w:space="0" w:color="000000"/>
                    <w:right w:val="nil"/>
                  </w:tcBorders>
                  <w:shd w:val="clear" w:color="auto" w:fill="auto"/>
                  <w:noWrap/>
                  <w:vAlign w:val="center"/>
                  <w:hideMark/>
                </w:tcPr>
                <w:p w:rsidR="00306F8E" w:rsidRPr="00306F8E" w:rsidRDefault="00306F8E" w:rsidP="00306F8E">
                  <w:pPr>
                    <w:widowControl/>
                    <w:jc w:val="center"/>
                    <w:rPr>
                      <w:rFonts w:ascii="Times New Roman" w:eastAsia="等线" w:hAnsi="Times New Roman"/>
                      <w:color w:val="000000"/>
                      <w:kern w:val="0"/>
                      <w:sz w:val="22"/>
                    </w:rPr>
                  </w:pPr>
                  <w:r w:rsidRPr="00306F8E">
                    <w:rPr>
                      <w:rFonts w:ascii="楷体" w:eastAsia="楷体" w:hAnsi="楷体" w:hint="eastAsia"/>
                      <w:color w:val="000000"/>
                      <w:kern w:val="0"/>
                      <w:sz w:val="22"/>
                    </w:rPr>
                    <w:t>非县域农商行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无锡银行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1,000.1</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93"/>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吴江银行</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684.7</w:t>
                  </w:r>
                </w:p>
              </w:tc>
              <w:tc>
                <w:tcPr>
                  <w:tcW w:w="145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56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15.0%</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1.5%</w:t>
                  </w:r>
                </w:p>
              </w:tc>
              <w:tc>
                <w:tcPr>
                  <w:tcW w:w="2409"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13.5%</w:t>
                  </w:r>
                </w:p>
              </w:tc>
              <w:tc>
                <w:tcPr>
                  <w:tcW w:w="108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val="restart"/>
                  <w:tcBorders>
                    <w:top w:val="nil"/>
                    <w:left w:val="nil"/>
                    <w:bottom w:val="single" w:sz="8" w:space="0" w:color="000000"/>
                    <w:right w:val="nil"/>
                  </w:tcBorders>
                  <w:shd w:val="clear" w:color="auto" w:fill="auto"/>
                  <w:noWrap/>
                  <w:vAlign w:val="center"/>
                  <w:hideMark/>
                </w:tcPr>
                <w:p w:rsidR="00306F8E" w:rsidRPr="00306F8E" w:rsidRDefault="00306F8E" w:rsidP="00306F8E">
                  <w:pPr>
                    <w:widowControl/>
                    <w:jc w:val="center"/>
                    <w:rPr>
                      <w:rFonts w:ascii="Times New Roman" w:eastAsia="等线" w:hAnsi="Times New Roman"/>
                      <w:color w:val="000000"/>
                      <w:kern w:val="0"/>
                      <w:sz w:val="22"/>
                    </w:rPr>
                  </w:pPr>
                  <w:r w:rsidRPr="00306F8E">
                    <w:rPr>
                      <w:rFonts w:ascii="楷体" w:eastAsia="楷体" w:hAnsi="楷体" w:hint="eastAsia"/>
                      <w:color w:val="000000"/>
                      <w:kern w:val="0"/>
                      <w:sz w:val="22"/>
                    </w:rPr>
                    <w:t>县域农商行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常熟银行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965.0</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85"/>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江阴银行</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759.9</w:t>
                  </w:r>
                </w:p>
              </w:tc>
              <w:tc>
                <w:tcPr>
                  <w:tcW w:w="145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56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134"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080" w:type="dxa"/>
                  <w:tcBorders>
                    <w:top w:val="nil"/>
                    <w:left w:val="nil"/>
                    <w:bottom w:val="nil"/>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r w:rsidR="00306F8E" w:rsidRPr="00306F8E" w:rsidTr="00306F8E">
              <w:trPr>
                <w:trHeight w:val="293"/>
              </w:trPr>
              <w:tc>
                <w:tcPr>
                  <w:tcW w:w="1168" w:type="dxa"/>
                  <w:vMerge/>
                  <w:tcBorders>
                    <w:top w:val="nil"/>
                    <w:left w:val="nil"/>
                    <w:bottom w:val="single" w:sz="8" w:space="0" w:color="000000"/>
                    <w:right w:val="nil"/>
                  </w:tcBorders>
                  <w:vAlign w:val="center"/>
                  <w:hideMark/>
                </w:tcPr>
                <w:p w:rsidR="00306F8E" w:rsidRPr="00306F8E" w:rsidRDefault="00306F8E" w:rsidP="00306F8E">
                  <w:pPr>
                    <w:widowControl/>
                    <w:jc w:val="left"/>
                    <w:rPr>
                      <w:rFonts w:ascii="Times New Roman" w:eastAsia="等线" w:hAnsi="Times New Roman"/>
                      <w:color w:val="000000"/>
                      <w:kern w:val="0"/>
                      <w:sz w:val="22"/>
                    </w:rPr>
                  </w:pP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left"/>
                    <w:rPr>
                      <w:rFonts w:ascii="Times New Roman" w:eastAsia="等线" w:hAnsi="Times New Roman"/>
                      <w:color w:val="000000"/>
                      <w:kern w:val="0"/>
                      <w:sz w:val="22"/>
                    </w:rPr>
                  </w:pPr>
                  <w:r w:rsidRPr="00306F8E">
                    <w:rPr>
                      <w:rFonts w:ascii="楷体" w:eastAsia="楷体" w:hAnsi="楷体" w:hint="eastAsia"/>
                      <w:color w:val="000000"/>
                      <w:kern w:val="0"/>
                      <w:sz w:val="22"/>
                    </w:rPr>
                    <w:t>张家港行</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679.9</w:t>
                  </w:r>
                </w:p>
              </w:tc>
              <w:tc>
                <w:tcPr>
                  <w:tcW w:w="145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56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134"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0.0%</w:t>
                  </w:r>
                </w:p>
              </w:tc>
              <w:tc>
                <w:tcPr>
                  <w:tcW w:w="2409"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12.0%</w:t>
                  </w:r>
                </w:p>
              </w:tc>
              <w:tc>
                <w:tcPr>
                  <w:tcW w:w="1080" w:type="dxa"/>
                  <w:tcBorders>
                    <w:top w:val="nil"/>
                    <w:left w:val="nil"/>
                    <w:bottom w:val="single" w:sz="8" w:space="0" w:color="auto"/>
                    <w:right w:val="nil"/>
                  </w:tcBorders>
                  <w:shd w:val="clear" w:color="auto" w:fill="auto"/>
                  <w:noWrap/>
                  <w:vAlign w:val="bottom"/>
                  <w:hideMark/>
                </w:tcPr>
                <w:p w:rsidR="00306F8E" w:rsidRPr="00306F8E" w:rsidRDefault="00306F8E" w:rsidP="00306F8E">
                  <w:pPr>
                    <w:widowControl/>
                    <w:jc w:val="right"/>
                    <w:rPr>
                      <w:rFonts w:ascii="Times New Roman" w:eastAsia="等线" w:hAnsi="Times New Roman"/>
                      <w:color w:val="000000"/>
                      <w:kern w:val="0"/>
                      <w:sz w:val="22"/>
                    </w:rPr>
                  </w:pPr>
                  <w:r w:rsidRPr="00306F8E">
                    <w:rPr>
                      <w:rFonts w:ascii="Times New Roman" w:eastAsia="等线" w:hAnsi="Times New Roman"/>
                      <w:color w:val="000000"/>
                      <w:kern w:val="0"/>
                      <w:sz w:val="22"/>
                    </w:rPr>
                    <w:t xml:space="preserve">0.0 </w:t>
                  </w:r>
                </w:p>
              </w:tc>
            </w:tr>
          </w:tbl>
          <w:p w:rsidR="00032CC6" w:rsidRPr="00032CC6" w:rsidRDefault="00032CC6" w:rsidP="008F6AF6">
            <w:pPr>
              <w:snapToGrid w:val="0"/>
              <w:jc w:val="center"/>
              <w:rPr>
                <w:rFonts w:ascii="Times New Roman" w:eastAsia="楷体_GB2312" w:hAnsi="Times New Roman"/>
                <w:b/>
              </w:rPr>
            </w:pPr>
          </w:p>
        </w:tc>
      </w:tr>
      <w:tr w:rsidR="00032CC6" w:rsidRPr="00C13463" w:rsidTr="00032CC6">
        <w:tc>
          <w:tcPr>
            <w:tcW w:w="11199" w:type="dxa"/>
            <w:tcBorders>
              <w:top w:val="single" w:sz="4" w:space="0" w:color="auto"/>
              <w:bottom w:val="nil"/>
            </w:tcBorders>
          </w:tcPr>
          <w:p w:rsidR="00032CC6" w:rsidRPr="006665C3" w:rsidRDefault="00032CC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306F8E">
              <w:rPr>
                <w:rFonts w:ascii="Times New Roman" w:eastAsia="楷体_GB2312" w:hAnsi="Times New Roman" w:cs="楷体_GB2312" w:hint="eastAsia"/>
                <w:bCs/>
                <w:kern w:val="0"/>
                <w:szCs w:val="21"/>
              </w:rPr>
              <w:t>上市银行中报</w:t>
            </w:r>
            <w:r w:rsidRPr="00E54603">
              <w:rPr>
                <w:rFonts w:ascii="Times New Roman" w:eastAsia="楷体_GB2312" w:hAnsi="Times New Roman"/>
                <w:bCs/>
                <w:kern w:val="0"/>
                <w:szCs w:val="21"/>
              </w:rPr>
              <w:t>，东吴证券研究所</w:t>
            </w:r>
          </w:p>
        </w:tc>
      </w:tr>
    </w:tbl>
    <w:p w:rsidR="00032CC6" w:rsidRP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857681" w:rsidRDefault="00857681"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AF36B6" w:rsidRPr="00463EF9" w:rsidRDefault="00AF36B6" w:rsidP="00442CCD">
      <w:pPr>
        <w:pStyle w:val="1"/>
        <w:rPr>
          <w:rFonts w:eastAsia="楷体_GB2312"/>
        </w:rPr>
        <w:sectPr w:rsidR="00AF36B6" w:rsidRPr="00463EF9" w:rsidSect="00762595">
          <w:headerReference w:type="default" r:id="rId8"/>
          <w:footerReference w:type="default" r:id="rId9"/>
          <w:pgSz w:w="11906" w:h="16838"/>
          <w:pgMar w:top="1440" w:right="851" w:bottom="1440" w:left="851" w:header="851" w:footer="578" w:gutter="0"/>
          <w:cols w:space="425" w:equalWidth="0">
            <w:col w:w="9254" w:space="425"/>
          </w:cols>
          <w:docGrid w:type="lines" w:linePitch="312"/>
        </w:sectPr>
      </w:pPr>
    </w:p>
    <w:bookmarkEnd w:id="0"/>
    <w:bookmarkEnd w:id="1"/>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933F54"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7728"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24"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10"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11"/>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7D4" w:rsidRPr="002F3F78" w:rsidRDefault="003617D4" w:rsidP="000A57AA">
      <w:r>
        <w:separator/>
      </w:r>
    </w:p>
  </w:endnote>
  <w:endnote w:type="continuationSeparator" w:id="0">
    <w:p w:rsidR="003617D4" w:rsidRPr="002F3F78" w:rsidRDefault="003617D4"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9B5" w:rsidRPr="000C09E0" w:rsidRDefault="00BC49B5">
    <w:pPr>
      <w:pStyle w:val="a5"/>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4418DC">
      <w:rPr>
        <w:rFonts w:ascii="Times New Roman" w:hAnsi="Times New Roman"/>
        <w:b/>
        <w:bCs/>
        <w:noProof/>
      </w:rPr>
      <w:t>1</w:t>
    </w:r>
    <w:r w:rsidRPr="000C09E0">
      <w:rPr>
        <w:rFonts w:ascii="Times New Roman" w:hAnsi="Times New Roman"/>
        <w:b/>
        <w:bCs/>
        <w:sz w:val="24"/>
        <w:szCs w:val="24"/>
      </w:rPr>
      <w:fldChar w:fldCharType="end"/>
    </w:r>
    <w:r w:rsidRPr="000C09E0">
      <w:rPr>
        <w:rFonts w:ascii="Times New Roman" w:hAnsi="Times New Roman"/>
        <w:lang w:val="zh-CN"/>
      </w:rPr>
      <w:t xml:space="preserve"> </w:t>
    </w: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4418DC">
      <w:rPr>
        <w:rFonts w:ascii="Times New Roman" w:hAnsi="Times New Roman"/>
        <w:b/>
        <w:bCs/>
        <w:noProof/>
      </w:rPr>
      <w:t>3</w:t>
    </w:r>
    <w:r w:rsidRPr="000C09E0">
      <w:rPr>
        <w:rFonts w:ascii="Times New Roman" w:hAnsi="Times New Roman"/>
        <w:b/>
        <w:bCs/>
        <w:sz w:val="24"/>
        <w:szCs w:val="24"/>
      </w:rPr>
      <w:fldChar w:fldCharType="end"/>
    </w:r>
  </w:p>
  <w:p w:rsidR="00BC49B5" w:rsidRPr="000C09E0" w:rsidRDefault="00BC49B5" w:rsidP="00E2262F">
    <w:pPr>
      <w:pStyle w:val="a5"/>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14:anchorId="34B125CF" wp14:editId="0B04463A">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Pr="00E2262F" w:rsidRDefault="00BC49B5"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125CF" id="_x0000_t202" coordsize="21600,21600" o:spt="202" path="m,l,21600r21600,l21600,xe">
              <v:stroke joinstyle="miter"/>
              <v:path gradientshapeok="t" o:connecttype="rect"/>
            </v:shapetype>
            <v:shape id="Text Box 48" o:spid="_x0000_s1029"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0pKlA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" stroked="f">
              <v:fill opacity="0"/>
              <v:textbox style="mso-fit-shape-to-text:t">
                <w:txbxContent>
                  <w:p w:rsidR="00BC49B5" w:rsidRPr="00E2262F" w:rsidRDefault="00BC49B5"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BC49B5" w:rsidRPr="000C09E0" w:rsidRDefault="00BC49B5" w:rsidP="00B71A7B">
    <w:pPr>
      <w:pStyle w:val="a5"/>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14:anchorId="3E06D23F" wp14:editId="26BC970D">
              <wp:simplePos x="0" y="0"/>
              <wp:positionH relativeFrom="column">
                <wp:posOffset>-1149985</wp:posOffset>
              </wp:positionH>
              <wp:positionV relativeFrom="paragraph">
                <wp:posOffset>54610</wp:posOffset>
              </wp:positionV>
              <wp:extent cx="3400425" cy="276225"/>
              <wp:effectExtent l="0" t="0" r="9525" b="952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Pr="00E2262F" w:rsidRDefault="00BC49B5"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BC49B5" w:rsidRPr="006664C1" w:rsidRDefault="00BC49B5"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D23F" id="Rectangle 47" o:spid="_x0000_s1030"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7HKhAIAAA4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oj4fag&#10;io3hj6ALa6Bs0JrwiMCkMfYbRj00ZIXd1x21AiP1VoO2ioyQ0MFxQcbTHBb20rK5tFDNAKrCHqNh&#10;uvRD1+86K7cN3JTFVGlzA3qsZZTKE6ujiqHpYkzHByJ09eU6ej09Y4ufA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FnzscqEAgAADgUAAA4AAAAAAAAAAAAAAAAALgIAAGRycy9lMm9Eb2MueG1sUEsBAi0AFAAGAAgA&#10;AAAhAEoNyrXhAAAACQEAAA8AAAAAAAAAAAAAAAAA3gQAAGRycy9kb3ducmV2LnhtbFBLBQYAAAAA&#10;BAAEAPMAAADsBQAAAAA=&#10;" fillcolor="#d8d8d8" stroked="f">
              <v:textbox>
                <w:txbxContent>
                  <w:p w:rsidR="00BC49B5" w:rsidRPr="00E2262F" w:rsidRDefault="00BC49B5"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BC49B5" w:rsidRPr="006664C1" w:rsidRDefault="00BC49B5"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14:anchorId="2BFB913C" wp14:editId="6CFF7785">
              <wp:simplePos x="0" y="0"/>
              <wp:positionH relativeFrom="column">
                <wp:posOffset>-1149985</wp:posOffset>
              </wp:positionH>
              <wp:positionV relativeFrom="paragraph">
                <wp:posOffset>267970</wp:posOffset>
              </wp:positionV>
              <wp:extent cx="8134985" cy="298450"/>
              <wp:effectExtent l="0" t="0" r="0" b="635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Default="00BC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913C" id="Rectangle 46" o:spid="_x0000_s1031"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C3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DmzwC3iQIAAA4FAAAOAAAAAAAAAAAAAAAAAC4CAABkcnMvZTJvRG9jLnhtbFBLAQItABQA&#10;BgAIAAAAIQDQN9sd4AAAAAsBAAAPAAAAAAAAAAAAAAAAAOMEAABkcnMvZG93bnJldi54bWxQSwUG&#10;AAAAAAQABADzAAAA8AUAAAAA&#10;" fillcolor="#17365d" stroked="f">
              <v:textbox>
                <w:txbxContent>
                  <w:p w:rsidR="00BC49B5" w:rsidRDefault="00BC49B5"/>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7D4" w:rsidRPr="002F3F78" w:rsidRDefault="003617D4" w:rsidP="000A57AA">
      <w:r>
        <w:separator/>
      </w:r>
    </w:p>
  </w:footnote>
  <w:footnote w:type="continuationSeparator" w:id="0">
    <w:p w:rsidR="003617D4" w:rsidRPr="002F3F78" w:rsidRDefault="003617D4"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9B5" w:rsidRDefault="00BC49B5" w:rsidP="009C0D57">
    <w:pPr>
      <w:pStyle w:val="a3"/>
      <w:jc w:val="both"/>
    </w:pPr>
    <w:r>
      <w:rPr>
        <w:noProof/>
      </w:rPr>
      <mc:AlternateContent>
        <mc:Choice Requires="wps">
          <w:drawing>
            <wp:anchor distT="0" distB="0" distL="114300" distR="114300" simplePos="0" relativeHeight="251664384" behindDoc="0" locked="0" layoutInCell="1" allowOverlap="1" wp14:anchorId="2BCFB3A3" wp14:editId="5A2B4D61">
              <wp:simplePos x="0" y="0"/>
              <wp:positionH relativeFrom="column">
                <wp:posOffset>-694055</wp:posOffset>
              </wp:positionH>
              <wp:positionV relativeFrom="paragraph">
                <wp:posOffset>-130810</wp:posOffset>
              </wp:positionV>
              <wp:extent cx="4407535" cy="342900"/>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BC49B5" w:rsidRPr="00547C68" w:rsidTr="00CA661C">
                            <w:trPr>
                              <w:trHeight w:hRule="exact" w:val="23"/>
                            </w:trPr>
                            <w:tc>
                              <w:tcPr>
                                <w:tcW w:w="5989" w:type="dxa"/>
                                <w:shd w:val="clear" w:color="auto" w:fill="auto"/>
                              </w:tcPr>
                              <w:p w:rsidR="00BC49B5" w:rsidRPr="00547C68" w:rsidRDefault="00BC49B5"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BC49B5" w:rsidRPr="00547C68" w:rsidTr="00CA661C">
                            <w:tc>
                              <w:tcPr>
                                <w:tcW w:w="5989" w:type="dxa"/>
                                <w:shd w:val="clear" w:color="auto" w:fill="auto"/>
                              </w:tcPr>
                              <w:p w:rsidR="00BC49B5" w:rsidRPr="00547C68" w:rsidRDefault="00BC49B5"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BC49B5" w:rsidRDefault="00BC49B5"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CFB3A3" id="_x0000_t202" coordsize="21600,21600" o:spt="202" path="m,l,21600r21600,l21600,xe">
              <v:stroke joinstyle="miter"/>
              <v:path gradientshapeok="t" o:connecttype="rect"/>
            </v:shapetype>
            <v:shape id="文本框 2" o:spid="_x0000_s1026" type="#_x0000_t202" style="position:absolute;left:0;text-align:left;margin-left:-54.65pt;margin-top:-10.3pt;width:347.0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QrkwIAABA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" stroked="f">
              <v:textbox>
                <w:txbxContent>
                  <w:tbl>
                    <w:tblPr>
                      <w:tblW w:w="0" w:type="auto"/>
                      <w:tblInd w:w="588" w:type="dxa"/>
                      <w:tblLook w:val="04A0" w:firstRow="1" w:lastRow="0" w:firstColumn="1" w:lastColumn="0" w:noHBand="0" w:noVBand="1"/>
                    </w:tblPr>
                    <w:tblGrid>
                      <w:gridCol w:w="5989"/>
                    </w:tblGrid>
                    <w:tr w:rsidR="00BC49B5" w:rsidRPr="00547C68" w:rsidTr="00CA661C">
                      <w:trPr>
                        <w:trHeight w:hRule="exact" w:val="23"/>
                      </w:trPr>
                      <w:tc>
                        <w:tcPr>
                          <w:tcW w:w="5989" w:type="dxa"/>
                          <w:shd w:val="clear" w:color="auto" w:fill="auto"/>
                        </w:tcPr>
                        <w:p w:rsidR="00BC49B5" w:rsidRPr="00547C68" w:rsidRDefault="00BC49B5"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BC49B5" w:rsidRPr="00547C68" w:rsidTr="00CA661C">
                      <w:tc>
                        <w:tcPr>
                          <w:tcW w:w="5989" w:type="dxa"/>
                          <w:shd w:val="clear" w:color="auto" w:fill="auto"/>
                        </w:tcPr>
                        <w:p w:rsidR="00BC49B5" w:rsidRPr="00547C68" w:rsidRDefault="00BC49B5"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BC49B5" w:rsidRDefault="00BC49B5"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4461EC" wp14:editId="3C6D72DA">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Pr="00B552EF" w:rsidRDefault="00BC49B5" w:rsidP="00DB33C0">
                          <w:pPr>
                            <w:ind w:leftChars="405" w:left="850"/>
                            <w:rPr>
                              <w:rFonts w:ascii="楷体_GB2312" w:eastAsia="楷体_GB2312" w:hAnsi="微软雅黑"/>
                              <w:bCs/>
                              <w:sz w:val="44"/>
                              <w:szCs w:val="44"/>
                            </w:rPr>
                          </w:pPr>
                        </w:p>
                        <w:p w:rsidR="00BC49B5" w:rsidRPr="00EC7650" w:rsidRDefault="00BC49B5"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461EC" id="Rectangle 20" o:spid="_x0000_s1027"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gehA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" stroked="f">
              <v:textbox>
                <w:txbxContent>
                  <w:p w:rsidR="00BC49B5" w:rsidRPr="00B552EF" w:rsidRDefault="00BC49B5" w:rsidP="00DB33C0">
                    <w:pPr>
                      <w:ind w:leftChars="405" w:left="850"/>
                      <w:rPr>
                        <w:rFonts w:ascii="楷体_GB2312" w:eastAsia="楷体_GB2312" w:hAnsi="微软雅黑"/>
                        <w:bCs/>
                        <w:sz w:val="44"/>
                        <w:szCs w:val="44"/>
                      </w:rPr>
                    </w:pPr>
                  </w:p>
                  <w:p w:rsidR="00BC49B5" w:rsidRPr="00EC7650" w:rsidRDefault="00BC49B5"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DDBE00C" wp14:editId="072F17CF">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Default="00BC49B5">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00C" id="Text Box 31" o:spid="_x0000_s1028"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2E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flRehvVvIBojIKeQvvhqYFJp8w3jAa4thW2X3fUMIzEOwnCKzJC/D0PCzKd&#10;57Aw55bNuYXKGqAq7DCK03sX34adNnzbQaQodaluQawtDzryqo5ZARO/gKsZOB2eEX/3z9fB69dj&#10;t/oJ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a+TNhJUCAAA0BQAADgAAAAAAAAAAAAAAAAAuAgAAZHJzL2Uyb0Rv&#10;Yy54bWxQSwECLQAUAAYACAAAACEAef3LUOEAAAAKAQAADwAAAAAAAAAAAAAAAADvBAAAZHJzL2Rv&#10;d25yZXYueG1sUEsFBgAAAAAEAAQA8wAAAP0FAAAAAA==&#10;" stroked="f">
              <v:fill opacity="0"/>
              <v:textbox>
                <w:txbxContent>
                  <w:p w:rsidR="00BC49B5" w:rsidRDefault="00BC49B5">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9B5" w:rsidRDefault="00BC49B5" w:rsidP="009C0D57">
    <w:pPr>
      <w:pStyle w:val="a3"/>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Default="00BC49B5">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2"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KdP3aiXAgAANAUAAA4AAAAAAAAAAAAAAAAALgIAAGRycy9lMm9E&#10;b2MueG1sUEsBAi0AFAAGAAgAAAAhAE3bmxvgAAAACgEAAA8AAAAAAAAAAAAAAAAA8QQAAGRycy9k&#10;b3ducmV2LnhtbFBLBQYAAAAABAAEAPMAAAD+BQAAAAA=&#10;" stroked="f">
              <v:fill opacity="0"/>
              <v:textbox>
                <w:txbxContent>
                  <w:p w:rsidR="00BC49B5" w:rsidRDefault="00BC49B5">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49B5" w:rsidRPr="00B552EF" w:rsidRDefault="00BC49B5" w:rsidP="00D36E74">
                          <w:pPr>
                            <w:rPr>
                              <w:rFonts w:ascii="楷体_GB2312" w:eastAsia="楷体_GB2312" w:hAnsi="微软雅黑"/>
                              <w:bCs/>
                              <w:sz w:val="44"/>
                              <w:szCs w:val="44"/>
                            </w:rPr>
                          </w:pPr>
                        </w:p>
                        <w:p w:rsidR="00BC49B5" w:rsidRDefault="00BC49B5" w:rsidP="002D0D77">
                          <w:pPr>
                            <w:ind w:leftChars="605" w:left="1270" w:firstLine="410"/>
                            <w:rPr>
                              <w:rFonts w:ascii="楷体_GB2312" w:eastAsia="楷体_GB2312" w:hAnsi="楷体"/>
                              <w:bCs/>
                              <w:sz w:val="24"/>
                              <w:szCs w:val="24"/>
                              <w:u w:val="single" w:color="17365D"/>
                            </w:rPr>
                          </w:pPr>
                        </w:p>
                        <w:p w:rsidR="00BC49B5" w:rsidRPr="009D4109" w:rsidRDefault="00BC49B5"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3"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" stroked="f">
              <v:textbox>
                <w:txbxContent>
                  <w:p w:rsidR="00BC49B5" w:rsidRPr="00B552EF" w:rsidRDefault="00BC49B5" w:rsidP="00D36E74">
                    <w:pPr>
                      <w:rPr>
                        <w:rFonts w:ascii="楷体_GB2312" w:eastAsia="楷体_GB2312" w:hAnsi="微软雅黑"/>
                        <w:bCs/>
                        <w:sz w:val="44"/>
                        <w:szCs w:val="44"/>
                      </w:rPr>
                    </w:pPr>
                  </w:p>
                  <w:p w:rsidR="00BC49B5" w:rsidRDefault="00BC49B5" w:rsidP="002D0D77">
                    <w:pPr>
                      <w:ind w:leftChars="605" w:left="1270" w:firstLine="410"/>
                      <w:rPr>
                        <w:rFonts w:ascii="楷体_GB2312" w:eastAsia="楷体_GB2312" w:hAnsi="楷体"/>
                        <w:bCs/>
                        <w:sz w:val="24"/>
                        <w:szCs w:val="24"/>
                        <w:u w:val="single" w:color="17365D"/>
                      </w:rPr>
                    </w:pPr>
                  </w:p>
                  <w:p w:rsidR="00BC49B5" w:rsidRPr="009D4109" w:rsidRDefault="00BC49B5"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5133_"/>
      </v:shape>
    </w:pict>
  </w:numPicBullet>
  <w:abstractNum w:abstractNumId="0" w15:restartNumberingAfterBreak="0">
    <w:nsid w:val="04C657F7"/>
    <w:multiLevelType w:val="multilevel"/>
    <w:tmpl w:val="9F702D2C"/>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color w:val="1F3864" w:themeColor="accent5" w:themeShade="80"/>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EB4C04"/>
    <w:multiLevelType w:val="hybridMultilevel"/>
    <w:tmpl w:val="06BCD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00C6C"/>
    <w:multiLevelType w:val="hybridMultilevel"/>
    <w:tmpl w:val="72B02D6E"/>
    <w:lvl w:ilvl="0" w:tplc="54C0D032">
      <w:start w:val="1"/>
      <w:numFmt w:val="bullet"/>
      <w:lvlText w:val="•"/>
      <w:lvlJc w:val="left"/>
      <w:pPr>
        <w:tabs>
          <w:tab w:val="num" w:pos="720"/>
        </w:tabs>
        <w:ind w:left="720" w:hanging="360"/>
      </w:pPr>
      <w:rPr>
        <w:rFonts w:ascii="Arial" w:hAnsi="Arial" w:hint="default"/>
      </w:rPr>
    </w:lvl>
    <w:lvl w:ilvl="1" w:tplc="B4DA8426" w:tentative="1">
      <w:start w:val="1"/>
      <w:numFmt w:val="bullet"/>
      <w:lvlText w:val="•"/>
      <w:lvlJc w:val="left"/>
      <w:pPr>
        <w:tabs>
          <w:tab w:val="num" w:pos="1440"/>
        </w:tabs>
        <w:ind w:left="1440" w:hanging="360"/>
      </w:pPr>
      <w:rPr>
        <w:rFonts w:ascii="Arial" w:hAnsi="Arial" w:hint="default"/>
      </w:rPr>
    </w:lvl>
    <w:lvl w:ilvl="2" w:tplc="1F72E1D6" w:tentative="1">
      <w:start w:val="1"/>
      <w:numFmt w:val="bullet"/>
      <w:lvlText w:val="•"/>
      <w:lvlJc w:val="left"/>
      <w:pPr>
        <w:tabs>
          <w:tab w:val="num" w:pos="2160"/>
        </w:tabs>
        <w:ind w:left="2160" w:hanging="360"/>
      </w:pPr>
      <w:rPr>
        <w:rFonts w:ascii="Arial" w:hAnsi="Arial" w:hint="default"/>
      </w:rPr>
    </w:lvl>
    <w:lvl w:ilvl="3" w:tplc="656C68D2" w:tentative="1">
      <w:start w:val="1"/>
      <w:numFmt w:val="bullet"/>
      <w:lvlText w:val="•"/>
      <w:lvlJc w:val="left"/>
      <w:pPr>
        <w:tabs>
          <w:tab w:val="num" w:pos="2880"/>
        </w:tabs>
        <w:ind w:left="2880" w:hanging="360"/>
      </w:pPr>
      <w:rPr>
        <w:rFonts w:ascii="Arial" w:hAnsi="Arial" w:hint="default"/>
      </w:rPr>
    </w:lvl>
    <w:lvl w:ilvl="4" w:tplc="9D040D22" w:tentative="1">
      <w:start w:val="1"/>
      <w:numFmt w:val="bullet"/>
      <w:lvlText w:val="•"/>
      <w:lvlJc w:val="left"/>
      <w:pPr>
        <w:tabs>
          <w:tab w:val="num" w:pos="3600"/>
        </w:tabs>
        <w:ind w:left="3600" w:hanging="360"/>
      </w:pPr>
      <w:rPr>
        <w:rFonts w:ascii="Arial" w:hAnsi="Arial" w:hint="default"/>
      </w:rPr>
    </w:lvl>
    <w:lvl w:ilvl="5" w:tplc="3FC61D0E" w:tentative="1">
      <w:start w:val="1"/>
      <w:numFmt w:val="bullet"/>
      <w:lvlText w:val="•"/>
      <w:lvlJc w:val="left"/>
      <w:pPr>
        <w:tabs>
          <w:tab w:val="num" w:pos="4320"/>
        </w:tabs>
        <w:ind w:left="4320" w:hanging="360"/>
      </w:pPr>
      <w:rPr>
        <w:rFonts w:ascii="Arial" w:hAnsi="Arial" w:hint="default"/>
      </w:rPr>
    </w:lvl>
    <w:lvl w:ilvl="6" w:tplc="EFC4F1DC" w:tentative="1">
      <w:start w:val="1"/>
      <w:numFmt w:val="bullet"/>
      <w:lvlText w:val="•"/>
      <w:lvlJc w:val="left"/>
      <w:pPr>
        <w:tabs>
          <w:tab w:val="num" w:pos="5040"/>
        </w:tabs>
        <w:ind w:left="5040" w:hanging="360"/>
      </w:pPr>
      <w:rPr>
        <w:rFonts w:ascii="Arial" w:hAnsi="Arial" w:hint="default"/>
      </w:rPr>
    </w:lvl>
    <w:lvl w:ilvl="7" w:tplc="34F86C1C" w:tentative="1">
      <w:start w:val="1"/>
      <w:numFmt w:val="bullet"/>
      <w:lvlText w:val="•"/>
      <w:lvlJc w:val="left"/>
      <w:pPr>
        <w:tabs>
          <w:tab w:val="num" w:pos="5760"/>
        </w:tabs>
        <w:ind w:left="5760" w:hanging="360"/>
      </w:pPr>
      <w:rPr>
        <w:rFonts w:ascii="Arial" w:hAnsi="Arial" w:hint="default"/>
      </w:rPr>
    </w:lvl>
    <w:lvl w:ilvl="8" w:tplc="10026C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627FE"/>
    <w:multiLevelType w:val="hybridMultilevel"/>
    <w:tmpl w:val="32FA2368"/>
    <w:lvl w:ilvl="0" w:tplc="8674B202">
      <w:start w:val="1"/>
      <w:numFmt w:val="bullet"/>
      <w:lvlText w:val=""/>
      <w:lvlPicBulletId w:val="0"/>
      <w:lvlJc w:val="left"/>
      <w:pPr>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DCC5BFA"/>
    <w:multiLevelType w:val="hybridMultilevel"/>
    <w:tmpl w:val="AAEA65E4"/>
    <w:lvl w:ilvl="0" w:tplc="0409000F">
      <w:start w:val="1"/>
      <w:numFmt w:val="decimal"/>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7" w15:restartNumberingAfterBreak="0">
    <w:nsid w:val="57F6354F"/>
    <w:multiLevelType w:val="hybridMultilevel"/>
    <w:tmpl w:val="D0F86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F55F8"/>
    <w:multiLevelType w:val="hybridMultilevel"/>
    <w:tmpl w:val="8A6A7A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0"/>
  </w:num>
  <w:num w:numId="4">
    <w:abstractNumId w:val="0"/>
  </w:num>
  <w:num w:numId="5">
    <w:abstractNumId w:val="0"/>
  </w:num>
  <w:num w:numId="6">
    <w:abstractNumId w:val="5"/>
  </w:num>
  <w:num w:numId="7">
    <w:abstractNumId w:val="9"/>
  </w:num>
  <w:num w:numId="8">
    <w:abstractNumId w:val="3"/>
  </w:num>
  <w:num w:numId="9">
    <w:abstractNumId w:val="0"/>
  </w:num>
  <w:num w:numId="10">
    <w:abstractNumId w:val="0"/>
  </w:num>
  <w:num w:numId="11">
    <w:abstractNumId w:val="0"/>
  </w:num>
  <w:num w:numId="12">
    <w:abstractNumId w:val="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39BB"/>
    <w:rsid w:val="000073F0"/>
    <w:rsid w:val="00014E27"/>
    <w:rsid w:val="00015E51"/>
    <w:rsid w:val="00024872"/>
    <w:rsid w:val="0002769F"/>
    <w:rsid w:val="000325FC"/>
    <w:rsid w:val="00032777"/>
    <w:rsid w:val="00032CC6"/>
    <w:rsid w:val="00033403"/>
    <w:rsid w:val="00036BE3"/>
    <w:rsid w:val="00040D9E"/>
    <w:rsid w:val="000429E4"/>
    <w:rsid w:val="00046C06"/>
    <w:rsid w:val="00063437"/>
    <w:rsid w:val="00064552"/>
    <w:rsid w:val="00066F56"/>
    <w:rsid w:val="00067CBB"/>
    <w:rsid w:val="00071904"/>
    <w:rsid w:val="00072936"/>
    <w:rsid w:val="00073CF5"/>
    <w:rsid w:val="00074285"/>
    <w:rsid w:val="00080BC9"/>
    <w:rsid w:val="000814FE"/>
    <w:rsid w:val="00081819"/>
    <w:rsid w:val="00085C4C"/>
    <w:rsid w:val="0009410E"/>
    <w:rsid w:val="000A2F27"/>
    <w:rsid w:val="000A57AA"/>
    <w:rsid w:val="000A7793"/>
    <w:rsid w:val="000A7A0E"/>
    <w:rsid w:val="000A7E4E"/>
    <w:rsid w:val="000B0804"/>
    <w:rsid w:val="000B15EA"/>
    <w:rsid w:val="000B1EEA"/>
    <w:rsid w:val="000B6506"/>
    <w:rsid w:val="000B6CC8"/>
    <w:rsid w:val="000B78D8"/>
    <w:rsid w:val="000B7FF8"/>
    <w:rsid w:val="000C09E0"/>
    <w:rsid w:val="000C225D"/>
    <w:rsid w:val="000C275E"/>
    <w:rsid w:val="000C52E2"/>
    <w:rsid w:val="000C6A5D"/>
    <w:rsid w:val="000D6F6E"/>
    <w:rsid w:val="000E47E7"/>
    <w:rsid w:val="000E7BB6"/>
    <w:rsid w:val="000E7BBF"/>
    <w:rsid w:val="000F136D"/>
    <w:rsid w:val="000F273C"/>
    <w:rsid w:val="000F6C5B"/>
    <w:rsid w:val="000F75B5"/>
    <w:rsid w:val="00101EA1"/>
    <w:rsid w:val="001036C5"/>
    <w:rsid w:val="00105E93"/>
    <w:rsid w:val="001115B3"/>
    <w:rsid w:val="001133C0"/>
    <w:rsid w:val="00113C2C"/>
    <w:rsid w:val="0011562E"/>
    <w:rsid w:val="0011722C"/>
    <w:rsid w:val="00121B77"/>
    <w:rsid w:val="001249F0"/>
    <w:rsid w:val="00126266"/>
    <w:rsid w:val="00126527"/>
    <w:rsid w:val="0013437E"/>
    <w:rsid w:val="00163F5B"/>
    <w:rsid w:val="00172580"/>
    <w:rsid w:val="0017298F"/>
    <w:rsid w:val="00177B54"/>
    <w:rsid w:val="00185C6D"/>
    <w:rsid w:val="00186FB7"/>
    <w:rsid w:val="001922BE"/>
    <w:rsid w:val="00197BAF"/>
    <w:rsid w:val="001B3C04"/>
    <w:rsid w:val="001C391D"/>
    <w:rsid w:val="001C4C02"/>
    <w:rsid w:val="001C4DC9"/>
    <w:rsid w:val="001D00B7"/>
    <w:rsid w:val="001D6EBC"/>
    <w:rsid w:val="001D7D4F"/>
    <w:rsid w:val="001E5A6C"/>
    <w:rsid w:val="001E780C"/>
    <w:rsid w:val="001E7A9D"/>
    <w:rsid w:val="001F32B1"/>
    <w:rsid w:val="001F4BFD"/>
    <w:rsid w:val="001F70E8"/>
    <w:rsid w:val="001F7D3C"/>
    <w:rsid w:val="00203988"/>
    <w:rsid w:val="0020450C"/>
    <w:rsid w:val="00204B27"/>
    <w:rsid w:val="00204CA7"/>
    <w:rsid w:val="00213B77"/>
    <w:rsid w:val="00215C2C"/>
    <w:rsid w:val="00217794"/>
    <w:rsid w:val="00220224"/>
    <w:rsid w:val="00225A8C"/>
    <w:rsid w:val="0022721F"/>
    <w:rsid w:val="00230C22"/>
    <w:rsid w:val="00236823"/>
    <w:rsid w:val="00236837"/>
    <w:rsid w:val="00237D9D"/>
    <w:rsid w:val="00240965"/>
    <w:rsid w:val="002418B1"/>
    <w:rsid w:val="002431AF"/>
    <w:rsid w:val="00244B55"/>
    <w:rsid w:val="00245BA6"/>
    <w:rsid w:val="00246370"/>
    <w:rsid w:val="00250A0A"/>
    <w:rsid w:val="00251C12"/>
    <w:rsid w:val="00251CD4"/>
    <w:rsid w:val="00254ABD"/>
    <w:rsid w:val="00255535"/>
    <w:rsid w:val="00255589"/>
    <w:rsid w:val="00256D94"/>
    <w:rsid w:val="00257131"/>
    <w:rsid w:val="002611F7"/>
    <w:rsid w:val="00261DB6"/>
    <w:rsid w:val="00261F88"/>
    <w:rsid w:val="002626A9"/>
    <w:rsid w:val="00262C68"/>
    <w:rsid w:val="00263D62"/>
    <w:rsid w:val="00265712"/>
    <w:rsid w:val="0026760D"/>
    <w:rsid w:val="00272FD5"/>
    <w:rsid w:val="00275B9C"/>
    <w:rsid w:val="00275DD6"/>
    <w:rsid w:val="00276760"/>
    <w:rsid w:val="00296A4D"/>
    <w:rsid w:val="002A5B73"/>
    <w:rsid w:val="002A7C6F"/>
    <w:rsid w:val="002B0C23"/>
    <w:rsid w:val="002B501A"/>
    <w:rsid w:val="002B55A4"/>
    <w:rsid w:val="002B5B20"/>
    <w:rsid w:val="002B70D3"/>
    <w:rsid w:val="002C6F73"/>
    <w:rsid w:val="002C7620"/>
    <w:rsid w:val="002D0D77"/>
    <w:rsid w:val="002D31AB"/>
    <w:rsid w:val="002E0773"/>
    <w:rsid w:val="002E2A35"/>
    <w:rsid w:val="002E38CA"/>
    <w:rsid w:val="002F2704"/>
    <w:rsid w:val="002F6D19"/>
    <w:rsid w:val="0030041C"/>
    <w:rsid w:val="00301283"/>
    <w:rsid w:val="00301D3F"/>
    <w:rsid w:val="003021A7"/>
    <w:rsid w:val="003033EB"/>
    <w:rsid w:val="00304618"/>
    <w:rsid w:val="00304D8B"/>
    <w:rsid w:val="00306F8E"/>
    <w:rsid w:val="003071B5"/>
    <w:rsid w:val="0031780F"/>
    <w:rsid w:val="00320368"/>
    <w:rsid w:val="003231D7"/>
    <w:rsid w:val="0032625A"/>
    <w:rsid w:val="0033183A"/>
    <w:rsid w:val="00336283"/>
    <w:rsid w:val="00340DF0"/>
    <w:rsid w:val="00342DD5"/>
    <w:rsid w:val="003430AB"/>
    <w:rsid w:val="00343E2B"/>
    <w:rsid w:val="00346E07"/>
    <w:rsid w:val="0035507A"/>
    <w:rsid w:val="00356D38"/>
    <w:rsid w:val="003617D4"/>
    <w:rsid w:val="003620A0"/>
    <w:rsid w:val="00362299"/>
    <w:rsid w:val="003626DE"/>
    <w:rsid w:val="00362848"/>
    <w:rsid w:val="0036674A"/>
    <w:rsid w:val="00372658"/>
    <w:rsid w:val="00372C12"/>
    <w:rsid w:val="003754D2"/>
    <w:rsid w:val="0037603D"/>
    <w:rsid w:val="00380CEE"/>
    <w:rsid w:val="003862F1"/>
    <w:rsid w:val="00386921"/>
    <w:rsid w:val="0038707B"/>
    <w:rsid w:val="00393416"/>
    <w:rsid w:val="0039440D"/>
    <w:rsid w:val="003958C6"/>
    <w:rsid w:val="00395B9A"/>
    <w:rsid w:val="003A4AEF"/>
    <w:rsid w:val="003A5201"/>
    <w:rsid w:val="003A578F"/>
    <w:rsid w:val="003A6724"/>
    <w:rsid w:val="003B27C7"/>
    <w:rsid w:val="003C3AE9"/>
    <w:rsid w:val="003D04BD"/>
    <w:rsid w:val="003D17FA"/>
    <w:rsid w:val="003D2296"/>
    <w:rsid w:val="003D2316"/>
    <w:rsid w:val="003D567B"/>
    <w:rsid w:val="003D713D"/>
    <w:rsid w:val="003D75BA"/>
    <w:rsid w:val="003E0FC6"/>
    <w:rsid w:val="003E34BC"/>
    <w:rsid w:val="003E3781"/>
    <w:rsid w:val="003E50CB"/>
    <w:rsid w:val="003F53A5"/>
    <w:rsid w:val="003F7AB1"/>
    <w:rsid w:val="004207D8"/>
    <w:rsid w:val="00424C2B"/>
    <w:rsid w:val="00425352"/>
    <w:rsid w:val="00426894"/>
    <w:rsid w:val="004276B9"/>
    <w:rsid w:val="00432726"/>
    <w:rsid w:val="00432BAA"/>
    <w:rsid w:val="00434955"/>
    <w:rsid w:val="00436A92"/>
    <w:rsid w:val="004402AE"/>
    <w:rsid w:val="004418DC"/>
    <w:rsid w:val="00442CCD"/>
    <w:rsid w:val="00443905"/>
    <w:rsid w:val="00444CA7"/>
    <w:rsid w:val="00445CDF"/>
    <w:rsid w:val="00446BCF"/>
    <w:rsid w:val="00453BC2"/>
    <w:rsid w:val="0045555A"/>
    <w:rsid w:val="00455D7F"/>
    <w:rsid w:val="00462217"/>
    <w:rsid w:val="00463EF9"/>
    <w:rsid w:val="00467F6E"/>
    <w:rsid w:val="00470A55"/>
    <w:rsid w:val="004745CB"/>
    <w:rsid w:val="0048333D"/>
    <w:rsid w:val="00483FF6"/>
    <w:rsid w:val="00491123"/>
    <w:rsid w:val="00491A2B"/>
    <w:rsid w:val="0049265D"/>
    <w:rsid w:val="00494410"/>
    <w:rsid w:val="004A3863"/>
    <w:rsid w:val="004A7354"/>
    <w:rsid w:val="004B38A1"/>
    <w:rsid w:val="004B457F"/>
    <w:rsid w:val="004B49A9"/>
    <w:rsid w:val="004B5260"/>
    <w:rsid w:val="004B66BD"/>
    <w:rsid w:val="004B6A55"/>
    <w:rsid w:val="004B7847"/>
    <w:rsid w:val="004C17C5"/>
    <w:rsid w:val="004C1DBA"/>
    <w:rsid w:val="004C38D9"/>
    <w:rsid w:val="004C5B2C"/>
    <w:rsid w:val="004D25D7"/>
    <w:rsid w:val="004D32BD"/>
    <w:rsid w:val="004D576A"/>
    <w:rsid w:val="004E10D7"/>
    <w:rsid w:val="004E11EF"/>
    <w:rsid w:val="004E2C39"/>
    <w:rsid w:val="004F13DC"/>
    <w:rsid w:val="004F235C"/>
    <w:rsid w:val="004F2B33"/>
    <w:rsid w:val="004F2D12"/>
    <w:rsid w:val="004F6922"/>
    <w:rsid w:val="004F6A4B"/>
    <w:rsid w:val="0051372F"/>
    <w:rsid w:val="005176EB"/>
    <w:rsid w:val="00521D58"/>
    <w:rsid w:val="00523B34"/>
    <w:rsid w:val="0053086C"/>
    <w:rsid w:val="005347D6"/>
    <w:rsid w:val="00535177"/>
    <w:rsid w:val="00536A35"/>
    <w:rsid w:val="00537B3E"/>
    <w:rsid w:val="00545EB1"/>
    <w:rsid w:val="00546655"/>
    <w:rsid w:val="005466CE"/>
    <w:rsid w:val="00547C68"/>
    <w:rsid w:val="00553038"/>
    <w:rsid w:val="0055650D"/>
    <w:rsid w:val="0055693F"/>
    <w:rsid w:val="00557993"/>
    <w:rsid w:val="00561744"/>
    <w:rsid w:val="00564783"/>
    <w:rsid w:val="00564840"/>
    <w:rsid w:val="0056551A"/>
    <w:rsid w:val="00571E77"/>
    <w:rsid w:val="005727E9"/>
    <w:rsid w:val="005741A5"/>
    <w:rsid w:val="0058218A"/>
    <w:rsid w:val="005836B3"/>
    <w:rsid w:val="005841D9"/>
    <w:rsid w:val="0058425F"/>
    <w:rsid w:val="00585BFA"/>
    <w:rsid w:val="00592061"/>
    <w:rsid w:val="0059474B"/>
    <w:rsid w:val="00595162"/>
    <w:rsid w:val="0059606F"/>
    <w:rsid w:val="0059756C"/>
    <w:rsid w:val="005A549E"/>
    <w:rsid w:val="005A55FC"/>
    <w:rsid w:val="005A59E7"/>
    <w:rsid w:val="005B0698"/>
    <w:rsid w:val="005B2F96"/>
    <w:rsid w:val="005B340E"/>
    <w:rsid w:val="005B4240"/>
    <w:rsid w:val="005B6682"/>
    <w:rsid w:val="005C057C"/>
    <w:rsid w:val="005C37A1"/>
    <w:rsid w:val="005C3EDE"/>
    <w:rsid w:val="005C54C8"/>
    <w:rsid w:val="005C7A5E"/>
    <w:rsid w:val="005E006D"/>
    <w:rsid w:val="005E53E2"/>
    <w:rsid w:val="005F17DE"/>
    <w:rsid w:val="005F4939"/>
    <w:rsid w:val="005F5E77"/>
    <w:rsid w:val="005F7AC1"/>
    <w:rsid w:val="005F7F85"/>
    <w:rsid w:val="00600DEC"/>
    <w:rsid w:val="00602D85"/>
    <w:rsid w:val="00604DFA"/>
    <w:rsid w:val="00607059"/>
    <w:rsid w:val="006161F8"/>
    <w:rsid w:val="00617CEA"/>
    <w:rsid w:val="00625A80"/>
    <w:rsid w:val="00627FEA"/>
    <w:rsid w:val="00631995"/>
    <w:rsid w:val="00632B98"/>
    <w:rsid w:val="00634378"/>
    <w:rsid w:val="00635F91"/>
    <w:rsid w:val="0064739E"/>
    <w:rsid w:val="00655229"/>
    <w:rsid w:val="0066004E"/>
    <w:rsid w:val="00665191"/>
    <w:rsid w:val="006658C0"/>
    <w:rsid w:val="006664C1"/>
    <w:rsid w:val="006676E3"/>
    <w:rsid w:val="00674BA7"/>
    <w:rsid w:val="00677A07"/>
    <w:rsid w:val="00692A14"/>
    <w:rsid w:val="0069355A"/>
    <w:rsid w:val="00693D36"/>
    <w:rsid w:val="006A28F0"/>
    <w:rsid w:val="006A6FE8"/>
    <w:rsid w:val="006B1D65"/>
    <w:rsid w:val="006B624D"/>
    <w:rsid w:val="006C31F8"/>
    <w:rsid w:val="006C5DF3"/>
    <w:rsid w:val="006D38A9"/>
    <w:rsid w:val="006D7E69"/>
    <w:rsid w:val="006E0035"/>
    <w:rsid w:val="006E10C0"/>
    <w:rsid w:val="006E1F96"/>
    <w:rsid w:val="006E3136"/>
    <w:rsid w:val="006E351C"/>
    <w:rsid w:val="006E47B2"/>
    <w:rsid w:val="006E5B84"/>
    <w:rsid w:val="006E63A0"/>
    <w:rsid w:val="006F7712"/>
    <w:rsid w:val="00700221"/>
    <w:rsid w:val="007039E0"/>
    <w:rsid w:val="00704D22"/>
    <w:rsid w:val="00705053"/>
    <w:rsid w:val="00705A39"/>
    <w:rsid w:val="00715EFE"/>
    <w:rsid w:val="00716222"/>
    <w:rsid w:val="00730283"/>
    <w:rsid w:val="0073076A"/>
    <w:rsid w:val="0073514C"/>
    <w:rsid w:val="00737779"/>
    <w:rsid w:val="00745849"/>
    <w:rsid w:val="0074608A"/>
    <w:rsid w:val="0075019D"/>
    <w:rsid w:val="007504F9"/>
    <w:rsid w:val="00750601"/>
    <w:rsid w:val="007523CE"/>
    <w:rsid w:val="007569AB"/>
    <w:rsid w:val="00757113"/>
    <w:rsid w:val="00762595"/>
    <w:rsid w:val="00764F39"/>
    <w:rsid w:val="00766AD6"/>
    <w:rsid w:val="00766B19"/>
    <w:rsid w:val="0077331F"/>
    <w:rsid w:val="00773E03"/>
    <w:rsid w:val="00774E72"/>
    <w:rsid w:val="00777856"/>
    <w:rsid w:val="00780EB5"/>
    <w:rsid w:val="0078163E"/>
    <w:rsid w:val="00784D45"/>
    <w:rsid w:val="00785348"/>
    <w:rsid w:val="00792274"/>
    <w:rsid w:val="0079401A"/>
    <w:rsid w:val="0079737F"/>
    <w:rsid w:val="007A7CB1"/>
    <w:rsid w:val="007B140C"/>
    <w:rsid w:val="007C268C"/>
    <w:rsid w:val="007D093D"/>
    <w:rsid w:val="007D277C"/>
    <w:rsid w:val="007D2D35"/>
    <w:rsid w:val="007D36F1"/>
    <w:rsid w:val="007D39AB"/>
    <w:rsid w:val="007D76A3"/>
    <w:rsid w:val="007E12A5"/>
    <w:rsid w:val="007E2071"/>
    <w:rsid w:val="007F1B42"/>
    <w:rsid w:val="007F1CAB"/>
    <w:rsid w:val="007F2CDB"/>
    <w:rsid w:val="007F62B5"/>
    <w:rsid w:val="00802980"/>
    <w:rsid w:val="008048DD"/>
    <w:rsid w:val="00806F81"/>
    <w:rsid w:val="0081182C"/>
    <w:rsid w:val="008143AA"/>
    <w:rsid w:val="00814561"/>
    <w:rsid w:val="00815570"/>
    <w:rsid w:val="00815D8D"/>
    <w:rsid w:val="00816A7C"/>
    <w:rsid w:val="00822458"/>
    <w:rsid w:val="00830849"/>
    <w:rsid w:val="00833E4A"/>
    <w:rsid w:val="00840142"/>
    <w:rsid w:val="008415FF"/>
    <w:rsid w:val="008518BC"/>
    <w:rsid w:val="0085225D"/>
    <w:rsid w:val="008524C8"/>
    <w:rsid w:val="00852B97"/>
    <w:rsid w:val="00856470"/>
    <w:rsid w:val="00857681"/>
    <w:rsid w:val="00861A1D"/>
    <w:rsid w:val="008639AB"/>
    <w:rsid w:val="00875910"/>
    <w:rsid w:val="00881ABC"/>
    <w:rsid w:val="00883211"/>
    <w:rsid w:val="00883B7F"/>
    <w:rsid w:val="008872E0"/>
    <w:rsid w:val="00893B99"/>
    <w:rsid w:val="0089572B"/>
    <w:rsid w:val="008964DB"/>
    <w:rsid w:val="00896931"/>
    <w:rsid w:val="00896D06"/>
    <w:rsid w:val="008A6330"/>
    <w:rsid w:val="008B0AE3"/>
    <w:rsid w:val="008B0B87"/>
    <w:rsid w:val="008B134B"/>
    <w:rsid w:val="008B2AB1"/>
    <w:rsid w:val="008B54CB"/>
    <w:rsid w:val="008B6C22"/>
    <w:rsid w:val="008C307F"/>
    <w:rsid w:val="008C747A"/>
    <w:rsid w:val="008C75C4"/>
    <w:rsid w:val="008C76FE"/>
    <w:rsid w:val="008C7E89"/>
    <w:rsid w:val="008D029B"/>
    <w:rsid w:val="008D1A88"/>
    <w:rsid w:val="008D5A95"/>
    <w:rsid w:val="008E334F"/>
    <w:rsid w:val="008E3910"/>
    <w:rsid w:val="008E5FBD"/>
    <w:rsid w:val="008E7DD4"/>
    <w:rsid w:val="008E7EDF"/>
    <w:rsid w:val="008F2BBC"/>
    <w:rsid w:val="008F6AF6"/>
    <w:rsid w:val="0090009D"/>
    <w:rsid w:val="00901D25"/>
    <w:rsid w:val="00905536"/>
    <w:rsid w:val="00907D0C"/>
    <w:rsid w:val="00914B20"/>
    <w:rsid w:val="0091772C"/>
    <w:rsid w:val="00920C38"/>
    <w:rsid w:val="00933F54"/>
    <w:rsid w:val="00935CD8"/>
    <w:rsid w:val="00937D03"/>
    <w:rsid w:val="00944C79"/>
    <w:rsid w:val="00951B77"/>
    <w:rsid w:val="00953A7D"/>
    <w:rsid w:val="00955D2F"/>
    <w:rsid w:val="00960E47"/>
    <w:rsid w:val="00967034"/>
    <w:rsid w:val="00983B29"/>
    <w:rsid w:val="009850F3"/>
    <w:rsid w:val="00985E7C"/>
    <w:rsid w:val="009872E5"/>
    <w:rsid w:val="00991467"/>
    <w:rsid w:val="00992C57"/>
    <w:rsid w:val="009A0728"/>
    <w:rsid w:val="009A0DDA"/>
    <w:rsid w:val="009A2557"/>
    <w:rsid w:val="009A2E4C"/>
    <w:rsid w:val="009A2F31"/>
    <w:rsid w:val="009A4E73"/>
    <w:rsid w:val="009B16ED"/>
    <w:rsid w:val="009B62D7"/>
    <w:rsid w:val="009C0D57"/>
    <w:rsid w:val="009C3BA2"/>
    <w:rsid w:val="009C4F22"/>
    <w:rsid w:val="009D4109"/>
    <w:rsid w:val="009D76A6"/>
    <w:rsid w:val="009E3C60"/>
    <w:rsid w:val="009E66CD"/>
    <w:rsid w:val="009F12FD"/>
    <w:rsid w:val="009F7732"/>
    <w:rsid w:val="00A07EE3"/>
    <w:rsid w:val="00A11BED"/>
    <w:rsid w:val="00A138B8"/>
    <w:rsid w:val="00A13CC2"/>
    <w:rsid w:val="00A24C4F"/>
    <w:rsid w:val="00A26ACA"/>
    <w:rsid w:val="00A27109"/>
    <w:rsid w:val="00A27AFB"/>
    <w:rsid w:val="00A34B86"/>
    <w:rsid w:val="00A352E2"/>
    <w:rsid w:val="00A359E4"/>
    <w:rsid w:val="00A35BF9"/>
    <w:rsid w:val="00A41180"/>
    <w:rsid w:val="00A43E66"/>
    <w:rsid w:val="00A452D9"/>
    <w:rsid w:val="00A47F72"/>
    <w:rsid w:val="00A51702"/>
    <w:rsid w:val="00A51B11"/>
    <w:rsid w:val="00A5401F"/>
    <w:rsid w:val="00A62A6A"/>
    <w:rsid w:val="00A73F5B"/>
    <w:rsid w:val="00A80421"/>
    <w:rsid w:val="00A83149"/>
    <w:rsid w:val="00A83215"/>
    <w:rsid w:val="00A833A3"/>
    <w:rsid w:val="00A846D1"/>
    <w:rsid w:val="00A87D1A"/>
    <w:rsid w:val="00A92504"/>
    <w:rsid w:val="00AA7A92"/>
    <w:rsid w:val="00AB039B"/>
    <w:rsid w:val="00AB2C13"/>
    <w:rsid w:val="00AB2FA1"/>
    <w:rsid w:val="00AB4946"/>
    <w:rsid w:val="00AC284D"/>
    <w:rsid w:val="00AC37B9"/>
    <w:rsid w:val="00AD4230"/>
    <w:rsid w:val="00AF2127"/>
    <w:rsid w:val="00AF36B6"/>
    <w:rsid w:val="00AF48DE"/>
    <w:rsid w:val="00AF7C82"/>
    <w:rsid w:val="00B05A88"/>
    <w:rsid w:val="00B10CDE"/>
    <w:rsid w:val="00B13358"/>
    <w:rsid w:val="00B1618A"/>
    <w:rsid w:val="00B1674A"/>
    <w:rsid w:val="00B25B11"/>
    <w:rsid w:val="00B27004"/>
    <w:rsid w:val="00B31D34"/>
    <w:rsid w:val="00B34506"/>
    <w:rsid w:val="00B36533"/>
    <w:rsid w:val="00B51DB0"/>
    <w:rsid w:val="00B54EFA"/>
    <w:rsid w:val="00B552EF"/>
    <w:rsid w:val="00B560CA"/>
    <w:rsid w:val="00B561BE"/>
    <w:rsid w:val="00B60BD4"/>
    <w:rsid w:val="00B67217"/>
    <w:rsid w:val="00B70958"/>
    <w:rsid w:val="00B71A7B"/>
    <w:rsid w:val="00B808D8"/>
    <w:rsid w:val="00B86DBB"/>
    <w:rsid w:val="00B8771E"/>
    <w:rsid w:val="00B936C0"/>
    <w:rsid w:val="00B96860"/>
    <w:rsid w:val="00BA4BCC"/>
    <w:rsid w:val="00BA4DE9"/>
    <w:rsid w:val="00BA6F1D"/>
    <w:rsid w:val="00BA73F5"/>
    <w:rsid w:val="00BB72F4"/>
    <w:rsid w:val="00BB7742"/>
    <w:rsid w:val="00BC0FED"/>
    <w:rsid w:val="00BC49B5"/>
    <w:rsid w:val="00BD26AF"/>
    <w:rsid w:val="00BD7FFC"/>
    <w:rsid w:val="00BF16FD"/>
    <w:rsid w:val="00C02008"/>
    <w:rsid w:val="00C04958"/>
    <w:rsid w:val="00C07354"/>
    <w:rsid w:val="00C10591"/>
    <w:rsid w:val="00C10BA3"/>
    <w:rsid w:val="00C1258D"/>
    <w:rsid w:val="00C13FF9"/>
    <w:rsid w:val="00C152C1"/>
    <w:rsid w:val="00C2169C"/>
    <w:rsid w:val="00C21A0C"/>
    <w:rsid w:val="00C221AD"/>
    <w:rsid w:val="00C32933"/>
    <w:rsid w:val="00C441A8"/>
    <w:rsid w:val="00C456FE"/>
    <w:rsid w:val="00C4747D"/>
    <w:rsid w:val="00C50E6F"/>
    <w:rsid w:val="00C52B41"/>
    <w:rsid w:val="00C6468E"/>
    <w:rsid w:val="00C6487F"/>
    <w:rsid w:val="00C667B0"/>
    <w:rsid w:val="00C67B35"/>
    <w:rsid w:val="00C7211B"/>
    <w:rsid w:val="00C7485A"/>
    <w:rsid w:val="00C75DB8"/>
    <w:rsid w:val="00C77272"/>
    <w:rsid w:val="00C812C5"/>
    <w:rsid w:val="00C82183"/>
    <w:rsid w:val="00C8765D"/>
    <w:rsid w:val="00C8775A"/>
    <w:rsid w:val="00C9266B"/>
    <w:rsid w:val="00CA2E65"/>
    <w:rsid w:val="00CA3D56"/>
    <w:rsid w:val="00CA6386"/>
    <w:rsid w:val="00CA661C"/>
    <w:rsid w:val="00CA6815"/>
    <w:rsid w:val="00CA6965"/>
    <w:rsid w:val="00CD5B0B"/>
    <w:rsid w:val="00CE44DF"/>
    <w:rsid w:val="00CE45A1"/>
    <w:rsid w:val="00CF14BE"/>
    <w:rsid w:val="00D00B54"/>
    <w:rsid w:val="00D14BC6"/>
    <w:rsid w:val="00D21C65"/>
    <w:rsid w:val="00D269F9"/>
    <w:rsid w:val="00D35F0D"/>
    <w:rsid w:val="00D36E74"/>
    <w:rsid w:val="00D41347"/>
    <w:rsid w:val="00D525D3"/>
    <w:rsid w:val="00D63A6C"/>
    <w:rsid w:val="00D70F49"/>
    <w:rsid w:val="00D71443"/>
    <w:rsid w:val="00D72785"/>
    <w:rsid w:val="00D7322E"/>
    <w:rsid w:val="00D76F9D"/>
    <w:rsid w:val="00D837C5"/>
    <w:rsid w:val="00D87331"/>
    <w:rsid w:val="00D90F6D"/>
    <w:rsid w:val="00D92A05"/>
    <w:rsid w:val="00D9717C"/>
    <w:rsid w:val="00DA7388"/>
    <w:rsid w:val="00DB07BC"/>
    <w:rsid w:val="00DB33C0"/>
    <w:rsid w:val="00DC3703"/>
    <w:rsid w:val="00DD15B3"/>
    <w:rsid w:val="00DD16FE"/>
    <w:rsid w:val="00DD1E83"/>
    <w:rsid w:val="00DD372C"/>
    <w:rsid w:val="00DD40F2"/>
    <w:rsid w:val="00DD46B1"/>
    <w:rsid w:val="00DD53FC"/>
    <w:rsid w:val="00DD614F"/>
    <w:rsid w:val="00DE14F5"/>
    <w:rsid w:val="00DE6FAC"/>
    <w:rsid w:val="00DE7F54"/>
    <w:rsid w:val="00DF013F"/>
    <w:rsid w:val="00DF6837"/>
    <w:rsid w:val="00E04B5E"/>
    <w:rsid w:val="00E05C21"/>
    <w:rsid w:val="00E05D8B"/>
    <w:rsid w:val="00E07B3D"/>
    <w:rsid w:val="00E10204"/>
    <w:rsid w:val="00E11EED"/>
    <w:rsid w:val="00E11FCD"/>
    <w:rsid w:val="00E12662"/>
    <w:rsid w:val="00E176D6"/>
    <w:rsid w:val="00E17E19"/>
    <w:rsid w:val="00E2262F"/>
    <w:rsid w:val="00E24E37"/>
    <w:rsid w:val="00E25DDE"/>
    <w:rsid w:val="00E30108"/>
    <w:rsid w:val="00E32928"/>
    <w:rsid w:val="00E32C74"/>
    <w:rsid w:val="00E331D4"/>
    <w:rsid w:val="00E341AA"/>
    <w:rsid w:val="00E343F3"/>
    <w:rsid w:val="00E344E2"/>
    <w:rsid w:val="00E345CB"/>
    <w:rsid w:val="00E374DD"/>
    <w:rsid w:val="00E40304"/>
    <w:rsid w:val="00E40443"/>
    <w:rsid w:val="00E45FD0"/>
    <w:rsid w:val="00E51F07"/>
    <w:rsid w:val="00E54603"/>
    <w:rsid w:val="00E57586"/>
    <w:rsid w:val="00E57CAE"/>
    <w:rsid w:val="00E60021"/>
    <w:rsid w:val="00E61E25"/>
    <w:rsid w:val="00E6555E"/>
    <w:rsid w:val="00E667FC"/>
    <w:rsid w:val="00E67A45"/>
    <w:rsid w:val="00E717E6"/>
    <w:rsid w:val="00E81A3A"/>
    <w:rsid w:val="00E82A55"/>
    <w:rsid w:val="00E8413A"/>
    <w:rsid w:val="00E84A35"/>
    <w:rsid w:val="00E84D9E"/>
    <w:rsid w:val="00E85387"/>
    <w:rsid w:val="00E859E1"/>
    <w:rsid w:val="00E924D3"/>
    <w:rsid w:val="00E941A7"/>
    <w:rsid w:val="00E96048"/>
    <w:rsid w:val="00EA30ED"/>
    <w:rsid w:val="00EA5BB7"/>
    <w:rsid w:val="00EA7584"/>
    <w:rsid w:val="00EA7992"/>
    <w:rsid w:val="00EB6AAC"/>
    <w:rsid w:val="00EC1C53"/>
    <w:rsid w:val="00EC2528"/>
    <w:rsid w:val="00EC29E4"/>
    <w:rsid w:val="00EC588B"/>
    <w:rsid w:val="00EC617E"/>
    <w:rsid w:val="00EC7650"/>
    <w:rsid w:val="00ED102F"/>
    <w:rsid w:val="00ED2261"/>
    <w:rsid w:val="00ED32A9"/>
    <w:rsid w:val="00ED6867"/>
    <w:rsid w:val="00EE15F9"/>
    <w:rsid w:val="00EE6041"/>
    <w:rsid w:val="00EE666E"/>
    <w:rsid w:val="00EE6C5B"/>
    <w:rsid w:val="00F02B3E"/>
    <w:rsid w:val="00F0515A"/>
    <w:rsid w:val="00F06FF7"/>
    <w:rsid w:val="00F07EF4"/>
    <w:rsid w:val="00F124D7"/>
    <w:rsid w:val="00F12D4A"/>
    <w:rsid w:val="00F15726"/>
    <w:rsid w:val="00F162DD"/>
    <w:rsid w:val="00F218C4"/>
    <w:rsid w:val="00F30872"/>
    <w:rsid w:val="00F33262"/>
    <w:rsid w:val="00F36990"/>
    <w:rsid w:val="00F37EDD"/>
    <w:rsid w:val="00F441CF"/>
    <w:rsid w:val="00F46EFA"/>
    <w:rsid w:val="00F475EA"/>
    <w:rsid w:val="00F476BF"/>
    <w:rsid w:val="00F513BE"/>
    <w:rsid w:val="00F54955"/>
    <w:rsid w:val="00F60C16"/>
    <w:rsid w:val="00F76257"/>
    <w:rsid w:val="00F779D8"/>
    <w:rsid w:val="00F82851"/>
    <w:rsid w:val="00F873C3"/>
    <w:rsid w:val="00F907A5"/>
    <w:rsid w:val="00F92F31"/>
    <w:rsid w:val="00F942AF"/>
    <w:rsid w:val="00F9575A"/>
    <w:rsid w:val="00FA2AD0"/>
    <w:rsid w:val="00FA4BDA"/>
    <w:rsid w:val="00FB2F01"/>
    <w:rsid w:val="00FB5DFF"/>
    <w:rsid w:val="00FB5F7F"/>
    <w:rsid w:val="00FB70DD"/>
    <w:rsid w:val="00FC0DC1"/>
    <w:rsid w:val="00FC2D7D"/>
    <w:rsid w:val="00FC2DA2"/>
    <w:rsid w:val="00FC7EC9"/>
    <w:rsid w:val="00FD15F2"/>
    <w:rsid w:val="00FD5392"/>
    <w:rsid w:val="00FE1958"/>
    <w:rsid w:val="00FF4F41"/>
    <w:rsid w:val="00FF5541"/>
    <w:rsid w:val="00FF69CE"/>
    <w:rsid w:val="00FF70F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A7D7D"/>
  <w15:chartTrackingRefBased/>
  <w15:docId w15:val="{14984B98-63D1-4477-9C54-C373D19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
    <w:next w:val="a"/>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sz w:val="18"/>
      <w:szCs w:val="18"/>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sz w:val="18"/>
      <w:szCs w:val="18"/>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semiHidden/>
    <w:rsid w:val="00875910"/>
    <w:pPr>
      <w:jc w:val="left"/>
    </w:pPr>
    <w:rPr>
      <w:rFonts w:ascii="Times New Roman" w:hAnsi="Times New Roman"/>
      <w:szCs w:val="24"/>
    </w:rPr>
  </w:style>
  <w:style w:type="character" w:styleId="ad">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rPr>
  </w:style>
  <w:style w:type="paragraph" w:styleId="12">
    <w:name w:val="toc 1"/>
    <w:basedOn w:val="a"/>
    <w:next w:val="a"/>
    <w:autoRedefine/>
    <w:uiPriority w:val="39"/>
    <w:unhideWhenUsed/>
    <w:rsid w:val="003F53A5"/>
    <w:pPr>
      <w:tabs>
        <w:tab w:val="left" w:pos="420"/>
        <w:tab w:val="left" w:pos="2164"/>
        <w:tab w:val="right" w:leader="dot" w:pos="9214"/>
        <w:tab w:val="right" w:leader="dot" w:pos="9356"/>
        <w:tab w:val="right" w:leader="dot" w:pos="9498"/>
      </w:tabs>
      <w:snapToGrid w:val="0"/>
      <w:spacing w:line="288" w:lineRule="auto"/>
      <w:ind w:leftChars="810" w:left="1701" w:right="-286"/>
      <w:jc w:val="left"/>
    </w:pPr>
    <w:rPr>
      <w:rFonts w:ascii="微软雅黑" w:eastAsia="微软雅黑" w:hAnsi="微软雅黑"/>
      <w:b/>
      <w:noProof/>
      <w:sz w:val="28"/>
      <w:szCs w:val="28"/>
    </w:rPr>
  </w:style>
  <w:style w:type="paragraph" w:styleId="20">
    <w:name w:val="toc 2"/>
    <w:basedOn w:val="a"/>
    <w:next w:val="a"/>
    <w:autoRedefine/>
    <w:uiPriority w:val="39"/>
    <w:unhideWhenUsed/>
    <w:rsid w:val="003F53A5"/>
    <w:pPr>
      <w:tabs>
        <w:tab w:val="left" w:pos="1050"/>
        <w:tab w:val="left" w:pos="2308"/>
        <w:tab w:val="left" w:pos="7088"/>
        <w:tab w:val="left" w:pos="7230"/>
        <w:tab w:val="left" w:pos="7371"/>
        <w:tab w:val="left" w:pos="7513"/>
        <w:tab w:val="left" w:pos="7655"/>
        <w:tab w:val="left" w:pos="7797"/>
        <w:tab w:val="left" w:pos="7938"/>
        <w:tab w:val="left" w:pos="8080"/>
        <w:tab w:val="left" w:pos="8222"/>
        <w:tab w:val="left" w:pos="8364"/>
        <w:tab w:val="left" w:pos="8505"/>
        <w:tab w:val="left" w:pos="8647"/>
        <w:tab w:val="left" w:pos="8789"/>
        <w:tab w:val="left" w:pos="8931"/>
        <w:tab w:val="right" w:leader="dot" w:pos="9072"/>
        <w:tab w:val="right" w:leader="dot" w:pos="9214"/>
        <w:tab w:val="right" w:leader="dot" w:pos="9356"/>
        <w:tab w:val="right" w:leader="dot" w:pos="9498"/>
      </w:tabs>
      <w:snapToGrid w:val="0"/>
      <w:spacing w:line="288" w:lineRule="auto"/>
      <w:ind w:leftChars="742" w:left="1558" w:firstLineChars="117" w:firstLine="28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e">
    <w:name w:val="Hyperlink"/>
    <w:uiPriority w:val="99"/>
    <w:unhideWhenUsed/>
    <w:rsid w:val="00955D2F"/>
    <w:rPr>
      <w:color w:val="0000FF"/>
      <w:u w:val="single"/>
    </w:rPr>
  </w:style>
  <w:style w:type="paragraph" w:styleId="af">
    <w:name w:val="table of figures"/>
    <w:basedOn w:val="a"/>
    <w:next w:val="a"/>
    <w:uiPriority w:val="99"/>
    <w:unhideWhenUsed/>
    <w:rsid w:val="00692A14"/>
    <w:pPr>
      <w:ind w:left="2688" w:hanging="42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0">
    <w:name w:val="List Paragraph"/>
    <w:basedOn w:val="a"/>
    <w:uiPriority w:val="34"/>
    <w:qFormat/>
    <w:rsid w:val="00E6555E"/>
    <w:pPr>
      <w:ind w:firstLineChars="200" w:firstLine="420"/>
    </w:pPr>
  </w:style>
  <w:style w:type="paragraph" w:customStyle="1" w:styleId="13">
    <w:name w:val="样式1"/>
    <w:basedOn w:val="a3"/>
    <w:qFormat/>
    <w:rsid w:val="000E47E7"/>
    <w:pPr>
      <w:pBdr>
        <w:bottom w:val="none" w:sz="0" w:space="0" w:color="auto"/>
      </w:pBdr>
      <w:ind w:left="8400" w:hanging="8400"/>
      <w:jc w:val="both"/>
    </w:pPr>
    <w:rPr>
      <w:rFonts w:ascii="Times New Roman" w:eastAsia="楷体_GB2312" w:hAnsi="Times New Roman"/>
    </w:rPr>
  </w:style>
  <w:style w:type="paragraph" w:customStyle="1" w:styleId="af1">
    <w:name w:val="东吴_报告主标题"/>
    <w:basedOn w:val="a"/>
    <w:qFormat/>
    <w:rsid w:val="000E47E7"/>
    <w:pPr>
      <w:snapToGrid w:val="0"/>
      <w:spacing w:beforeLines="30" w:before="30"/>
    </w:pPr>
    <w:rPr>
      <w:rFonts w:ascii="Times New Roman" w:eastAsia="楷体_GB2312" w:hAnsi="Times New Roman"/>
      <w:b/>
      <w:bCs/>
      <w:color w:val="17365D"/>
      <w:sz w:val="36"/>
      <w:szCs w:val="36"/>
    </w:rPr>
  </w:style>
  <w:style w:type="paragraph" w:customStyle="1" w:styleId="af2">
    <w:name w:val="东吴_评级"/>
    <w:basedOn w:val="a"/>
    <w:qFormat/>
    <w:rsid w:val="000E47E7"/>
    <w:pPr>
      <w:snapToGrid w:val="0"/>
    </w:pPr>
    <w:rPr>
      <w:rFonts w:ascii="Times New Roman" w:eastAsia="楷体_GB2312" w:hAnsi="Times New Roman"/>
      <w:bCs/>
      <w:color w:val="17365D"/>
      <w:sz w:val="32"/>
      <w:szCs w:val="32"/>
    </w:rPr>
  </w:style>
  <w:style w:type="paragraph" w:customStyle="1" w:styleId="af3">
    <w:name w:val="东吴_摘要"/>
    <w:basedOn w:val="a"/>
    <w:qFormat/>
    <w:rsid w:val="000E47E7"/>
    <w:pPr>
      <w:adjustRightInd w:val="0"/>
      <w:snapToGrid w:val="0"/>
    </w:pPr>
    <w:rPr>
      <w:rFonts w:ascii="Times New Roman" w:eastAsia="楷体_GB2312" w:hAnsi="Times New Roman"/>
      <w:color w:val="000000"/>
      <w:szCs w:val="24"/>
    </w:rPr>
  </w:style>
  <w:style w:type="paragraph" w:customStyle="1" w:styleId="af4">
    <w:name w:val="东吴_相关研究"/>
    <w:basedOn w:val="af0"/>
    <w:qFormat/>
    <w:rsid w:val="000E47E7"/>
    <w:pPr>
      <w:snapToGrid w:val="0"/>
      <w:ind w:left="360" w:right="-2" w:firstLineChars="0" w:firstLine="0"/>
      <w:jc w:val="left"/>
    </w:pPr>
    <w:rPr>
      <w:rFonts w:ascii="Times New Roman" w:eastAsia="楷体_GB2312" w:hAnsi="Times New Roman"/>
      <w:b/>
      <w:bCs/>
      <w:szCs w:val="21"/>
    </w:rPr>
  </w:style>
  <w:style w:type="paragraph" w:styleId="af5">
    <w:name w:val="Normal (Web)"/>
    <w:basedOn w:val="a"/>
    <w:uiPriority w:val="99"/>
    <w:unhideWhenUsed/>
    <w:rsid w:val="002C6F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627">
      <w:bodyDiv w:val="1"/>
      <w:marLeft w:val="0"/>
      <w:marRight w:val="0"/>
      <w:marTop w:val="0"/>
      <w:marBottom w:val="0"/>
      <w:divBdr>
        <w:top w:val="none" w:sz="0" w:space="0" w:color="auto"/>
        <w:left w:val="none" w:sz="0" w:space="0" w:color="auto"/>
        <w:bottom w:val="none" w:sz="0" w:space="0" w:color="auto"/>
        <w:right w:val="none" w:sz="0" w:space="0" w:color="auto"/>
      </w:divBdr>
    </w:div>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176357434">
      <w:bodyDiv w:val="1"/>
      <w:marLeft w:val="0"/>
      <w:marRight w:val="0"/>
      <w:marTop w:val="0"/>
      <w:marBottom w:val="0"/>
      <w:divBdr>
        <w:top w:val="none" w:sz="0" w:space="0" w:color="auto"/>
        <w:left w:val="none" w:sz="0" w:space="0" w:color="auto"/>
        <w:bottom w:val="none" w:sz="0" w:space="0" w:color="auto"/>
        <w:right w:val="none" w:sz="0" w:space="0" w:color="auto"/>
      </w:divBdr>
      <w:divsChild>
        <w:div w:id="1830051868">
          <w:marLeft w:val="0"/>
          <w:marRight w:val="0"/>
          <w:marTop w:val="58"/>
          <w:marBottom w:val="58"/>
          <w:divBdr>
            <w:top w:val="none" w:sz="0" w:space="0" w:color="auto"/>
            <w:left w:val="none" w:sz="0" w:space="0" w:color="auto"/>
            <w:bottom w:val="none" w:sz="0" w:space="0" w:color="auto"/>
            <w:right w:val="none" w:sz="0" w:space="0" w:color="auto"/>
          </w:divBdr>
        </w:div>
        <w:div w:id="170612108">
          <w:marLeft w:val="0"/>
          <w:marRight w:val="0"/>
          <w:marTop w:val="58"/>
          <w:marBottom w:val="58"/>
          <w:divBdr>
            <w:top w:val="none" w:sz="0" w:space="0" w:color="auto"/>
            <w:left w:val="none" w:sz="0" w:space="0" w:color="auto"/>
            <w:bottom w:val="none" w:sz="0" w:space="0" w:color="auto"/>
            <w:right w:val="none" w:sz="0" w:space="0" w:color="auto"/>
          </w:divBdr>
        </w:div>
      </w:divsChild>
    </w:div>
    <w:div w:id="202063333">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50032781">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4127592">
      <w:bodyDiv w:val="1"/>
      <w:marLeft w:val="0"/>
      <w:marRight w:val="0"/>
      <w:marTop w:val="0"/>
      <w:marBottom w:val="0"/>
      <w:divBdr>
        <w:top w:val="none" w:sz="0" w:space="0" w:color="auto"/>
        <w:left w:val="none" w:sz="0" w:space="0" w:color="auto"/>
        <w:bottom w:val="none" w:sz="0" w:space="0" w:color="auto"/>
        <w:right w:val="none" w:sz="0" w:space="0" w:color="auto"/>
      </w:divBdr>
      <w:divsChild>
        <w:div w:id="1234899683">
          <w:marLeft w:val="547"/>
          <w:marRight w:val="0"/>
          <w:marTop w:val="77"/>
          <w:marBottom w:val="0"/>
          <w:divBdr>
            <w:top w:val="none" w:sz="0" w:space="0" w:color="auto"/>
            <w:left w:val="none" w:sz="0" w:space="0" w:color="auto"/>
            <w:bottom w:val="none" w:sz="0" w:space="0" w:color="auto"/>
            <w:right w:val="none" w:sz="0" w:space="0" w:color="auto"/>
          </w:divBdr>
        </w:div>
      </w:divsChild>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35297172">
      <w:bodyDiv w:val="1"/>
      <w:marLeft w:val="0"/>
      <w:marRight w:val="0"/>
      <w:marTop w:val="0"/>
      <w:marBottom w:val="0"/>
      <w:divBdr>
        <w:top w:val="none" w:sz="0" w:space="0" w:color="auto"/>
        <w:left w:val="none" w:sz="0" w:space="0" w:color="auto"/>
        <w:bottom w:val="none" w:sz="0" w:space="0" w:color="auto"/>
        <w:right w:val="none" w:sz="0" w:space="0" w:color="auto"/>
      </w:divBdr>
      <w:divsChild>
        <w:div w:id="505822393">
          <w:marLeft w:val="360"/>
          <w:marRight w:val="0"/>
          <w:marTop w:val="0"/>
          <w:marBottom w:val="0"/>
          <w:divBdr>
            <w:top w:val="none" w:sz="0" w:space="0" w:color="auto"/>
            <w:left w:val="none" w:sz="0" w:space="0" w:color="auto"/>
            <w:bottom w:val="none" w:sz="0" w:space="0" w:color="auto"/>
            <w:right w:val="none" w:sz="0" w:space="0" w:color="auto"/>
          </w:divBdr>
        </w:div>
      </w:divsChild>
    </w:div>
    <w:div w:id="520630566">
      <w:bodyDiv w:val="1"/>
      <w:marLeft w:val="0"/>
      <w:marRight w:val="0"/>
      <w:marTop w:val="0"/>
      <w:marBottom w:val="0"/>
      <w:divBdr>
        <w:top w:val="none" w:sz="0" w:space="0" w:color="auto"/>
        <w:left w:val="none" w:sz="0" w:space="0" w:color="auto"/>
        <w:bottom w:val="none" w:sz="0" w:space="0" w:color="auto"/>
        <w:right w:val="none" w:sz="0" w:space="0" w:color="auto"/>
      </w:divBdr>
    </w:div>
    <w:div w:id="535120822">
      <w:bodyDiv w:val="1"/>
      <w:marLeft w:val="0"/>
      <w:marRight w:val="0"/>
      <w:marTop w:val="0"/>
      <w:marBottom w:val="0"/>
      <w:divBdr>
        <w:top w:val="none" w:sz="0" w:space="0" w:color="auto"/>
        <w:left w:val="none" w:sz="0" w:space="0" w:color="auto"/>
        <w:bottom w:val="none" w:sz="0" w:space="0" w:color="auto"/>
        <w:right w:val="none" w:sz="0" w:space="0" w:color="auto"/>
      </w:divBdr>
    </w:div>
    <w:div w:id="599603451">
      <w:bodyDiv w:val="1"/>
      <w:marLeft w:val="0"/>
      <w:marRight w:val="0"/>
      <w:marTop w:val="0"/>
      <w:marBottom w:val="0"/>
      <w:divBdr>
        <w:top w:val="none" w:sz="0" w:space="0" w:color="auto"/>
        <w:left w:val="none" w:sz="0" w:space="0" w:color="auto"/>
        <w:bottom w:val="none" w:sz="0" w:space="0" w:color="auto"/>
        <w:right w:val="none" w:sz="0" w:space="0" w:color="auto"/>
      </w:divBdr>
    </w:div>
    <w:div w:id="678698414">
      <w:bodyDiv w:val="1"/>
      <w:marLeft w:val="0"/>
      <w:marRight w:val="0"/>
      <w:marTop w:val="0"/>
      <w:marBottom w:val="0"/>
      <w:divBdr>
        <w:top w:val="none" w:sz="0" w:space="0" w:color="auto"/>
        <w:left w:val="none" w:sz="0" w:space="0" w:color="auto"/>
        <w:bottom w:val="none" w:sz="0" w:space="0" w:color="auto"/>
        <w:right w:val="none" w:sz="0" w:space="0" w:color="auto"/>
      </w:divBdr>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46166540">
      <w:bodyDiv w:val="1"/>
      <w:marLeft w:val="0"/>
      <w:marRight w:val="0"/>
      <w:marTop w:val="0"/>
      <w:marBottom w:val="0"/>
      <w:divBdr>
        <w:top w:val="none" w:sz="0" w:space="0" w:color="auto"/>
        <w:left w:val="none" w:sz="0" w:space="0" w:color="auto"/>
        <w:bottom w:val="none" w:sz="0" w:space="0" w:color="auto"/>
        <w:right w:val="none" w:sz="0" w:space="0" w:color="auto"/>
      </w:divBdr>
    </w:div>
    <w:div w:id="880673483">
      <w:bodyDiv w:val="1"/>
      <w:marLeft w:val="0"/>
      <w:marRight w:val="0"/>
      <w:marTop w:val="0"/>
      <w:marBottom w:val="0"/>
      <w:divBdr>
        <w:top w:val="none" w:sz="0" w:space="0" w:color="auto"/>
        <w:left w:val="none" w:sz="0" w:space="0" w:color="auto"/>
        <w:bottom w:val="none" w:sz="0" w:space="0" w:color="auto"/>
        <w:right w:val="none" w:sz="0" w:space="0" w:color="auto"/>
      </w:divBdr>
    </w:div>
    <w:div w:id="951397833">
      <w:bodyDiv w:val="1"/>
      <w:marLeft w:val="0"/>
      <w:marRight w:val="0"/>
      <w:marTop w:val="0"/>
      <w:marBottom w:val="0"/>
      <w:divBdr>
        <w:top w:val="none" w:sz="0" w:space="0" w:color="auto"/>
        <w:left w:val="none" w:sz="0" w:space="0" w:color="auto"/>
        <w:bottom w:val="none" w:sz="0" w:space="0" w:color="auto"/>
        <w:right w:val="none" w:sz="0" w:space="0" w:color="auto"/>
      </w:divBdr>
    </w:div>
    <w:div w:id="975070022">
      <w:bodyDiv w:val="1"/>
      <w:marLeft w:val="0"/>
      <w:marRight w:val="0"/>
      <w:marTop w:val="0"/>
      <w:marBottom w:val="0"/>
      <w:divBdr>
        <w:top w:val="none" w:sz="0" w:space="0" w:color="auto"/>
        <w:left w:val="none" w:sz="0" w:space="0" w:color="auto"/>
        <w:bottom w:val="none" w:sz="0" w:space="0" w:color="auto"/>
        <w:right w:val="none" w:sz="0" w:space="0" w:color="auto"/>
      </w:divBdr>
    </w:div>
    <w:div w:id="1025130028">
      <w:bodyDiv w:val="1"/>
      <w:marLeft w:val="0"/>
      <w:marRight w:val="0"/>
      <w:marTop w:val="0"/>
      <w:marBottom w:val="0"/>
      <w:divBdr>
        <w:top w:val="none" w:sz="0" w:space="0" w:color="auto"/>
        <w:left w:val="none" w:sz="0" w:space="0" w:color="auto"/>
        <w:bottom w:val="none" w:sz="0" w:space="0" w:color="auto"/>
        <w:right w:val="none" w:sz="0" w:space="0" w:color="auto"/>
      </w:divBdr>
    </w:div>
    <w:div w:id="1151943203">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88856875">
      <w:bodyDiv w:val="1"/>
      <w:marLeft w:val="0"/>
      <w:marRight w:val="0"/>
      <w:marTop w:val="0"/>
      <w:marBottom w:val="0"/>
      <w:divBdr>
        <w:top w:val="none" w:sz="0" w:space="0" w:color="auto"/>
        <w:left w:val="none" w:sz="0" w:space="0" w:color="auto"/>
        <w:bottom w:val="none" w:sz="0" w:space="0" w:color="auto"/>
        <w:right w:val="none" w:sz="0" w:space="0" w:color="auto"/>
      </w:divBdr>
    </w:div>
    <w:div w:id="1596092109">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2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0817E-B843-4C5E-9949-2660DD50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460</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Links>
    <vt:vector size="126" baseType="variant">
      <vt:variant>
        <vt:i4>1769521</vt:i4>
      </vt:variant>
      <vt:variant>
        <vt:i4>128</vt:i4>
      </vt:variant>
      <vt:variant>
        <vt:i4>0</vt:i4>
      </vt:variant>
      <vt:variant>
        <vt:i4>5</vt:i4>
      </vt:variant>
      <vt:variant>
        <vt:lpwstr/>
      </vt:variant>
      <vt:variant>
        <vt:lpwstr>_Toc420402585</vt:lpwstr>
      </vt:variant>
      <vt:variant>
        <vt:i4>1769521</vt:i4>
      </vt:variant>
      <vt:variant>
        <vt:i4>122</vt:i4>
      </vt:variant>
      <vt:variant>
        <vt:i4>0</vt:i4>
      </vt:variant>
      <vt:variant>
        <vt:i4>5</vt:i4>
      </vt:variant>
      <vt:variant>
        <vt:lpwstr/>
      </vt:variant>
      <vt:variant>
        <vt:lpwstr>_Toc420402584</vt:lpwstr>
      </vt:variant>
      <vt:variant>
        <vt:i4>1769521</vt:i4>
      </vt:variant>
      <vt:variant>
        <vt:i4>116</vt:i4>
      </vt:variant>
      <vt:variant>
        <vt:i4>0</vt:i4>
      </vt:variant>
      <vt:variant>
        <vt:i4>5</vt:i4>
      </vt:variant>
      <vt:variant>
        <vt:lpwstr/>
      </vt:variant>
      <vt:variant>
        <vt:lpwstr>_Toc420402583</vt:lpwstr>
      </vt:variant>
      <vt:variant>
        <vt:i4>1769521</vt:i4>
      </vt:variant>
      <vt:variant>
        <vt:i4>110</vt:i4>
      </vt:variant>
      <vt:variant>
        <vt:i4>0</vt:i4>
      </vt:variant>
      <vt:variant>
        <vt:i4>5</vt:i4>
      </vt:variant>
      <vt:variant>
        <vt:lpwstr/>
      </vt:variant>
      <vt:variant>
        <vt:lpwstr>_Toc420402582</vt:lpwstr>
      </vt:variant>
      <vt:variant>
        <vt:i4>1769521</vt:i4>
      </vt:variant>
      <vt:variant>
        <vt:i4>104</vt:i4>
      </vt:variant>
      <vt:variant>
        <vt:i4>0</vt:i4>
      </vt:variant>
      <vt:variant>
        <vt:i4>5</vt:i4>
      </vt:variant>
      <vt:variant>
        <vt:lpwstr/>
      </vt:variant>
      <vt:variant>
        <vt:lpwstr>_Toc420402581</vt:lpwstr>
      </vt:variant>
      <vt:variant>
        <vt:i4>1769521</vt:i4>
      </vt:variant>
      <vt:variant>
        <vt:i4>98</vt:i4>
      </vt:variant>
      <vt:variant>
        <vt:i4>0</vt:i4>
      </vt:variant>
      <vt:variant>
        <vt:i4>5</vt:i4>
      </vt:variant>
      <vt:variant>
        <vt:lpwstr/>
      </vt:variant>
      <vt:variant>
        <vt:lpwstr>_Toc420402580</vt:lpwstr>
      </vt:variant>
      <vt:variant>
        <vt:i4>1310769</vt:i4>
      </vt:variant>
      <vt:variant>
        <vt:i4>92</vt:i4>
      </vt:variant>
      <vt:variant>
        <vt:i4>0</vt:i4>
      </vt:variant>
      <vt:variant>
        <vt:i4>5</vt:i4>
      </vt:variant>
      <vt:variant>
        <vt:lpwstr/>
      </vt:variant>
      <vt:variant>
        <vt:lpwstr>_Toc420402579</vt:lpwstr>
      </vt:variant>
      <vt:variant>
        <vt:i4>1310769</vt:i4>
      </vt:variant>
      <vt:variant>
        <vt:i4>86</vt:i4>
      </vt:variant>
      <vt:variant>
        <vt:i4>0</vt:i4>
      </vt:variant>
      <vt:variant>
        <vt:i4>5</vt:i4>
      </vt:variant>
      <vt:variant>
        <vt:lpwstr/>
      </vt:variant>
      <vt:variant>
        <vt:lpwstr>_Toc420402578</vt:lpwstr>
      </vt:variant>
      <vt:variant>
        <vt:i4>1310769</vt:i4>
      </vt:variant>
      <vt:variant>
        <vt:i4>80</vt:i4>
      </vt:variant>
      <vt:variant>
        <vt:i4>0</vt:i4>
      </vt:variant>
      <vt:variant>
        <vt:i4>5</vt:i4>
      </vt:variant>
      <vt:variant>
        <vt:lpwstr/>
      </vt:variant>
      <vt:variant>
        <vt:lpwstr>_Toc420402577</vt:lpwstr>
      </vt:variant>
      <vt:variant>
        <vt:i4>1310769</vt:i4>
      </vt:variant>
      <vt:variant>
        <vt:i4>74</vt:i4>
      </vt:variant>
      <vt:variant>
        <vt:i4>0</vt:i4>
      </vt:variant>
      <vt:variant>
        <vt:i4>5</vt:i4>
      </vt:variant>
      <vt:variant>
        <vt:lpwstr/>
      </vt:variant>
      <vt:variant>
        <vt:lpwstr>_Toc420402576</vt:lpwstr>
      </vt:variant>
      <vt:variant>
        <vt:i4>1310769</vt:i4>
      </vt:variant>
      <vt:variant>
        <vt:i4>68</vt:i4>
      </vt:variant>
      <vt:variant>
        <vt:i4>0</vt:i4>
      </vt:variant>
      <vt:variant>
        <vt:i4>5</vt:i4>
      </vt:variant>
      <vt:variant>
        <vt:lpwstr/>
      </vt:variant>
      <vt:variant>
        <vt:lpwstr>_Toc420402575</vt:lpwstr>
      </vt:variant>
      <vt:variant>
        <vt:i4>1245235</vt:i4>
      </vt:variant>
      <vt:variant>
        <vt:i4>59</vt:i4>
      </vt:variant>
      <vt:variant>
        <vt:i4>0</vt:i4>
      </vt:variant>
      <vt:variant>
        <vt:i4>5</vt:i4>
      </vt:variant>
      <vt:variant>
        <vt:lpwstr/>
      </vt:variant>
      <vt:variant>
        <vt:lpwstr>_Toc420401737</vt:lpwstr>
      </vt:variant>
      <vt:variant>
        <vt:i4>1245235</vt:i4>
      </vt:variant>
      <vt:variant>
        <vt:i4>53</vt:i4>
      </vt:variant>
      <vt:variant>
        <vt:i4>0</vt:i4>
      </vt:variant>
      <vt:variant>
        <vt:i4>5</vt:i4>
      </vt:variant>
      <vt:variant>
        <vt:lpwstr/>
      </vt:variant>
      <vt:variant>
        <vt:lpwstr>_Toc420401736</vt:lpwstr>
      </vt:variant>
      <vt:variant>
        <vt:i4>1245235</vt:i4>
      </vt:variant>
      <vt:variant>
        <vt:i4>47</vt:i4>
      </vt:variant>
      <vt:variant>
        <vt:i4>0</vt:i4>
      </vt:variant>
      <vt:variant>
        <vt:i4>5</vt:i4>
      </vt:variant>
      <vt:variant>
        <vt:lpwstr/>
      </vt:variant>
      <vt:variant>
        <vt:lpwstr>_Toc420401735</vt:lpwstr>
      </vt:variant>
      <vt:variant>
        <vt:i4>1245235</vt:i4>
      </vt:variant>
      <vt:variant>
        <vt:i4>41</vt:i4>
      </vt:variant>
      <vt:variant>
        <vt:i4>0</vt:i4>
      </vt:variant>
      <vt:variant>
        <vt:i4>5</vt:i4>
      </vt:variant>
      <vt:variant>
        <vt:lpwstr/>
      </vt:variant>
      <vt:variant>
        <vt:lpwstr>_Toc420401734</vt:lpwstr>
      </vt:variant>
      <vt:variant>
        <vt:i4>1245235</vt:i4>
      </vt:variant>
      <vt:variant>
        <vt:i4>35</vt:i4>
      </vt:variant>
      <vt:variant>
        <vt:i4>0</vt:i4>
      </vt:variant>
      <vt:variant>
        <vt:i4>5</vt:i4>
      </vt:variant>
      <vt:variant>
        <vt:lpwstr/>
      </vt:variant>
      <vt:variant>
        <vt:lpwstr>_Toc420401733</vt:lpwstr>
      </vt:variant>
      <vt:variant>
        <vt:i4>1245235</vt:i4>
      </vt:variant>
      <vt:variant>
        <vt:i4>29</vt:i4>
      </vt:variant>
      <vt:variant>
        <vt:i4>0</vt:i4>
      </vt:variant>
      <vt:variant>
        <vt:i4>5</vt:i4>
      </vt:variant>
      <vt:variant>
        <vt:lpwstr/>
      </vt:variant>
      <vt:variant>
        <vt:lpwstr>_Toc420401732</vt:lpwstr>
      </vt:variant>
      <vt:variant>
        <vt:i4>1245235</vt:i4>
      </vt:variant>
      <vt:variant>
        <vt:i4>23</vt:i4>
      </vt:variant>
      <vt:variant>
        <vt:i4>0</vt:i4>
      </vt:variant>
      <vt:variant>
        <vt:i4>5</vt:i4>
      </vt:variant>
      <vt:variant>
        <vt:lpwstr/>
      </vt:variant>
      <vt:variant>
        <vt:lpwstr>_Toc420401731</vt:lpwstr>
      </vt:variant>
      <vt:variant>
        <vt:i4>1245235</vt:i4>
      </vt:variant>
      <vt:variant>
        <vt:i4>17</vt:i4>
      </vt:variant>
      <vt:variant>
        <vt:i4>0</vt:i4>
      </vt:variant>
      <vt:variant>
        <vt:i4>5</vt:i4>
      </vt:variant>
      <vt:variant>
        <vt:lpwstr/>
      </vt:variant>
      <vt:variant>
        <vt:lpwstr>_Toc420401730</vt:lpwstr>
      </vt:variant>
      <vt:variant>
        <vt:i4>1179699</vt:i4>
      </vt:variant>
      <vt:variant>
        <vt:i4>11</vt:i4>
      </vt:variant>
      <vt:variant>
        <vt:i4>0</vt:i4>
      </vt:variant>
      <vt:variant>
        <vt:i4>5</vt:i4>
      </vt:variant>
      <vt:variant>
        <vt:lpwstr/>
      </vt:variant>
      <vt:variant>
        <vt:lpwstr>_Toc420401729</vt:lpwstr>
      </vt:variant>
      <vt:variant>
        <vt:i4>1179699</vt:i4>
      </vt:variant>
      <vt:variant>
        <vt:i4>5</vt:i4>
      </vt:variant>
      <vt:variant>
        <vt:i4>0</vt:i4>
      </vt:variant>
      <vt:variant>
        <vt:i4>5</vt:i4>
      </vt:variant>
      <vt:variant>
        <vt:lpwstr/>
      </vt:variant>
      <vt:variant>
        <vt:lpwstr>_Toc420401728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13</cp:revision>
  <cp:lastPrinted>2011-05-03T06:12:00Z</cp:lastPrinted>
  <dcterms:created xsi:type="dcterms:W3CDTF">2017-09-24T11:48:00Z</dcterms:created>
  <dcterms:modified xsi:type="dcterms:W3CDTF">2017-10-07T17:23:00Z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100529</vt:lpwstr>
  </property>
  <property fmtid="{D5CDD505-2E9C-101B-9397-08002B2CF9AE}" pid="6" name="templateid">
    <vt:lpwstr>1000037</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20170947135747</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999004936,999005241,,</vt:lpwstr>
  </property>
  <property fmtid="{D5CDD505-2E9C-101B-9397-08002B2CF9AE}" pid="13" name="date">
    <vt:lpwstr>2017-09-14</vt:lpwstr>
  </property>
  <property fmtid="{D5CDD505-2E9C-101B-9397-08002B2CF9AE}" pid="14" name="authorname">
    <vt:lpwstr>matt,jiangjsy,,</vt:lpwstr>
  </property>
  <property fmtid="{D5CDD505-2E9C-101B-9397-08002B2CF9AE}" pid="15" name="reporttype">
    <vt:lpwstr>行业深度报告</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行业深度报告</vt:lpwstr>
  </property>
</Properties>
</file>