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r>
        <w:t>发改委</w:t>
      </w:r>
      <w:r>
        <w:rPr>
          <w:rFonts w:hint="eastAsia"/>
        </w:rPr>
        <w:t>称，</w:t>
      </w:r>
      <w:r w:rsidRPr="00532047">
        <w:t>经过各方积极行动、主动作为，降杠杆综合性措施取得初步进展，市场化债转股取得良好开局；未来将把国有企业降杠杆率作为主攻方向，把僵尸企业出清作为降杠杆的重要途径；进一步推动市场化债转股。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（新闻来源：发改委）</w:t>
      </w:r>
    </w:p>
    <w:p w:rsidR="00532047" w:rsidRPr="00532047" w:rsidRDefault="00532047"/>
    <w:p w:rsidR="00532047" w:rsidRDefault="002205DD">
      <w:r w:rsidRPr="002205DD">
        <w:t>8月末银行业金融机构资产总额238.95万亿元人民币，同比增10.9%</w:t>
      </w:r>
      <w:r>
        <w:rPr>
          <w:rFonts w:hint="eastAsia"/>
        </w:rPr>
        <w:t>，</w:t>
      </w:r>
      <w:r w:rsidRPr="002205DD">
        <w:t>负债总额220.45万亿元人民币，同比增10.8%</w:t>
      </w:r>
      <w:r>
        <w:rPr>
          <w:rFonts w:hint="eastAsia"/>
        </w:rPr>
        <w:t>。其中商业银行合计资产总额185.32万亿，同比增11.2%，负债总额171.4万亿，同比增11.1%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【建设银行】公司非公开发行600亿优先股预案获证监会批准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>
      <w:bookmarkStart w:id="0" w:name="_GoBack"/>
      <w:bookmarkEnd w:id="0"/>
    </w:p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r w:rsidRPr="006826B8">
        <w:t>1-8月，国有企业营业利润总额19114.1亿元，同比增长21.7%；钢铁、有色等上年同期亏损行业持续盈利；煤炭、石油石化、交通等行业实现利润同比增幅较大；电力等行业实现利润同比降幅较大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r w:rsidR="000454FD" w:rsidRPr="000454FD">
        <w:t>标普基于“亲周期”评级方法下调中国评级是简单片面的；中国债务偿付能力总体较强，去杠杆办法和手段较多。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p w:rsidR="0030035A" w:rsidRDefault="0030035A"/>
    <w:p w:rsidR="0030035A" w:rsidRDefault="0030035A"/>
    <w:p w:rsidR="0030035A" w:rsidRDefault="0030035A"/>
    <w:p w:rsidR="0030035A" w:rsidRDefault="0030035A">
      <w:r>
        <w:rPr>
          <w:rFonts w:hint="eastAsia"/>
        </w:rPr>
        <w:t>2017/</w:t>
      </w:r>
      <w:r>
        <w:t>9/27</w:t>
      </w:r>
    </w:p>
    <w:p w:rsidR="0064557D" w:rsidRDefault="0064557D"/>
    <w:p w:rsidR="0064557D" w:rsidRDefault="0064557D">
      <w:r>
        <w:rPr>
          <w:rFonts w:hint="eastAsia"/>
        </w:rPr>
        <w:t>【无锡银行】</w:t>
      </w:r>
      <w:r w:rsidR="0090305E">
        <w:rPr>
          <w:rFonts w:hint="eastAsia"/>
        </w:rPr>
        <w:t>公司</w:t>
      </w:r>
      <w:r w:rsidR="0090305E" w:rsidRPr="0090305E">
        <w:t>公开发行不超过 28 亿元人民币的二级资本债券</w:t>
      </w:r>
      <w:r w:rsidR="0090305E">
        <w:rPr>
          <w:rFonts w:hint="eastAsia"/>
        </w:rPr>
        <w:t>获央行批准。</w:t>
      </w:r>
    </w:p>
    <w:p w:rsidR="0090305E" w:rsidRDefault="0090305E"/>
    <w:p w:rsidR="0064557D" w:rsidRDefault="0064557D"/>
    <w:p w:rsidR="0030035A" w:rsidRDefault="0030035A">
      <w:r>
        <w:rPr>
          <w:rFonts w:hint="eastAsia"/>
        </w:rPr>
        <w:t>央行今日未开展公开市场操作，当日有400亿逆回购到期，单日净回笼400亿。（新闻来源：中国人民银行）</w:t>
      </w:r>
    </w:p>
    <w:p w:rsidR="0030035A" w:rsidRDefault="0030035A"/>
    <w:p w:rsidR="0030035A" w:rsidRDefault="00DE5E19">
      <w:r w:rsidRPr="00DE5E19">
        <w:t>1-8月，全国规模以上工业企业实现利润总额4</w:t>
      </w:r>
      <w:r w:rsidRPr="00DE5E19">
        <w:rPr>
          <w:rFonts w:hint="eastAsia"/>
        </w:rPr>
        <w:t>.</w:t>
      </w:r>
      <w:r w:rsidRPr="00DE5E19">
        <w:t>9</w:t>
      </w:r>
      <w:r w:rsidRPr="00DE5E19">
        <w:rPr>
          <w:rFonts w:hint="eastAsia"/>
        </w:rPr>
        <w:t>万</w:t>
      </w:r>
      <w:r w:rsidRPr="00DE5E19">
        <w:t>亿元，同比增长21.6%，增速比1-7月份加快0.4</w:t>
      </w:r>
      <w:r>
        <w:t>个百分点</w:t>
      </w:r>
      <w:r>
        <w:rPr>
          <w:rFonts w:hint="eastAsia"/>
        </w:rPr>
        <w:t>；</w:t>
      </w:r>
      <w:r w:rsidR="0030035A" w:rsidRPr="0030035A">
        <w:t>8月，规模以上工业企业实现利润总额6719.7亿元，同比增长24%</w:t>
      </w:r>
      <w:r>
        <w:t>，创四年来新高</w:t>
      </w:r>
      <w:r>
        <w:rPr>
          <w:rFonts w:hint="eastAsia"/>
        </w:rPr>
        <w:t>，</w:t>
      </w:r>
      <w:r w:rsidRPr="00DE5E19">
        <w:rPr>
          <w:rFonts w:hint="eastAsia"/>
        </w:rPr>
        <w:t>增速比 7 月份加快 7.5 个百分点。</w:t>
      </w:r>
      <w:r>
        <w:t xml:space="preserve"> </w:t>
      </w:r>
      <w:r w:rsidR="0030035A">
        <w:t>(</w:t>
      </w:r>
      <w:r w:rsidR="0030035A">
        <w:rPr>
          <w:rFonts w:hint="eastAsia"/>
        </w:rPr>
        <w:t>新闻来源：统计局</w:t>
      </w:r>
      <w:r w:rsidR="0030035A">
        <w:t>)</w:t>
      </w:r>
    </w:p>
    <w:p w:rsidR="0030035A" w:rsidRDefault="0030035A"/>
    <w:p w:rsidR="0030035A" w:rsidRDefault="0030035A">
      <w:r w:rsidRPr="0030035A">
        <w:t xml:space="preserve">中央结算公司与农业银行签署全面战略合作协议，双方将共同推动债券市场产品创新、债券市场国际化、绿色债券和资产支持证券市场发展，并在分支机构间合作、境内及跨境资金清算、自贸区业务、境外路演等方面加强合作。 </w:t>
      </w:r>
      <w:r>
        <w:rPr>
          <w:rFonts w:hint="eastAsia"/>
        </w:rPr>
        <w:t>（新闻来源：中国农业银行）</w:t>
      </w:r>
    </w:p>
    <w:p w:rsidR="004A0432" w:rsidRDefault="004A0432"/>
    <w:p w:rsidR="004A0432" w:rsidRDefault="004A0432">
      <w:r w:rsidRPr="004A0432">
        <w:t>截止6月末，我国银行业对外金融资产9694亿美元，对外负债1</w:t>
      </w:r>
      <w:r>
        <w:t>.1</w:t>
      </w:r>
      <w:r w:rsidR="00DE5E19">
        <w:rPr>
          <w:rFonts w:hint="eastAsia"/>
        </w:rPr>
        <w:t>万</w:t>
      </w:r>
      <w:r w:rsidRPr="004A0432">
        <w:t>亿美元，对外净负债1791亿美元；其中人民币净负债2403亿美元，外币净资产611亿美元。</w:t>
      </w:r>
      <w:r>
        <w:rPr>
          <w:rFonts w:hint="eastAsia"/>
        </w:rPr>
        <w:t xml:space="preserve"> （新闻来源：外管局）</w:t>
      </w:r>
      <w:r>
        <w:t xml:space="preserve"> </w:t>
      </w:r>
    </w:p>
    <w:p w:rsidR="00AA43B2" w:rsidRDefault="00AA43B2"/>
    <w:p w:rsidR="00AA43B2" w:rsidRDefault="00AA43B2"/>
    <w:p w:rsidR="00AA43B2" w:rsidRDefault="00AA43B2"/>
    <w:p w:rsidR="00AA43B2" w:rsidRDefault="00AA43B2">
      <w:r>
        <w:t>2017</w:t>
      </w:r>
      <w:r>
        <w:rPr>
          <w:rFonts w:hint="eastAsia"/>
        </w:rPr>
        <w:t>/9/28</w:t>
      </w:r>
    </w:p>
    <w:p w:rsidR="00AA43B2" w:rsidRDefault="00D51A74">
      <w:r>
        <w:t>国资委主任肖亚庆</w:t>
      </w:r>
      <w:r>
        <w:rPr>
          <w:rFonts w:hint="eastAsia"/>
        </w:rPr>
        <w:t>称要</w:t>
      </w:r>
      <w:r w:rsidR="00AA43B2" w:rsidRPr="00AA43B2">
        <w:t>加强对国有企业财务杠杆的监控，对一些负债率</w:t>
      </w:r>
      <w:r>
        <w:rPr>
          <w:rFonts w:hint="eastAsia"/>
        </w:rPr>
        <w:t>、</w:t>
      </w:r>
      <w:r w:rsidR="00AA43B2" w:rsidRPr="00AA43B2">
        <w:t xml:space="preserve">杠杆率比较高的企业，进一步加强监控，实行负债率和负债总额双重管控；管控投资规模，对超过管控线的企业，要严格投资管理，特别是对进一步推高负债率的企业要严控。  </w:t>
      </w:r>
      <w:r w:rsidR="00D71683">
        <w:rPr>
          <w:rFonts w:hint="eastAsia"/>
        </w:rPr>
        <w:t>（新闻来源：国资委）</w:t>
      </w:r>
    </w:p>
    <w:p w:rsidR="00AA43B2" w:rsidRDefault="00AA43B2"/>
    <w:p w:rsidR="00AA43B2" w:rsidRDefault="00AA43B2">
      <w:r w:rsidRPr="00AA43B2">
        <w:t>央行</w:t>
      </w:r>
      <w:r>
        <w:rPr>
          <w:rFonts w:hint="eastAsia"/>
        </w:rPr>
        <w:t>今日</w:t>
      </w:r>
      <w:r w:rsidRPr="00AA43B2">
        <w:t>进行500亿14天、200亿28天期逆回购操作，当日有700</w:t>
      </w:r>
      <w:r>
        <w:t>亿逆回购到期，完全对冲</w:t>
      </w:r>
      <w:r>
        <w:rPr>
          <w:rFonts w:hint="eastAsia"/>
        </w:rPr>
        <w:t>今日</w:t>
      </w:r>
      <w:r w:rsidRPr="00AA43B2">
        <w:t>日到期资金规模。</w:t>
      </w:r>
      <w:r>
        <w:rPr>
          <w:rFonts w:hint="eastAsia"/>
        </w:rPr>
        <w:t>(新闻来源：中国人民银行)</w:t>
      </w:r>
    </w:p>
    <w:p w:rsidR="00D51A74" w:rsidRDefault="00D51A74"/>
    <w:p w:rsidR="00D51A74" w:rsidRDefault="00D51A74">
      <w:r w:rsidRPr="00D51A74">
        <w:t>京东金融与江苏银行在京举行战略合作签约仪式，这是京东金融首次与城市商业银行达成战略合作，合作范围几乎扩展至双方所有核心业务。双方未来将围绕着大数据、人工智能、云计算等新兴科技应用，在消费金融、财富管理、农村金融等多个金融领域展开深度合作。</w:t>
      </w:r>
      <w:r>
        <w:rPr>
          <w:rFonts w:hint="eastAsia"/>
        </w:rPr>
        <w:t>（新闻来源：凤凰网）</w:t>
      </w:r>
    </w:p>
    <w:p w:rsidR="00D51A74" w:rsidRDefault="00D51A74"/>
    <w:p w:rsidR="00D51A74" w:rsidRDefault="00D51A74"/>
    <w:p w:rsidR="00D51A74" w:rsidRDefault="00D51A74">
      <w:r>
        <w:rPr>
          <w:rFonts w:hint="eastAsia"/>
        </w:rPr>
        <w:t>【农业银行】公司</w:t>
      </w:r>
      <w:r w:rsidRPr="00D51A74">
        <w:t>公开发行不超过400</w:t>
      </w:r>
      <w:r>
        <w:t>亿元人民币的二级资本债券</w:t>
      </w:r>
      <w:r>
        <w:rPr>
          <w:rFonts w:hint="eastAsia"/>
        </w:rPr>
        <w:t>获银监会批准。</w:t>
      </w:r>
    </w:p>
    <w:p w:rsidR="00D51A74" w:rsidRDefault="00D51A74">
      <w:r>
        <w:rPr>
          <w:rFonts w:hint="eastAsia"/>
        </w:rPr>
        <w:t>【中国银行】公司公开发行的</w:t>
      </w:r>
      <w:r w:rsidRPr="00D51A74">
        <w:t>300亿元人民币的二级资本债券</w:t>
      </w:r>
      <w:r>
        <w:rPr>
          <w:rFonts w:hint="eastAsia"/>
        </w:rPr>
        <w:t>今日已发行完毕。</w:t>
      </w:r>
    </w:p>
    <w:p w:rsidR="00D51A74" w:rsidRPr="00D51A74" w:rsidRDefault="00D51A74"/>
    <w:p w:rsidR="00AA43B2" w:rsidRDefault="008214BC">
      <w:r>
        <w:rPr>
          <w:rFonts w:hint="eastAsia"/>
        </w:rPr>
        <w:t>9.29.</w:t>
      </w:r>
    </w:p>
    <w:p w:rsidR="00565DA6" w:rsidRDefault="008214BC">
      <w:r w:rsidRPr="008214BC">
        <w:t xml:space="preserve">央行决定，前一年普惠金融领域贷款余额或增量占比达到1.5%的商业银行，存款准备金率可在基准档基础上下调0.5个百分点；前一年普惠金融领域贷款余额或增量占比达到10%的商业银行，存款准备金率可按累进原则在第一档基础上再下调1个百分点。上述措施将从2018年起实施。 </w:t>
      </w:r>
      <w:r w:rsidR="00565DA6">
        <w:rPr>
          <w:rFonts w:hint="eastAsia"/>
        </w:rPr>
        <w:t>（新闻来源：中国人民银行</w:t>
      </w:r>
      <w:r w:rsidR="00565DA6">
        <w:t>)</w:t>
      </w:r>
    </w:p>
    <w:p w:rsidR="008214BC" w:rsidRDefault="008214BC">
      <w:r w:rsidRPr="008214BC">
        <w:t xml:space="preserve"> 中国9月官方制造业PMI为52.4，连续两个月上升，达到2012年5月以来最高点，预期为51.6，前值为51.7。数据显示，中国制造业继续保持稳中向好的发展态势，扩张步伐有所加快。 </w:t>
      </w:r>
      <w:r>
        <w:rPr>
          <w:rFonts w:hint="eastAsia"/>
        </w:rPr>
        <w:t>（新闻来源：统计局）</w:t>
      </w:r>
      <w:r w:rsidRPr="008214BC">
        <w:t xml:space="preserve"> </w:t>
      </w:r>
    </w:p>
    <w:p w:rsidR="008214BC" w:rsidRDefault="008214BC"/>
    <w:p w:rsidR="008214BC" w:rsidRDefault="008214BC">
      <w:r w:rsidRPr="008214BC">
        <w:t>中国9月非制造业PMI为55.4，环比上升2.0个百分点，为2014年6月以来的最高点，非制造业扩张动力增强，预期值及前值均为53.4。</w:t>
      </w:r>
      <w:r>
        <w:rPr>
          <w:rFonts w:hint="eastAsia"/>
        </w:rPr>
        <w:t>（新闻来源：统计局）</w:t>
      </w:r>
    </w:p>
    <w:p w:rsidR="008214BC" w:rsidRDefault="008214BC"/>
    <w:p w:rsidR="008214BC" w:rsidRDefault="008214BC"/>
    <w:p w:rsidR="008214BC" w:rsidRDefault="008214BC">
      <w:r w:rsidRPr="008214BC">
        <w:t>银监会现场检查局副局长喻剑萍称，今年3月末推出的三违反、三套利、四不当和治理十大乱象的银行系统大检查中，金融机构自查全部完成，监管检查基本接近尾声。对于能够整改的问题，机</w:t>
      </w:r>
      <w:r>
        <w:t>构在自查中已经完成；有些整改需要时间，则在逐步完成。</w:t>
      </w:r>
      <w:r>
        <w:rPr>
          <w:rFonts w:hint="eastAsia"/>
        </w:rPr>
        <w:t>（新闻来源：凤凰财经）</w:t>
      </w:r>
    </w:p>
    <w:p w:rsidR="008214BC" w:rsidRDefault="008214BC"/>
    <w:p w:rsidR="008214BC" w:rsidRDefault="008214BC">
      <w:r w:rsidRPr="008214BC">
        <w:t>银监会</w:t>
      </w:r>
      <w:r w:rsidRPr="008214BC">
        <w:rPr>
          <w:rFonts w:hint="eastAsia"/>
        </w:rPr>
        <w:t>审慎规制局局长肖远企表示，</w:t>
      </w:r>
      <w:r w:rsidRPr="008214BC">
        <w:t>发展消费贷应防止居民杠杆过快上升，不能助长泡沫；今年通过一系列措施突出重点领域和薄弱环境的风险防控，消费贷领域就是重点关注的一大领域之一。</w:t>
      </w:r>
      <w:r>
        <w:rPr>
          <w:rFonts w:hint="eastAsia"/>
        </w:rPr>
        <w:t>（新闻来源：银监会）</w:t>
      </w:r>
    </w:p>
    <w:p w:rsidR="008214BC" w:rsidRDefault="008214BC"/>
    <w:p w:rsidR="008214BC" w:rsidRDefault="008214BC"/>
    <w:p w:rsidR="008214BC" w:rsidRDefault="008214BC">
      <w:pPr>
        <w:rPr>
          <w:rFonts w:hint="eastAsia"/>
        </w:rPr>
      </w:pPr>
      <w:r>
        <w:rPr>
          <w:rFonts w:hint="eastAsia"/>
        </w:rPr>
        <w:t>【中信银行】公司董事会</w:t>
      </w:r>
      <w:r w:rsidR="00565DA6">
        <w:rPr>
          <w:rFonts w:hint="eastAsia"/>
        </w:rPr>
        <w:t>通过发行</w:t>
      </w:r>
      <w:r w:rsidR="00565DA6" w:rsidRPr="00565DA6">
        <w:t>不超过人民币500亿元</w:t>
      </w:r>
      <w:r w:rsidR="00565DA6">
        <w:rPr>
          <w:rFonts w:hint="eastAsia"/>
        </w:rPr>
        <w:t>二级资本债预案</w:t>
      </w:r>
    </w:p>
    <w:sectPr w:rsidR="0082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FCE" w:rsidRDefault="006F1FCE" w:rsidP="008214BC">
      <w:r>
        <w:separator/>
      </w:r>
    </w:p>
  </w:endnote>
  <w:endnote w:type="continuationSeparator" w:id="0">
    <w:p w:rsidR="006F1FCE" w:rsidRDefault="006F1FCE" w:rsidP="0082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FCE" w:rsidRDefault="006F1FCE" w:rsidP="008214BC">
      <w:r>
        <w:separator/>
      </w:r>
    </w:p>
  </w:footnote>
  <w:footnote w:type="continuationSeparator" w:id="0">
    <w:p w:rsidR="006F1FCE" w:rsidRDefault="006F1FCE" w:rsidP="00821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30035A"/>
    <w:rsid w:val="004A0432"/>
    <w:rsid w:val="00532047"/>
    <w:rsid w:val="00565DA6"/>
    <w:rsid w:val="0064557D"/>
    <w:rsid w:val="00662CCB"/>
    <w:rsid w:val="006826B8"/>
    <w:rsid w:val="006F1FCE"/>
    <w:rsid w:val="007B64B8"/>
    <w:rsid w:val="008214BC"/>
    <w:rsid w:val="0090305E"/>
    <w:rsid w:val="009D3A3A"/>
    <w:rsid w:val="00AA43B2"/>
    <w:rsid w:val="00AA6865"/>
    <w:rsid w:val="00D51A74"/>
    <w:rsid w:val="00D71683"/>
    <w:rsid w:val="00DB1B80"/>
    <w:rsid w:val="00DE5E19"/>
    <w:rsid w:val="00DF31F7"/>
    <w:rsid w:val="00EB439A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DB834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  <w:style w:type="paragraph" w:styleId="a5">
    <w:name w:val="header"/>
    <w:basedOn w:val="a"/>
    <w:link w:val="a6"/>
    <w:uiPriority w:val="99"/>
    <w:unhideWhenUsed/>
    <w:rsid w:val="00821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14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1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1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14</cp:revision>
  <dcterms:created xsi:type="dcterms:W3CDTF">2017-09-25T07:43:00Z</dcterms:created>
  <dcterms:modified xsi:type="dcterms:W3CDTF">2017-09-30T16:48:00Z</dcterms:modified>
</cp:coreProperties>
</file>