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26" w:type="dxa"/>
        <w:tblLayout w:type="fixed"/>
        <w:tblLook w:val="04A0" w:firstRow="1" w:lastRow="0" w:firstColumn="1" w:lastColumn="0" w:noHBand="0" w:noVBand="1"/>
      </w:tblPr>
      <w:tblGrid>
        <w:gridCol w:w="7050"/>
        <w:gridCol w:w="3176"/>
      </w:tblGrid>
      <w:tr w:rsidR="000E47E7" w:rsidRPr="00463EF9" w:rsidTr="00D72785">
        <w:trPr>
          <w:trHeight w:hRule="exact" w:val="13316"/>
        </w:trPr>
        <w:tc>
          <w:tcPr>
            <w:tcW w:w="7050" w:type="dxa"/>
            <w:shd w:val="clear" w:color="auto" w:fill="auto"/>
            <w:tcMar>
              <w:left w:w="0" w:type="dxa"/>
              <w:right w:w="0" w:type="dxa"/>
            </w:tcMar>
          </w:tcPr>
          <w:tbl>
            <w:tblPr>
              <w:tblW w:w="6917" w:type="dxa"/>
              <w:tblInd w:w="1" w:type="dxa"/>
              <w:tblLayout w:type="fixed"/>
              <w:tblLook w:val="04A0" w:firstRow="1" w:lastRow="0" w:firstColumn="1" w:lastColumn="0" w:noHBand="0" w:noVBand="1"/>
            </w:tblPr>
            <w:tblGrid>
              <w:gridCol w:w="6917"/>
            </w:tblGrid>
            <w:tr w:rsidR="00E40304" w:rsidRPr="00463EF9" w:rsidTr="00B67217">
              <w:trPr>
                <w:trHeight w:hRule="exact" w:val="23"/>
              </w:trPr>
              <w:tc>
                <w:tcPr>
                  <w:tcW w:w="6974" w:type="dxa"/>
                  <w:tcMar>
                    <w:left w:w="0" w:type="dxa"/>
                    <w:right w:w="0" w:type="dxa"/>
                  </w:tcMar>
                </w:tcPr>
                <w:p w:rsidR="00E40304" w:rsidRPr="00463EF9" w:rsidRDefault="00967034" w:rsidP="000E47E7">
                  <w:pPr>
                    <w:pStyle w:val="af1"/>
                    <w:spacing w:before="93"/>
                    <w:rPr>
                      <w:bCs w:val="0"/>
                    </w:rPr>
                  </w:pPr>
                  <w:r>
                    <w:rPr>
                      <w:rFonts w:hint="eastAsia"/>
                      <w:b w:val="0"/>
                      <w:bCs w:val="0"/>
                      <w:sz w:val="18"/>
                      <w:szCs w:val="18"/>
                    </w:rPr>
                    <w:t>不良</w:t>
                  </w:r>
                </w:p>
              </w:tc>
            </w:tr>
            <w:tr w:rsidR="000E47E7" w:rsidRPr="00463EF9" w:rsidTr="00D72785">
              <w:trPr>
                <w:trHeight w:val="292"/>
              </w:trPr>
              <w:tc>
                <w:tcPr>
                  <w:tcW w:w="6974" w:type="dxa"/>
                  <w:tcMar>
                    <w:left w:w="0" w:type="dxa"/>
                    <w:right w:w="0" w:type="dxa"/>
                  </w:tcMar>
                </w:tcPr>
                <w:p w:rsidR="000E47E7" w:rsidRPr="00463EF9" w:rsidRDefault="00225A8C" w:rsidP="00225A8C">
                  <w:pPr>
                    <w:pStyle w:val="af1"/>
                    <w:spacing w:before="93"/>
                  </w:pPr>
                  <w:r>
                    <w:rPr>
                      <w:rFonts w:hint="eastAsia"/>
                      <w:bCs w:val="0"/>
                    </w:rPr>
                    <w:t>上半年去杠杆成效初显，关注后期整治相关业务的深入推进</w:t>
                  </w:r>
                </w:p>
              </w:tc>
            </w:tr>
            <w:tr w:rsidR="000E47E7" w:rsidRPr="00463EF9" w:rsidTr="00D72785">
              <w:trPr>
                <w:trHeight w:val="158"/>
              </w:trPr>
              <w:tc>
                <w:tcPr>
                  <w:tcW w:w="6974" w:type="dxa"/>
                  <w:shd w:val="clear" w:color="auto" w:fill="auto"/>
                  <w:tcMar>
                    <w:left w:w="0" w:type="dxa"/>
                    <w:right w:w="0" w:type="dxa"/>
                  </w:tcMar>
                </w:tcPr>
                <w:p w:rsidR="000E47E7" w:rsidRPr="00463EF9" w:rsidRDefault="00523B34" w:rsidP="00D72785">
                  <w:pPr>
                    <w:pStyle w:val="af2"/>
                  </w:pPr>
                  <w:r>
                    <w:rPr>
                      <w:rFonts w:hint="eastAsia"/>
                    </w:rPr>
                    <w:t>增持</w:t>
                  </w:r>
                  <w:r>
                    <w:rPr>
                      <w:rFonts w:hint="eastAsia"/>
                    </w:rPr>
                    <w:t>(</w:t>
                  </w:r>
                  <w:r>
                    <w:rPr>
                      <w:rFonts w:hint="eastAsia"/>
                    </w:rPr>
                    <w:t>维持</w:t>
                  </w:r>
                  <w:r>
                    <w:rPr>
                      <w:rFonts w:hint="eastAsia"/>
                    </w:rPr>
                    <w:t>)</w:t>
                  </w:r>
                </w:p>
              </w:tc>
            </w:tr>
            <w:tr w:rsidR="000E47E7" w:rsidRPr="00463EF9" w:rsidTr="00D72785">
              <w:trPr>
                <w:trHeight w:val="158"/>
              </w:trPr>
              <w:tc>
                <w:tcPr>
                  <w:tcW w:w="6974" w:type="dxa"/>
                  <w:shd w:val="clear" w:color="auto" w:fill="auto"/>
                  <w:tcMar>
                    <w:left w:w="0" w:type="dxa"/>
                    <w:right w:w="0" w:type="dxa"/>
                  </w:tcMar>
                </w:tcPr>
                <w:p w:rsidR="000E47E7" w:rsidRPr="00463EF9" w:rsidRDefault="000E47E7" w:rsidP="00D72785">
                  <w:pPr>
                    <w:pStyle w:val="af2"/>
                    <w:rPr>
                      <w:bCs w:val="0"/>
                    </w:rPr>
                  </w:pPr>
                </w:p>
              </w:tc>
            </w:tr>
            <w:tr w:rsidR="000E47E7" w:rsidRPr="00463EF9" w:rsidTr="00D72785">
              <w:trPr>
                <w:trHeight w:hRule="exact" w:val="11340"/>
              </w:trPr>
              <w:tc>
                <w:tcPr>
                  <w:tcW w:w="6917" w:type="dxa"/>
                </w:tcPr>
                <w:p w:rsidR="000E47E7" w:rsidRPr="00463EF9" w:rsidRDefault="000E47E7" w:rsidP="00D72785">
                  <w:pPr>
                    <w:pStyle w:val="a9"/>
                    <w:snapToGrid w:val="0"/>
                    <w:spacing w:before="72"/>
                    <w:rPr>
                      <w:rFonts w:cs="楷体_GB2312"/>
                      <w:bCs/>
                      <w:color w:val="17365D"/>
                      <w:kern w:val="0"/>
                      <w:sz w:val="21"/>
                      <w:szCs w:val="21"/>
                    </w:rPr>
                  </w:pPr>
                  <w:r w:rsidRPr="00463EF9">
                    <w:rPr>
                      <w:rFonts w:cs="楷体_GB2312" w:hint="eastAsia"/>
                      <w:bCs/>
                      <w:color w:val="17365D"/>
                      <w:kern w:val="0"/>
                      <w:sz w:val="21"/>
                      <w:szCs w:val="21"/>
                    </w:rPr>
                    <w:t>投资要点</w:t>
                  </w:r>
                </w:p>
                <w:p w:rsidR="000E47E7" w:rsidRPr="00463EF9" w:rsidRDefault="000E47E7" w:rsidP="00D72785">
                  <w:pPr>
                    <w:pStyle w:val="a9"/>
                    <w:snapToGrid w:val="0"/>
                    <w:spacing w:before="72"/>
                    <w:rPr>
                      <w:rFonts w:cs="楷体_GB2312"/>
                      <w:bCs/>
                      <w:color w:val="17365D"/>
                      <w:kern w:val="0"/>
                      <w:sz w:val="21"/>
                      <w:szCs w:val="21"/>
                    </w:rPr>
                  </w:pPr>
                </w:p>
                <w:p w:rsidR="003F53A5" w:rsidRPr="00225A8C" w:rsidRDefault="003F53A5" w:rsidP="003F53A5">
                  <w:pPr>
                    <w:numPr>
                      <w:ilvl w:val="0"/>
                      <w:numId w:val="8"/>
                    </w:numPr>
                    <w:adjustRightInd w:val="0"/>
                    <w:snapToGrid w:val="0"/>
                    <w:rPr>
                      <w:rFonts w:ascii="Times New Roman" w:eastAsia="楷体_GB2312" w:hAnsi="Times New Roman"/>
                      <w:color w:val="000000"/>
                      <w:szCs w:val="24"/>
                      <w:u w:val="single"/>
                    </w:rPr>
                  </w:pPr>
                  <w:r w:rsidRPr="003F53A5">
                    <w:rPr>
                      <w:rFonts w:ascii="Times New Roman" w:eastAsia="楷体_GB2312" w:hAnsi="Times New Roman" w:cs="楷体_GB2312" w:hint="eastAsia"/>
                      <w:b/>
                      <w:bCs/>
                      <w:color w:val="17365D"/>
                      <w:kern w:val="0"/>
                      <w:szCs w:val="21"/>
                    </w:rPr>
                    <w:t>上半年监管政策密集出台，金融去杠杆成效初显</w:t>
                  </w:r>
                  <w:r w:rsidR="000E47E7" w:rsidRPr="00463EF9">
                    <w:rPr>
                      <w:rFonts w:ascii="Times New Roman" w:eastAsia="楷体_GB2312" w:hAnsi="Times New Roman" w:cs="楷体_GB2312" w:hint="eastAsia"/>
                      <w:b/>
                      <w:bCs/>
                      <w:color w:val="17365D"/>
                      <w:kern w:val="0"/>
                      <w:szCs w:val="21"/>
                    </w:rPr>
                    <w:t>：</w:t>
                  </w:r>
                  <w:r w:rsidRPr="003F53A5">
                    <w:rPr>
                      <w:rFonts w:ascii="Times New Roman" w:eastAsia="楷体_GB2312" w:hAnsi="Times New Roman" w:hint="eastAsia"/>
                      <w:color w:val="000000"/>
                      <w:szCs w:val="24"/>
                    </w:rPr>
                    <w:t>年初以来，监管政策密集出台，其中</w:t>
                  </w:r>
                  <w:r w:rsidRPr="003F53A5">
                    <w:rPr>
                      <w:rFonts w:ascii="Times New Roman" w:eastAsia="楷体_GB2312" w:hAnsi="Times New Roman"/>
                      <w:color w:val="000000"/>
                      <w:szCs w:val="24"/>
                    </w:rPr>
                    <w:t>3</w:t>
                  </w:r>
                  <w:r w:rsidRPr="003F53A5">
                    <w:rPr>
                      <w:rFonts w:ascii="Times New Roman" w:eastAsia="楷体_GB2312" w:hAnsi="Times New Roman" w:hint="eastAsia"/>
                      <w:color w:val="000000"/>
                      <w:szCs w:val="24"/>
                    </w:rPr>
                    <w:t>、</w:t>
                  </w:r>
                  <w:r w:rsidRPr="003F53A5">
                    <w:rPr>
                      <w:rFonts w:ascii="Times New Roman" w:eastAsia="楷体_GB2312" w:hAnsi="Times New Roman"/>
                      <w:color w:val="000000"/>
                      <w:szCs w:val="24"/>
                    </w:rPr>
                    <w:t>4</w:t>
                  </w:r>
                  <w:r w:rsidRPr="003F53A5">
                    <w:rPr>
                      <w:rFonts w:ascii="Times New Roman" w:eastAsia="楷体_GB2312" w:hAnsi="Times New Roman" w:hint="eastAsia"/>
                      <w:color w:val="000000"/>
                      <w:szCs w:val="24"/>
                    </w:rPr>
                    <w:t>月份银监会连续下发</w:t>
                  </w:r>
                  <w:r w:rsidRPr="003F53A5">
                    <w:rPr>
                      <w:rFonts w:ascii="Times New Roman" w:eastAsia="楷体_GB2312" w:hAnsi="Times New Roman"/>
                      <w:color w:val="000000"/>
                      <w:szCs w:val="24"/>
                    </w:rPr>
                    <w:t>8</w:t>
                  </w:r>
                  <w:r w:rsidRPr="003F53A5">
                    <w:rPr>
                      <w:rFonts w:ascii="Times New Roman" w:eastAsia="楷体_GB2312" w:hAnsi="Times New Roman" w:hint="eastAsia"/>
                      <w:color w:val="000000"/>
                      <w:szCs w:val="24"/>
                    </w:rPr>
                    <w:t>项文件，重点部署了“三违反”、“三套利”、“四不当”——“三三四”专项治理工作，加强金融风险防控。</w:t>
                  </w:r>
                  <w:r w:rsidRPr="003F53A5">
                    <w:rPr>
                      <w:rFonts w:ascii="Times New Roman" w:eastAsia="楷体_GB2312" w:hAnsi="Times New Roman" w:hint="eastAsia"/>
                      <w:color w:val="000000"/>
                      <w:szCs w:val="24"/>
                      <w:u w:val="single"/>
                    </w:rPr>
                    <w:t>银行积极调整业务规模，资产端收缩同业资产和非标，负债端减少同业负债和同业存单。</w:t>
                  </w:r>
                  <w:r w:rsidRPr="003F53A5">
                    <w:rPr>
                      <w:rFonts w:ascii="Times New Roman" w:eastAsia="楷体_GB2312" w:hAnsi="Times New Roman" w:hint="eastAsia"/>
                      <w:color w:val="000000"/>
                      <w:szCs w:val="24"/>
                    </w:rPr>
                    <w:t>资产端：</w:t>
                  </w:r>
                  <w:r w:rsidRPr="003F53A5">
                    <w:rPr>
                      <w:rFonts w:ascii="Times New Roman" w:eastAsia="楷体_GB2312" w:hAnsi="Times New Roman" w:hint="eastAsia"/>
                      <w:color w:val="000000"/>
                      <w:szCs w:val="24"/>
                    </w:rPr>
                    <w:t>1</w:t>
                  </w:r>
                  <w:r w:rsidRPr="003F53A5">
                    <w:rPr>
                      <w:rFonts w:ascii="Times New Roman" w:eastAsia="楷体_GB2312" w:hAnsi="Times New Roman" w:hint="eastAsia"/>
                      <w:color w:val="000000"/>
                      <w:szCs w:val="24"/>
                    </w:rPr>
                    <w:t>）同业资产规模持续净减少。规模较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3.33%</w:t>
                  </w:r>
                  <w:r w:rsidRPr="003F53A5">
                    <w:rPr>
                      <w:rFonts w:ascii="Times New Roman" w:eastAsia="楷体_GB2312" w:hAnsi="Times New Roman" w:hint="eastAsia"/>
                      <w:color w:val="000000"/>
                      <w:szCs w:val="24"/>
                    </w:rPr>
                    <w:t>，较</w:t>
                  </w:r>
                  <w:r w:rsidRPr="003F53A5">
                    <w:rPr>
                      <w:rFonts w:ascii="Times New Roman" w:eastAsia="楷体_GB2312" w:hAnsi="Times New Roman" w:hint="eastAsia"/>
                      <w:color w:val="000000"/>
                      <w:szCs w:val="24"/>
                    </w:rPr>
                    <w:t>16</w:t>
                  </w:r>
                  <w:r w:rsidRPr="003F53A5">
                    <w:rPr>
                      <w:rFonts w:ascii="Times New Roman" w:eastAsia="楷体_GB2312" w:hAnsi="Times New Roman" w:hint="eastAsia"/>
                      <w:color w:val="000000"/>
                      <w:szCs w:val="24"/>
                    </w:rPr>
                    <w:t>年末净减少</w:t>
                  </w:r>
                  <w:r w:rsidRPr="003F53A5">
                    <w:rPr>
                      <w:rFonts w:ascii="Times New Roman" w:eastAsia="楷体_GB2312" w:hAnsi="Times New Roman" w:hint="eastAsia"/>
                      <w:color w:val="000000"/>
                      <w:szCs w:val="24"/>
                    </w:rPr>
                    <w:t>9.01%</w:t>
                  </w:r>
                  <w:r w:rsidRPr="003F53A5">
                    <w:rPr>
                      <w:rFonts w:ascii="Times New Roman" w:eastAsia="楷体_GB2312" w:hAnsi="Times New Roman" w:hint="eastAsia"/>
                      <w:color w:val="000000"/>
                      <w:szCs w:val="24"/>
                    </w:rPr>
                    <w:t>，规模进一步收缩。</w:t>
                  </w:r>
                  <w:r w:rsidRPr="003F53A5">
                    <w:rPr>
                      <w:rFonts w:ascii="Times New Roman" w:eastAsia="楷体_GB2312" w:hAnsi="Times New Roman" w:hint="eastAsia"/>
                      <w:color w:val="000000"/>
                      <w:szCs w:val="24"/>
                    </w:rPr>
                    <w:t>2</w:t>
                  </w:r>
                  <w:r w:rsidRPr="003F53A5">
                    <w:rPr>
                      <w:rFonts w:ascii="Times New Roman" w:eastAsia="楷体_GB2312" w:hAnsi="Times New Roman" w:hint="eastAsia"/>
                      <w:color w:val="000000"/>
                      <w:szCs w:val="24"/>
                    </w:rPr>
                    <w:t>）非标资产规模在</w:t>
                  </w:r>
                  <w:r w:rsidRPr="003F53A5">
                    <w:rPr>
                      <w:rFonts w:ascii="Times New Roman" w:eastAsia="楷体_GB2312" w:hAnsi="Times New Roman" w:hint="eastAsia"/>
                      <w:color w:val="000000"/>
                      <w:szCs w:val="24"/>
                    </w:rPr>
                    <w:t>Q2</w:t>
                  </w:r>
                  <w:r w:rsidRPr="003F53A5">
                    <w:rPr>
                      <w:rFonts w:ascii="Times New Roman" w:eastAsia="楷体_GB2312" w:hAnsi="Times New Roman" w:hint="eastAsia"/>
                      <w:color w:val="000000"/>
                      <w:szCs w:val="24"/>
                    </w:rPr>
                    <w:t>大幅收缩。</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月末非标资产规模为</w:t>
                  </w:r>
                  <w:r w:rsidRPr="003F53A5">
                    <w:rPr>
                      <w:rFonts w:ascii="Times New Roman" w:eastAsia="楷体_GB2312" w:hAnsi="Times New Roman" w:hint="eastAsia"/>
                      <w:color w:val="000000"/>
                      <w:szCs w:val="24"/>
                    </w:rPr>
                    <w:t>10</w:t>
                  </w:r>
                  <w:r w:rsidRPr="003F53A5">
                    <w:rPr>
                      <w:rFonts w:ascii="Times New Roman" w:eastAsia="楷体_GB2312" w:hAnsi="Times New Roman" w:hint="eastAsia"/>
                      <w:color w:val="000000"/>
                      <w:szCs w:val="24"/>
                    </w:rPr>
                    <w:t>万亿，占比约为</w:t>
                  </w:r>
                  <w:r w:rsidRPr="003F53A5">
                    <w:rPr>
                      <w:rFonts w:ascii="Times New Roman" w:eastAsia="楷体_GB2312" w:hAnsi="Times New Roman" w:hint="eastAsia"/>
                      <w:color w:val="000000"/>
                      <w:szCs w:val="24"/>
                    </w:rPr>
                    <w:t>7%</w:t>
                  </w:r>
                  <w:r w:rsidRPr="003F53A5">
                    <w:rPr>
                      <w:rFonts w:ascii="Times New Roman" w:eastAsia="楷体_GB2312" w:hAnsi="Times New Roman" w:hint="eastAsia"/>
                      <w:color w:val="000000"/>
                      <w:szCs w:val="24"/>
                    </w:rPr>
                    <w:t>；规模较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7.2%</w:t>
                  </w:r>
                  <w:r w:rsidRPr="003F53A5">
                    <w:rPr>
                      <w:rFonts w:ascii="Times New Roman" w:eastAsia="楷体_GB2312" w:hAnsi="Times New Roman" w:hint="eastAsia"/>
                      <w:color w:val="000000"/>
                      <w:szCs w:val="24"/>
                    </w:rPr>
                    <w:t>。负债端：</w:t>
                  </w:r>
                  <w:r w:rsidRPr="003F53A5">
                    <w:rPr>
                      <w:rFonts w:ascii="Times New Roman" w:eastAsia="楷体_GB2312" w:hAnsi="Times New Roman" w:hint="eastAsia"/>
                      <w:color w:val="000000"/>
                      <w:szCs w:val="24"/>
                    </w:rPr>
                    <w:t>1</w:t>
                  </w:r>
                  <w:r w:rsidRPr="003F53A5">
                    <w:rPr>
                      <w:rFonts w:ascii="Times New Roman" w:eastAsia="楷体_GB2312" w:hAnsi="Times New Roman" w:hint="eastAsia"/>
                      <w:color w:val="000000"/>
                      <w:szCs w:val="24"/>
                    </w:rPr>
                    <w:t>）同业负债规模持续收缩。</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月末同业负债规模较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1.79%</w:t>
                  </w:r>
                  <w:r w:rsidRPr="003F53A5">
                    <w:rPr>
                      <w:rFonts w:ascii="Times New Roman" w:eastAsia="楷体_GB2312" w:hAnsi="Times New Roman" w:hint="eastAsia"/>
                      <w:color w:val="000000"/>
                      <w:szCs w:val="24"/>
                    </w:rPr>
                    <w:t>，连续两个季度净减少；</w:t>
                  </w:r>
                  <w:r w:rsidRPr="003F53A5">
                    <w:rPr>
                      <w:rFonts w:ascii="Times New Roman" w:eastAsia="楷体_GB2312" w:hAnsi="Times New Roman" w:hint="eastAsia"/>
                      <w:color w:val="000000"/>
                      <w:szCs w:val="24"/>
                    </w:rPr>
                    <w:t>2</w:t>
                  </w:r>
                  <w:r w:rsidRPr="003F53A5">
                    <w:rPr>
                      <w:rFonts w:ascii="Times New Roman" w:eastAsia="楷体_GB2312" w:hAnsi="Times New Roman" w:hint="eastAsia"/>
                      <w:color w:val="000000"/>
                      <w:szCs w:val="24"/>
                    </w:rPr>
                    <w:t>）同业存单规模</w:t>
                  </w:r>
                  <w:r w:rsidRPr="003F53A5">
                    <w:rPr>
                      <w:rFonts w:ascii="Times New Roman" w:eastAsia="楷体_GB2312" w:hAnsi="Times New Roman" w:hint="eastAsia"/>
                      <w:color w:val="000000"/>
                      <w:szCs w:val="24"/>
                    </w:rPr>
                    <w:t>Q2</w:t>
                  </w:r>
                  <w:r w:rsidRPr="003F53A5">
                    <w:rPr>
                      <w:rFonts w:ascii="Times New Roman" w:eastAsia="楷体_GB2312" w:hAnsi="Times New Roman" w:hint="eastAsia"/>
                      <w:color w:val="000000"/>
                      <w:szCs w:val="24"/>
                    </w:rPr>
                    <w:t>净减少：</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月末未到期同业存单规模为</w:t>
                  </w:r>
                  <w:r w:rsidRPr="003F53A5">
                    <w:rPr>
                      <w:rFonts w:ascii="Times New Roman" w:eastAsia="楷体_GB2312" w:hAnsi="Times New Roman" w:hint="eastAsia"/>
                      <w:color w:val="000000"/>
                      <w:szCs w:val="24"/>
                    </w:rPr>
                    <w:t>4</w:t>
                  </w:r>
                  <w:r w:rsidRPr="003F53A5">
                    <w:rPr>
                      <w:rFonts w:ascii="Times New Roman" w:eastAsia="楷体_GB2312" w:hAnsi="Times New Roman" w:hint="eastAsia"/>
                      <w:color w:val="000000"/>
                      <w:szCs w:val="24"/>
                    </w:rPr>
                    <w:t>万亿，占总负债比重为</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3.65%</w:t>
                  </w:r>
                  <w:r w:rsidRPr="003F53A5">
                    <w:rPr>
                      <w:rFonts w:ascii="Times New Roman" w:eastAsia="楷体_GB2312" w:hAnsi="Times New Roman" w:hint="eastAsia"/>
                      <w:color w:val="000000"/>
                      <w:szCs w:val="24"/>
                    </w:rPr>
                    <w:t>。</w:t>
                  </w:r>
                </w:p>
                <w:p w:rsidR="00225A8C" w:rsidRPr="003F53A5" w:rsidRDefault="00225A8C" w:rsidP="00225A8C">
                  <w:pPr>
                    <w:adjustRightInd w:val="0"/>
                    <w:snapToGrid w:val="0"/>
                    <w:ind w:left="420"/>
                    <w:rPr>
                      <w:rFonts w:ascii="Times New Roman" w:eastAsia="楷体_GB2312" w:hAnsi="Times New Roman"/>
                      <w:color w:val="000000"/>
                      <w:szCs w:val="24"/>
                      <w:u w:val="single"/>
                    </w:rPr>
                  </w:pPr>
                </w:p>
                <w:p w:rsidR="000E47E7" w:rsidRPr="00225A8C" w:rsidRDefault="003F53A5" w:rsidP="00225A8C">
                  <w:pPr>
                    <w:numPr>
                      <w:ilvl w:val="0"/>
                      <w:numId w:val="8"/>
                    </w:numPr>
                    <w:adjustRightInd w:val="0"/>
                    <w:snapToGrid w:val="0"/>
                    <w:rPr>
                      <w:rFonts w:ascii="Times New Roman" w:eastAsia="楷体_GB2312" w:hAnsi="Times New Roman" w:cs="楷体_GB2312"/>
                      <w:b/>
                      <w:bCs/>
                      <w:color w:val="17365D"/>
                      <w:kern w:val="0"/>
                      <w:szCs w:val="21"/>
                    </w:rPr>
                  </w:pPr>
                  <w:r w:rsidRPr="003F53A5">
                    <w:rPr>
                      <w:rFonts w:ascii="Times New Roman" w:eastAsia="楷体_GB2312" w:hAnsi="Times New Roman" w:cs="楷体_GB2312" w:hint="eastAsia"/>
                      <w:b/>
                      <w:bCs/>
                      <w:color w:val="17365D"/>
                      <w:kern w:val="0"/>
                      <w:szCs w:val="21"/>
                    </w:rPr>
                    <w:t>未来银行业务操作更加规范，底层穿透势在必行</w:t>
                  </w:r>
                  <w:r w:rsidR="000E47E7" w:rsidRPr="00463EF9">
                    <w:rPr>
                      <w:rFonts w:ascii="Times New Roman" w:eastAsia="楷体_GB2312" w:hAnsi="Times New Roman" w:cs="楷体_GB2312" w:hint="eastAsia"/>
                      <w:b/>
                      <w:bCs/>
                      <w:color w:val="17365D"/>
                      <w:kern w:val="0"/>
                      <w:szCs w:val="21"/>
                    </w:rPr>
                    <w:t>：</w:t>
                  </w:r>
                  <w:r w:rsidR="00225A8C" w:rsidRPr="00225A8C">
                    <w:rPr>
                      <w:rFonts w:ascii="Times New Roman" w:eastAsia="楷体_GB2312" w:hAnsi="Times New Roman" w:hint="eastAsia"/>
                      <w:bCs/>
                      <w:color w:val="000000"/>
                      <w:szCs w:val="24"/>
                    </w:rPr>
                    <w:t>自上半年银监会采取一系列整治市场乱象和弥补制度短板的政策措施以来，银行资金空转减少，金融监管取得一定成效。但金融去杠杆任重道远，除了相关业务规模上增长趋势放缓或下降之外，后期同业等相关业务整治仍将继续推进，业务操作上也会更加规范。比如，在“三套利”“四不当”颁布之后，管理层分别在</w:t>
                  </w:r>
                  <w:r w:rsidR="00225A8C" w:rsidRPr="00225A8C">
                    <w:rPr>
                      <w:rFonts w:ascii="Times New Roman" w:eastAsia="楷体_GB2312" w:hAnsi="Times New Roman" w:hint="eastAsia"/>
                      <w:bCs/>
                      <w:color w:val="000000"/>
                      <w:szCs w:val="24"/>
                    </w:rPr>
                    <w:t>5</w:t>
                  </w:r>
                  <w:r w:rsidR="00225A8C" w:rsidRPr="00225A8C">
                    <w:rPr>
                      <w:rFonts w:ascii="Times New Roman" w:eastAsia="楷体_GB2312" w:hAnsi="Times New Roman" w:hint="eastAsia"/>
                      <w:bCs/>
                      <w:color w:val="000000"/>
                      <w:szCs w:val="24"/>
                    </w:rPr>
                    <w:t>月和</w:t>
                  </w:r>
                  <w:r w:rsidR="00225A8C" w:rsidRPr="00225A8C">
                    <w:rPr>
                      <w:rFonts w:ascii="Times New Roman" w:eastAsia="楷体_GB2312" w:hAnsi="Times New Roman" w:hint="eastAsia"/>
                      <w:bCs/>
                      <w:color w:val="000000"/>
                      <w:szCs w:val="24"/>
                    </w:rPr>
                    <w:t>7</w:t>
                  </w:r>
                  <w:r w:rsidR="00225A8C" w:rsidRPr="00225A8C">
                    <w:rPr>
                      <w:rFonts w:ascii="Times New Roman" w:eastAsia="楷体_GB2312" w:hAnsi="Times New Roman" w:hint="eastAsia"/>
                      <w:bCs/>
                      <w:color w:val="000000"/>
                      <w:szCs w:val="24"/>
                    </w:rPr>
                    <w:t>月提及理财、资管等业务的底层穿透工作，值得关注。预计后期相关配套政策将陆续出台，资管</w:t>
                  </w:r>
                  <w:r w:rsidR="00225A8C">
                    <w:rPr>
                      <w:rFonts w:ascii="Times New Roman" w:eastAsia="楷体_GB2312" w:hAnsi="Times New Roman" w:hint="eastAsia"/>
                      <w:bCs/>
                      <w:color w:val="000000"/>
                      <w:szCs w:val="24"/>
                    </w:rPr>
                    <w:t>、理财</w:t>
                  </w:r>
                  <w:r w:rsidR="00225A8C" w:rsidRPr="00225A8C">
                    <w:rPr>
                      <w:rFonts w:ascii="Times New Roman" w:eastAsia="楷体_GB2312" w:hAnsi="Times New Roman" w:hint="eastAsia"/>
                      <w:bCs/>
                      <w:color w:val="000000"/>
                      <w:szCs w:val="24"/>
                    </w:rPr>
                    <w:t>业务监管将逐步趋严，</w:t>
                  </w:r>
                  <w:r w:rsidR="00225A8C">
                    <w:rPr>
                      <w:rFonts w:ascii="Times New Roman" w:eastAsia="楷体_GB2312" w:hAnsi="Times New Roman" w:hint="eastAsia"/>
                      <w:bCs/>
                      <w:color w:val="000000"/>
                      <w:szCs w:val="24"/>
                    </w:rPr>
                    <w:t>底层穿透工作势在必行，银行</w:t>
                  </w:r>
                  <w:r w:rsidR="00225A8C" w:rsidRPr="00225A8C">
                    <w:rPr>
                      <w:rFonts w:ascii="Times New Roman" w:eastAsia="楷体_GB2312" w:hAnsi="Times New Roman" w:hint="eastAsia"/>
                      <w:bCs/>
                      <w:color w:val="000000"/>
                      <w:szCs w:val="24"/>
                    </w:rPr>
                    <w:t>业</w:t>
                  </w:r>
                  <w:r w:rsidR="00225A8C">
                    <w:rPr>
                      <w:rFonts w:ascii="Times New Roman" w:eastAsia="楷体_GB2312" w:hAnsi="Times New Roman" w:hint="eastAsia"/>
                      <w:bCs/>
                      <w:color w:val="000000"/>
                      <w:szCs w:val="24"/>
                    </w:rPr>
                    <w:t>整体</w:t>
                  </w:r>
                  <w:r w:rsidR="00225A8C" w:rsidRPr="00225A8C">
                    <w:rPr>
                      <w:rFonts w:ascii="Times New Roman" w:eastAsia="楷体_GB2312" w:hAnsi="Times New Roman" w:hint="eastAsia"/>
                      <w:bCs/>
                      <w:color w:val="000000"/>
                      <w:szCs w:val="24"/>
                    </w:rPr>
                    <w:t>有望实现长期健康、有序、规范发展。</w:t>
                  </w:r>
                </w:p>
                <w:p w:rsidR="00225A8C" w:rsidRDefault="00225A8C" w:rsidP="00225A8C">
                  <w:pPr>
                    <w:pStyle w:val="af0"/>
                    <w:ind w:firstLine="422"/>
                    <w:rPr>
                      <w:rFonts w:ascii="Times New Roman" w:eastAsia="楷体_GB2312" w:hAnsi="Times New Roman" w:cs="楷体_GB2312"/>
                      <w:b/>
                      <w:bCs/>
                      <w:color w:val="17365D"/>
                      <w:kern w:val="0"/>
                      <w:szCs w:val="21"/>
                    </w:rPr>
                  </w:pPr>
                </w:p>
                <w:p w:rsidR="00225A8C" w:rsidRDefault="00225A8C" w:rsidP="00225A8C">
                  <w:pPr>
                    <w:numPr>
                      <w:ilvl w:val="0"/>
                      <w:numId w:val="8"/>
                    </w:numPr>
                    <w:adjustRightInd w:val="0"/>
                    <w:snapToGrid w:val="0"/>
                    <w:rPr>
                      <w:rFonts w:ascii="Times New Roman" w:eastAsia="楷体_GB2312" w:hAnsi="Times New Roman" w:cs="楷体_GB2312"/>
                      <w:bCs/>
                      <w:color w:val="000000" w:themeColor="text1"/>
                      <w:kern w:val="0"/>
                      <w:szCs w:val="21"/>
                    </w:rPr>
                  </w:pPr>
                  <w:r w:rsidRPr="00225A8C">
                    <w:rPr>
                      <w:rFonts w:ascii="Times New Roman" w:eastAsia="楷体_GB2312" w:hAnsi="Times New Roman" w:cs="楷体_GB2312" w:hint="eastAsia"/>
                      <w:b/>
                      <w:bCs/>
                      <w:color w:val="17365D"/>
                      <w:kern w:val="0"/>
                      <w:szCs w:val="21"/>
                    </w:rPr>
                    <w:t>非标投资中的信贷类资产拨备计提测算：股</w:t>
                  </w:r>
                  <w:bookmarkStart w:id="0" w:name="_GoBack"/>
                  <w:bookmarkEnd w:id="0"/>
                  <w:r w:rsidRPr="00225A8C">
                    <w:rPr>
                      <w:rFonts w:ascii="Times New Roman" w:eastAsia="楷体_GB2312" w:hAnsi="Times New Roman" w:cs="楷体_GB2312" w:hint="eastAsia"/>
                      <w:b/>
                      <w:bCs/>
                      <w:color w:val="17365D"/>
                      <w:kern w:val="0"/>
                      <w:szCs w:val="21"/>
                    </w:rPr>
                    <w:t>份行敞口较大。</w:t>
                  </w:r>
                  <w:r w:rsidRPr="00225A8C">
                    <w:rPr>
                      <w:rFonts w:ascii="Times New Roman" w:eastAsia="楷体_GB2312" w:hAnsi="Times New Roman" w:cs="楷体_GB2312" w:hint="eastAsia"/>
                      <w:bCs/>
                      <w:color w:val="000000" w:themeColor="text1"/>
                      <w:kern w:val="0"/>
                      <w:szCs w:val="21"/>
                    </w:rPr>
                    <w:t>随着理财、资管等业务底层穿透工作的推进，预计未来相关风</w:t>
                  </w:r>
                  <w:r w:rsidR="005841D9">
                    <w:rPr>
                      <w:rFonts w:ascii="Times New Roman" w:eastAsia="楷体_GB2312" w:hAnsi="Times New Roman" w:cs="楷体_GB2312" w:hint="eastAsia"/>
                      <w:bCs/>
                      <w:color w:val="000000" w:themeColor="text1"/>
                      <w:kern w:val="0"/>
                      <w:szCs w:val="21"/>
                    </w:rPr>
                    <w:t>险计提也会逐步规范。目前银监会对商业银行应收款项类投资中的类信贷</w:t>
                  </w:r>
                  <w:r w:rsidRPr="00225A8C">
                    <w:rPr>
                      <w:rFonts w:ascii="Times New Roman" w:eastAsia="楷体_GB2312" w:hAnsi="Times New Roman" w:cs="楷体_GB2312" w:hint="eastAsia"/>
                      <w:bCs/>
                      <w:color w:val="000000" w:themeColor="text1"/>
                      <w:kern w:val="0"/>
                      <w:szCs w:val="21"/>
                    </w:rPr>
                    <w:t>非标投资部分，计提减值准备未有明确规定，各家银行实际计提标准或有所差异，若未来制定统一计提规则可能会对不同银行的拨</w:t>
                  </w:r>
                  <w:r w:rsidR="005841D9">
                    <w:rPr>
                      <w:rFonts w:ascii="Times New Roman" w:eastAsia="楷体_GB2312" w:hAnsi="Times New Roman" w:cs="楷体_GB2312" w:hint="eastAsia"/>
                      <w:bCs/>
                      <w:color w:val="000000" w:themeColor="text1"/>
                      <w:kern w:val="0"/>
                      <w:szCs w:val="21"/>
                    </w:rPr>
                    <w:t>备计提与净利润带来不同程度的影响。整体看，</w:t>
                  </w:r>
                  <w:r w:rsidR="00600DEC">
                    <w:rPr>
                      <w:rFonts w:ascii="Times New Roman" w:eastAsia="楷体_GB2312" w:hAnsi="Times New Roman" w:cs="楷体_GB2312" w:hint="eastAsia"/>
                      <w:bCs/>
                      <w:color w:val="000000" w:themeColor="text1"/>
                      <w:kern w:val="0"/>
                      <w:szCs w:val="21"/>
                    </w:rPr>
                    <w:t>股份行敞口较大。</w:t>
                  </w:r>
                  <w:r w:rsidR="00600DEC">
                    <w:rPr>
                      <w:rFonts w:ascii="Times New Roman" w:eastAsia="楷体_GB2312" w:hAnsi="Times New Roman" w:cs="楷体_GB2312" w:hint="eastAsia"/>
                      <w:bCs/>
                      <w:color w:val="000000" w:themeColor="text1"/>
                      <w:kern w:val="0"/>
                      <w:szCs w:val="21"/>
                    </w:rPr>
                    <w:t>1</w:t>
                  </w:r>
                  <w:r w:rsidR="00600DEC">
                    <w:rPr>
                      <w:rFonts w:ascii="Times New Roman" w:eastAsia="楷体_GB2312" w:hAnsi="Times New Roman" w:cs="楷体_GB2312" w:hint="eastAsia"/>
                      <w:bCs/>
                      <w:color w:val="000000" w:themeColor="text1"/>
                      <w:kern w:val="0"/>
                      <w:szCs w:val="21"/>
                    </w:rPr>
                    <w:t>）</w:t>
                  </w:r>
                  <w:r w:rsidR="005841D9">
                    <w:rPr>
                      <w:rFonts w:ascii="Times New Roman" w:eastAsia="楷体_GB2312" w:hAnsi="Times New Roman" w:cs="楷体_GB2312" w:hint="eastAsia"/>
                      <w:bCs/>
                      <w:color w:val="000000" w:themeColor="text1"/>
                      <w:kern w:val="0"/>
                      <w:szCs w:val="21"/>
                    </w:rPr>
                    <w:t>股份行现有计提力度明显偏低，多数拨备比在</w:t>
                  </w:r>
                  <w:r w:rsidR="005841D9">
                    <w:rPr>
                      <w:rFonts w:ascii="Times New Roman" w:eastAsia="楷体_GB2312" w:hAnsi="Times New Roman" w:cs="楷体_GB2312" w:hint="eastAsia"/>
                      <w:bCs/>
                      <w:color w:val="000000" w:themeColor="text1"/>
                      <w:kern w:val="0"/>
                      <w:szCs w:val="21"/>
                    </w:rPr>
                    <w:t>1%</w:t>
                  </w:r>
                  <w:r w:rsidR="005841D9">
                    <w:rPr>
                      <w:rFonts w:ascii="Times New Roman" w:eastAsia="楷体_GB2312" w:hAnsi="Times New Roman" w:cs="楷体_GB2312" w:hint="eastAsia"/>
                      <w:bCs/>
                      <w:color w:val="000000" w:themeColor="text1"/>
                      <w:kern w:val="0"/>
                      <w:szCs w:val="21"/>
                    </w:rPr>
                    <w:t>以下</w:t>
                  </w:r>
                  <w:r w:rsidR="00600DEC">
                    <w:rPr>
                      <w:rFonts w:ascii="Times New Roman" w:eastAsia="楷体_GB2312" w:hAnsi="Times New Roman" w:cs="楷体_GB2312" w:hint="eastAsia"/>
                      <w:bCs/>
                      <w:color w:val="000000" w:themeColor="text1"/>
                      <w:kern w:val="0"/>
                      <w:szCs w:val="21"/>
                    </w:rPr>
                    <w:t>2</w:t>
                  </w:r>
                  <w:r w:rsidR="00600DEC">
                    <w:rPr>
                      <w:rFonts w:ascii="Times New Roman" w:eastAsia="楷体_GB2312" w:hAnsi="Times New Roman" w:cs="楷体_GB2312" w:hint="eastAsia"/>
                      <w:bCs/>
                      <w:color w:val="000000" w:themeColor="text1"/>
                      <w:kern w:val="0"/>
                      <w:szCs w:val="21"/>
                    </w:rPr>
                    <w:t>）</w:t>
                  </w:r>
                  <w:r w:rsidR="005841D9">
                    <w:rPr>
                      <w:rFonts w:ascii="Times New Roman" w:eastAsia="楷体_GB2312" w:hAnsi="Times New Roman" w:cs="楷体_GB2312" w:hint="eastAsia"/>
                      <w:bCs/>
                      <w:color w:val="000000" w:themeColor="text1"/>
                      <w:kern w:val="0"/>
                      <w:szCs w:val="21"/>
                    </w:rPr>
                    <w:t>五级分类测算下</w:t>
                  </w:r>
                  <w:r w:rsidR="00600DEC">
                    <w:rPr>
                      <w:rFonts w:ascii="Times New Roman" w:eastAsia="楷体_GB2312" w:hAnsi="Times New Roman" w:cs="楷体_GB2312" w:hint="eastAsia"/>
                      <w:bCs/>
                      <w:color w:val="000000" w:themeColor="text1"/>
                      <w:kern w:val="0"/>
                      <w:szCs w:val="21"/>
                    </w:rPr>
                    <w:t>股份行</w:t>
                  </w:r>
                  <w:r w:rsidR="005841D9">
                    <w:rPr>
                      <w:rFonts w:ascii="Times New Roman" w:eastAsia="楷体_GB2312" w:hAnsi="Times New Roman" w:cs="楷体_GB2312" w:hint="eastAsia"/>
                      <w:bCs/>
                      <w:color w:val="000000" w:themeColor="text1"/>
                      <w:kern w:val="0"/>
                      <w:szCs w:val="21"/>
                    </w:rPr>
                    <w:t>所需</w:t>
                  </w:r>
                  <w:r w:rsidR="00600DEC">
                    <w:rPr>
                      <w:rFonts w:ascii="Times New Roman" w:eastAsia="楷体_GB2312" w:hAnsi="Times New Roman" w:cs="楷体_GB2312" w:hint="eastAsia"/>
                      <w:bCs/>
                      <w:color w:val="000000" w:themeColor="text1"/>
                      <w:kern w:val="0"/>
                      <w:szCs w:val="21"/>
                    </w:rPr>
                    <w:t>计提减值准备显著高于其他银行</w:t>
                  </w:r>
                  <w:r w:rsidR="00600DEC">
                    <w:rPr>
                      <w:rFonts w:ascii="Times New Roman" w:eastAsia="楷体_GB2312" w:hAnsi="Times New Roman" w:cs="楷体_GB2312" w:hint="eastAsia"/>
                      <w:bCs/>
                      <w:color w:val="000000" w:themeColor="text1"/>
                      <w:kern w:val="0"/>
                      <w:szCs w:val="21"/>
                    </w:rPr>
                    <w:t>3</w:t>
                  </w:r>
                  <w:r w:rsidR="00600DEC">
                    <w:rPr>
                      <w:rFonts w:ascii="Times New Roman" w:eastAsia="楷体_GB2312" w:hAnsi="Times New Roman" w:cs="楷体_GB2312" w:hint="eastAsia"/>
                      <w:bCs/>
                      <w:color w:val="000000" w:themeColor="text1"/>
                      <w:kern w:val="0"/>
                      <w:szCs w:val="21"/>
                    </w:rPr>
                    <w:t>）从敏感性分析角度看，多数股份行大概率需要补充计提。</w:t>
                  </w:r>
                  <w:r w:rsidRPr="00225A8C">
                    <w:rPr>
                      <w:rFonts w:ascii="Times New Roman" w:eastAsia="楷体_GB2312" w:hAnsi="Times New Roman" w:cs="楷体_GB2312" w:hint="eastAsia"/>
                      <w:bCs/>
                      <w:color w:val="000000" w:themeColor="text1"/>
                      <w:kern w:val="0"/>
                      <w:szCs w:val="21"/>
                    </w:rPr>
                    <w:t>未来若统一计提准则</w:t>
                  </w:r>
                  <w:r>
                    <w:rPr>
                      <w:rFonts w:ascii="Times New Roman" w:eastAsia="楷体_GB2312" w:hAnsi="Times New Roman" w:cs="楷体_GB2312" w:hint="eastAsia"/>
                      <w:bCs/>
                      <w:color w:val="000000" w:themeColor="text1"/>
                      <w:kern w:val="0"/>
                      <w:szCs w:val="21"/>
                    </w:rPr>
                    <w:t>，可能会造成一定影响，这与股份行平时非标投资中信托、资管等业务投资规模较大有关。</w:t>
                  </w:r>
                  <w:r w:rsidRPr="00225A8C">
                    <w:rPr>
                      <w:rFonts w:ascii="Times New Roman" w:eastAsia="楷体_GB2312" w:hAnsi="Times New Roman" w:cs="楷体_GB2312" w:hint="eastAsia"/>
                      <w:bCs/>
                      <w:color w:val="000000" w:themeColor="text1"/>
                      <w:kern w:val="0"/>
                      <w:szCs w:val="21"/>
                    </w:rPr>
                    <w:t>从</w:t>
                  </w:r>
                  <w:r w:rsidRPr="00225A8C">
                    <w:rPr>
                      <w:rFonts w:ascii="Times New Roman" w:eastAsia="楷体_GB2312" w:hAnsi="Times New Roman" w:cs="楷体_GB2312"/>
                      <w:bCs/>
                      <w:color w:val="000000" w:themeColor="text1"/>
                      <w:kern w:val="0"/>
                      <w:szCs w:val="21"/>
                    </w:rPr>
                    <w:t>对净利润的影响角度来看</w:t>
                  </w:r>
                  <w:r w:rsidRPr="00225A8C">
                    <w:rPr>
                      <w:rFonts w:ascii="Times New Roman" w:eastAsia="楷体_GB2312" w:hAnsi="Times New Roman" w:cs="楷体_GB2312" w:hint="eastAsia"/>
                      <w:bCs/>
                      <w:color w:val="000000" w:themeColor="text1"/>
                      <w:kern w:val="0"/>
                      <w:szCs w:val="21"/>
                    </w:rPr>
                    <w:t>，</w:t>
                  </w:r>
                  <w:r w:rsidRPr="00225A8C">
                    <w:rPr>
                      <w:rFonts w:ascii="Times New Roman" w:eastAsia="楷体_GB2312" w:hAnsi="Times New Roman" w:cs="楷体_GB2312"/>
                      <w:bCs/>
                      <w:color w:val="000000" w:themeColor="text1"/>
                      <w:kern w:val="0"/>
                      <w:szCs w:val="21"/>
                    </w:rPr>
                    <w:t>股份行</w:t>
                  </w:r>
                  <w:r w:rsidRPr="00225A8C">
                    <w:rPr>
                      <w:rFonts w:ascii="Times New Roman" w:eastAsia="楷体_GB2312" w:hAnsi="Times New Roman" w:cs="楷体_GB2312" w:hint="eastAsia"/>
                      <w:bCs/>
                      <w:color w:val="000000" w:themeColor="text1"/>
                      <w:kern w:val="0"/>
                      <w:szCs w:val="21"/>
                    </w:rPr>
                    <w:t>影响较大</w:t>
                  </w:r>
                  <w:r>
                    <w:rPr>
                      <w:rFonts w:ascii="Times New Roman" w:eastAsia="楷体_GB2312" w:hAnsi="Times New Roman" w:cs="楷体_GB2312" w:hint="eastAsia"/>
                      <w:bCs/>
                      <w:color w:val="000000" w:themeColor="text1"/>
                      <w:kern w:val="0"/>
                      <w:szCs w:val="21"/>
                    </w:rPr>
                    <w:t>，大部分将冲减</w:t>
                  </w:r>
                  <w:r>
                    <w:rPr>
                      <w:rFonts w:ascii="Times New Roman" w:eastAsia="楷体_GB2312" w:hAnsi="Times New Roman" w:cs="楷体_GB2312" w:hint="eastAsia"/>
                      <w:bCs/>
                      <w:color w:val="000000" w:themeColor="text1"/>
                      <w:kern w:val="0"/>
                      <w:szCs w:val="21"/>
                    </w:rPr>
                    <w:t>10%</w:t>
                  </w:r>
                  <w:r>
                    <w:rPr>
                      <w:rFonts w:ascii="Times New Roman" w:eastAsia="楷体_GB2312" w:hAnsi="Times New Roman" w:cs="楷体_GB2312" w:hint="eastAsia"/>
                      <w:bCs/>
                      <w:color w:val="000000" w:themeColor="text1"/>
                      <w:kern w:val="0"/>
                      <w:szCs w:val="21"/>
                    </w:rPr>
                    <w:t>以上的的净利润</w:t>
                  </w:r>
                  <w:r w:rsidRPr="00225A8C">
                    <w:rPr>
                      <w:rFonts w:ascii="Times New Roman" w:eastAsia="楷体_GB2312" w:hAnsi="Times New Roman" w:cs="楷体_GB2312" w:hint="eastAsia"/>
                      <w:bCs/>
                      <w:color w:val="000000" w:themeColor="text1"/>
                      <w:kern w:val="0"/>
                      <w:szCs w:val="21"/>
                    </w:rPr>
                    <w:t>。国有大行与农商行受影响则较小，基本都在</w:t>
                  </w:r>
                  <w:r w:rsidRPr="00225A8C">
                    <w:rPr>
                      <w:rFonts w:ascii="Times New Roman" w:eastAsia="楷体_GB2312" w:hAnsi="Times New Roman" w:cs="楷体_GB2312" w:hint="eastAsia"/>
                      <w:bCs/>
                      <w:color w:val="000000" w:themeColor="text1"/>
                      <w:kern w:val="0"/>
                      <w:szCs w:val="21"/>
                    </w:rPr>
                    <w:t>1%</w:t>
                  </w:r>
                  <w:r w:rsidRPr="00225A8C">
                    <w:rPr>
                      <w:rFonts w:ascii="Times New Roman" w:eastAsia="楷体_GB2312" w:hAnsi="Times New Roman" w:cs="楷体_GB2312"/>
                      <w:bCs/>
                      <w:color w:val="000000" w:themeColor="text1"/>
                      <w:kern w:val="0"/>
                      <w:szCs w:val="21"/>
                    </w:rPr>
                    <w:t>以下。城商行中贵阳和杭州银行受影响较大，而宁波银行</w:t>
                  </w:r>
                  <w:r w:rsidRPr="00225A8C">
                    <w:rPr>
                      <w:rFonts w:ascii="Times New Roman" w:eastAsia="楷体_GB2312" w:hAnsi="Times New Roman" w:cs="楷体_GB2312" w:hint="eastAsia"/>
                      <w:bCs/>
                      <w:color w:val="000000" w:themeColor="text1"/>
                      <w:kern w:val="0"/>
                      <w:szCs w:val="21"/>
                    </w:rPr>
                    <w:t>受影响较小。</w:t>
                  </w:r>
                  <w:r w:rsidRPr="00225A8C">
                    <w:rPr>
                      <w:rFonts w:ascii="Times New Roman" w:eastAsia="楷体_GB2312" w:hAnsi="Times New Roman" w:cs="楷体_GB2312"/>
                      <w:bCs/>
                      <w:color w:val="000000" w:themeColor="text1"/>
                      <w:kern w:val="0"/>
                      <w:szCs w:val="21"/>
                    </w:rPr>
                    <w:t>江苏、吴江和江阴银行由于未存在信贷类非标投资资产，影响为</w:t>
                  </w:r>
                  <w:r w:rsidRPr="00225A8C">
                    <w:rPr>
                      <w:rFonts w:ascii="Times New Roman" w:eastAsia="楷体_GB2312" w:hAnsi="Times New Roman" w:cs="楷体_GB2312" w:hint="eastAsia"/>
                      <w:bCs/>
                      <w:color w:val="000000" w:themeColor="text1"/>
                      <w:kern w:val="0"/>
                      <w:szCs w:val="21"/>
                    </w:rPr>
                    <w:t>0</w:t>
                  </w:r>
                  <w:r w:rsidRPr="00225A8C">
                    <w:rPr>
                      <w:rFonts w:ascii="Times New Roman" w:eastAsia="楷体_GB2312" w:hAnsi="Times New Roman" w:cs="楷体_GB2312" w:hint="eastAsia"/>
                      <w:bCs/>
                      <w:color w:val="000000" w:themeColor="text1"/>
                      <w:kern w:val="0"/>
                      <w:szCs w:val="21"/>
                    </w:rPr>
                    <w:t>。</w:t>
                  </w:r>
                </w:p>
                <w:p w:rsidR="00225A8C" w:rsidRDefault="00225A8C" w:rsidP="00225A8C">
                  <w:pPr>
                    <w:pStyle w:val="af0"/>
                    <w:rPr>
                      <w:rFonts w:ascii="Times New Roman" w:eastAsia="楷体_GB2312" w:hAnsi="Times New Roman" w:cs="楷体_GB2312"/>
                      <w:bCs/>
                      <w:color w:val="000000" w:themeColor="text1"/>
                      <w:kern w:val="0"/>
                      <w:szCs w:val="21"/>
                    </w:rPr>
                  </w:pPr>
                </w:p>
                <w:p w:rsidR="00225A8C" w:rsidRDefault="00225A8C" w:rsidP="00225A8C">
                  <w:pPr>
                    <w:numPr>
                      <w:ilvl w:val="0"/>
                      <w:numId w:val="8"/>
                    </w:numPr>
                    <w:adjustRightInd w:val="0"/>
                    <w:snapToGrid w:val="0"/>
                    <w:rPr>
                      <w:rFonts w:ascii="Times New Roman" w:eastAsia="楷体_GB2312" w:hAnsi="Times New Roman" w:cs="楷体_GB2312"/>
                      <w:b/>
                      <w:bCs/>
                      <w:color w:val="17365D"/>
                      <w:kern w:val="0"/>
                      <w:szCs w:val="21"/>
                    </w:rPr>
                  </w:pPr>
                  <w:r w:rsidRPr="00BF1BA7">
                    <w:rPr>
                      <w:rFonts w:ascii="Times New Roman" w:eastAsia="楷体_GB2312" w:hAnsi="Times New Roman" w:cs="楷体_GB2312" w:hint="eastAsia"/>
                      <w:b/>
                      <w:bCs/>
                      <w:color w:val="17365D"/>
                      <w:kern w:val="0"/>
                      <w:szCs w:val="21"/>
                    </w:rPr>
                    <w:t>风险提示：</w:t>
                  </w:r>
                  <w:r w:rsidRPr="009F0474">
                    <w:rPr>
                      <w:rFonts w:ascii="Times New Roman" w:eastAsia="楷体_GB2312" w:hAnsi="Times New Roman" w:cs="楷体_GB2312" w:hint="eastAsia"/>
                      <w:b/>
                      <w:bCs/>
                      <w:color w:val="17365D"/>
                      <w:kern w:val="0"/>
                      <w:szCs w:val="21"/>
                    </w:rPr>
                    <w:t>宏观经济下滑，金融监管力度超预期</w:t>
                  </w:r>
                  <w:r w:rsidRPr="00BF1BA7">
                    <w:rPr>
                      <w:rFonts w:ascii="Times New Roman" w:eastAsia="楷体_GB2312" w:hAnsi="Times New Roman" w:cs="楷体_GB2312" w:hint="eastAsia"/>
                      <w:b/>
                      <w:bCs/>
                      <w:color w:val="17365D"/>
                      <w:kern w:val="0"/>
                      <w:szCs w:val="21"/>
                    </w:rPr>
                    <w:t>。</w:t>
                  </w:r>
                </w:p>
                <w:p w:rsidR="00225A8C" w:rsidRPr="00225A8C" w:rsidRDefault="00225A8C" w:rsidP="00225A8C">
                  <w:pPr>
                    <w:adjustRightInd w:val="0"/>
                    <w:snapToGrid w:val="0"/>
                    <w:rPr>
                      <w:rFonts w:ascii="Times New Roman" w:eastAsia="楷体_GB2312" w:hAnsi="Times New Roman" w:cs="楷体_GB2312"/>
                      <w:bCs/>
                      <w:color w:val="000000" w:themeColor="text1"/>
                      <w:kern w:val="0"/>
                      <w:szCs w:val="21"/>
                    </w:rPr>
                  </w:pPr>
                </w:p>
                <w:p w:rsidR="000E47E7" w:rsidRPr="00225A8C" w:rsidRDefault="000E47E7" w:rsidP="00225A8C">
                  <w:pPr>
                    <w:adjustRightInd w:val="0"/>
                    <w:snapToGrid w:val="0"/>
                    <w:rPr>
                      <w:rFonts w:ascii="Times New Roman" w:eastAsia="楷体_GB2312" w:hAnsi="Times New Roman" w:cs="楷体_GB2312"/>
                      <w:b/>
                      <w:bCs/>
                      <w:color w:val="17365D"/>
                      <w:kern w:val="0"/>
                      <w:szCs w:val="21"/>
                    </w:rPr>
                  </w:pPr>
                </w:p>
                <w:p w:rsidR="000E47E7" w:rsidRPr="00463EF9" w:rsidRDefault="000E47E7" w:rsidP="00D72785">
                  <w:pPr>
                    <w:rPr>
                      <w:rFonts w:ascii="Times New Roman" w:hAnsi="Times New Roman"/>
                      <w:szCs w:val="21"/>
                    </w:rPr>
                  </w:pPr>
                </w:p>
              </w:tc>
            </w:tr>
          </w:tbl>
          <w:p w:rsidR="000E47E7" w:rsidRPr="00463EF9" w:rsidRDefault="000E47E7" w:rsidP="00D72785">
            <w:pPr>
              <w:snapToGrid w:val="0"/>
              <w:ind w:right="-2"/>
              <w:rPr>
                <w:rFonts w:ascii="Times New Roman" w:hAnsi="Times New Roman"/>
              </w:rPr>
            </w:pPr>
          </w:p>
        </w:tc>
        <w:tc>
          <w:tcPr>
            <w:tcW w:w="3176" w:type="dxa"/>
            <w:shd w:val="clear" w:color="auto" w:fill="auto"/>
            <w:tcMar>
              <w:left w:w="57" w:type="dxa"/>
              <w:right w:w="0" w:type="dxa"/>
            </w:tcMar>
          </w:tcPr>
          <w:tbl>
            <w:tblPr>
              <w:tblpPr w:leftFromText="180" w:rightFromText="180" w:horzAnchor="margin" w:tblpY="217"/>
              <w:tblOverlap w:val="never"/>
              <w:tblW w:w="0" w:type="auto"/>
              <w:tblLayout w:type="fixed"/>
              <w:tblLook w:val="04A0" w:firstRow="1" w:lastRow="0" w:firstColumn="1" w:lastColumn="0" w:noHBand="0" w:noVBand="1"/>
            </w:tblPr>
            <w:tblGrid>
              <w:gridCol w:w="3119"/>
            </w:tblGrid>
            <w:tr w:rsidR="000E47E7" w:rsidRPr="00463EF9" w:rsidTr="00D72785">
              <w:trPr>
                <w:trHeight w:hRule="exact" w:val="23"/>
              </w:trPr>
              <w:tc>
                <w:tcPr>
                  <w:tcW w:w="3119" w:type="dxa"/>
                  <w:shd w:val="clear" w:color="auto" w:fill="auto"/>
                </w:tcPr>
                <w:p w:rsidR="000E47E7" w:rsidRPr="00463EF9" w:rsidRDefault="000E47E7" w:rsidP="00D72785">
                  <w:pPr>
                    <w:snapToGrid w:val="0"/>
                    <w:jc w:val="left"/>
                    <w:rPr>
                      <w:rStyle w:val="11123213"/>
                      <w:b/>
                      <w:bCs/>
                      <w:sz w:val="28"/>
                      <w:szCs w:val="28"/>
                    </w:rPr>
                  </w:pPr>
                  <w:r w:rsidRPr="00463EF9">
                    <w:rPr>
                      <w:rFonts w:ascii="Times New Roman" w:hAnsi="Times New Roman"/>
                      <w:b/>
                      <w:bCs/>
                      <w:color w:val="17365D"/>
                      <w:sz w:val="18"/>
                      <w:szCs w:val="18"/>
                    </w:rPr>
                    <w:t>[Table_</w:t>
                  </w:r>
                  <w:r w:rsidRPr="00463EF9">
                    <w:rPr>
                      <w:rFonts w:ascii="Times New Roman" w:hAnsi="Times New Roman" w:hint="eastAsia"/>
                      <w:b/>
                      <w:bCs/>
                      <w:color w:val="17365D"/>
                      <w:sz w:val="18"/>
                      <w:szCs w:val="18"/>
                    </w:rPr>
                    <w:t>Author</w:t>
                  </w:r>
                  <w:r w:rsidRPr="00463EF9">
                    <w:rPr>
                      <w:rFonts w:ascii="Times New Roman" w:hAnsi="Times New Roman"/>
                      <w:b/>
                      <w:bCs/>
                      <w:color w:val="17365D"/>
                      <w:sz w:val="18"/>
                      <w:szCs w:val="18"/>
                    </w:rPr>
                    <w:t>]</w:t>
                  </w:r>
                </w:p>
              </w:tc>
            </w:tr>
            <w:tr w:rsidR="000E47E7" w:rsidRPr="00463EF9" w:rsidTr="00D72785">
              <w:tc>
                <w:tcPr>
                  <w:tcW w:w="3119" w:type="dxa"/>
                  <w:shd w:val="clear" w:color="auto" w:fill="auto"/>
                </w:tcPr>
                <w:p w:rsidR="000E47E7" w:rsidRPr="00463EF9" w:rsidRDefault="00523B34" w:rsidP="00225A8C">
                  <w:pPr>
                    <w:snapToGrid w:val="0"/>
                    <w:jc w:val="right"/>
                    <w:rPr>
                      <w:rStyle w:val="11123213"/>
                      <w:bCs/>
                      <w:color w:val="17365D"/>
                      <w:sz w:val="24"/>
                      <w:szCs w:val="24"/>
                    </w:rPr>
                  </w:pPr>
                  <w:r>
                    <w:rPr>
                      <w:rStyle w:val="11123213"/>
                      <w:rFonts w:hint="eastAsia"/>
                      <w:bCs/>
                      <w:color w:val="17365D"/>
                      <w:sz w:val="24"/>
                      <w:szCs w:val="24"/>
                    </w:rPr>
                    <w:t>2017</w:t>
                  </w:r>
                  <w:r>
                    <w:rPr>
                      <w:rStyle w:val="11123213"/>
                      <w:rFonts w:hint="eastAsia"/>
                      <w:bCs/>
                      <w:color w:val="17365D"/>
                      <w:sz w:val="24"/>
                      <w:szCs w:val="24"/>
                    </w:rPr>
                    <w:t>年</w:t>
                  </w:r>
                  <w:r>
                    <w:rPr>
                      <w:rStyle w:val="11123213"/>
                      <w:rFonts w:hint="eastAsia"/>
                      <w:bCs/>
                      <w:color w:val="17365D"/>
                      <w:sz w:val="24"/>
                      <w:szCs w:val="24"/>
                    </w:rPr>
                    <w:t>09</w:t>
                  </w:r>
                  <w:r>
                    <w:rPr>
                      <w:rStyle w:val="11123213"/>
                      <w:rFonts w:hint="eastAsia"/>
                      <w:bCs/>
                      <w:color w:val="17365D"/>
                      <w:sz w:val="24"/>
                      <w:szCs w:val="24"/>
                    </w:rPr>
                    <w:t>月</w:t>
                  </w:r>
                  <w:r w:rsidR="00225A8C">
                    <w:rPr>
                      <w:rStyle w:val="11123213"/>
                      <w:bCs/>
                      <w:color w:val="17365D"/>
                      <w:sz w:val="24"/>
                      <w:szCs w:val="24"/>
                    </w:rPr>
                    <w:t>2</w:t>
                  </w:r>
                  <w:r>
                    <w:rPr>
                      <w:rStyle w:val="11123213"/>
                      <w:rFonts w:hint="eastAsia"/>
                      <w:bCs/>
                      <w:color w:val="17365D"/>
                      <w:sz w:val="24"/>
                      <w:szCs w:val="24"/>
                    </w:rPr>
                    <w:t>4</w:t>
                  </w:r>
                  <w:r>
                    <w:rPr>
                      <w:rStyle w:val="11123213"/>
                      <w:rFonts w:hint="eastAsia"/>
                      <w:bCs/>
                      <w:color w:val="17365D"/>
                      <w:sz w:val="24"/>
                      <w:szCs w:val="24"/>
                    </w:rPr>
                    <w:t>日</w:t>
                  </w:r>
                </w:p>
              </w:tc>
            </w:tr>
            <w:tr w:rsidR="000E47E7" w:rsidRPr="00463EF9" w:rsidTr="00D72785">
              <w:tc>
                <w:tcPr>
                  <w:tcW w:w="3119" w:type="dxa"/>
                  <w:shd w:val="clear" w:color="auto" w:fill="auto"/>
                </w:tcPr>
                <w:p w:rsidR="000E47E7" w:rsidRPr="00463EF9" w:rsidRDefault="000E47E7" w:rsidP="00D72785">
                  <w:pPr>
                    <w:snapToGrid w:val="0"/>
                    <w:jc w:val="right"/>
                    <w:rPr>
                      <w:rStyle w:val="11123213"/>
                      <w:b/>
                      <w:bCs/>
                      <w:sz w:val="28"/>
                      <w:szCs w:val="28"/>
                    </w:rPr>
                  </w:pPr>
                </w:p>
              </w:tc>
            </w:tr>
            <w:tr w:rsidR="000E47E7" w:rsidRPr="00463EF9" w:rsidTr="00D72785">
              <w:tc>
                <w:tcPr>
                  <w:tcW w:w="3119" w:type="dxa"/>
                  <w:shd w:val="clear" w:color="auto" w:fill="auto"/>
                </w:tcPr>
                <w:p w:rsidR="000E47E7" w:rsidRPr="00523B34" w:rsidRDefault="00523B34" w:rsidP="00D72785">
                  <w:pPr>
                    <w:wordWrap w:val="0"/>
                    <w:snapToGrid w:val="0"/>
                    <w:jc w:val="right"/>
                    <w:rPr>
                      <w:rStyle w:val="11123213"/>
                      <w:b/>
                      <w:bCs/>
                      <w:color w:val="20365D"/>
                      <w:sz w:val="24"/>
                      <w:szCs w:val="24"/>
                    </w:rPr>
                  </w:pPr>
                  <w:r>
                    <w:rPr>
                      <w:rStyle w:val="11123213"/>
                      <w:rFonts w:hint="eastAsia"/>
                      <w:b/>
                      <w:bCs/>
                      <w:color w:val="20365D"/>
                      <w:sz w:val="24"/>
                      <w:szCs w:val="24"/>
                    </w:rPr>
                    <w:t>证券分析师</w:t>
                  </w:r>
                  <w:r>
                    <w:rPr>
                      <w:rStyle w:val="11123213"/>
                      <w:rFonts w:hint="eastAsia"/>
                      <w:b/>
                      <w:bCs/>
                      <w:color w:val="20365D"/>
                      <w:sz w:val="24"/>
                      <w:szCs w:val="24"/>
                    </w:rPr>
                    <w:t xml:space="preserve">    </w:t>
                  </w:r>
                  <w:r>
                    <w:rPr>
                      <w:rStyle w:val="11123213"/>
                      <w:rFonts w:hint="eastAsia"/>
                      <w:b/>
                      <w:bCs/>
                      <w:color w:val="20365D"/>
                      <w:sz w:val="24"/>
                      <w:szCs w:val="24"/>
                    </w:rPr>
                    <w:t>马婷婷</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rFonts w:hint="eastAsia"/>
                      <w:bCs/>
                      <w:szCs w:val="21"/>
                    </w:rPr>
                    <w:t>执业证书编号：</w:t>
                  </w:r>
                  <w:r>
                    <w:rPr>
                      <w:rStyle w:val="11123213"/>
                      <w:rFonts w:hint="eastAsia"/>
                      <w:bCs/>
                      <w:szCs w:val="21"/>
                    </w:rPr>
                    <w:t>S0600517040002</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02160199607</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matt@dwzq.com.cn</w:t>
                  </w:r>
                </w:p>
              </w:tc>
            </w:tr>
            <w:tr w:rsidR="00523B34" w:rsidRPr="00463EF9" w:rsidTr="00D72785">
              <w:tc>
                <w:tcPr>
                  <w:tcW w:w="3119" w:type="dxa"/>
                  <w:shd w:val="clear" w:color="auto" w:fill="auto"/>
                </w:tcPr>
                <w:p w:rsidR="00523B34" w:rsidRDefault="00523B34" w:rsidP="00D72785">
                  <w:pPr>
                    <w:snapToGrid w:val="0"/>
                    <w:jc w:val="right"/>
                    <w:rPr>
                      <w:rStyle w:val="11123213"/>
                      <w:b/>
                      <w:bCs/>
                      <w:color w:val="20365D"/>
                      <w:sz w:val="24"/>
                      <w:szCs w:val="21"/>
                    </w:rPr>
                  </w:pPr>
                </w:p>
                <w:p w:rsidR="00523B34" w:rsidRPr="00523B34" w:rsidRDefault="00523B34" w:rsidP="00D72785">
                  <w:pPr>
                    <w:snapToGrid w:val="0"/>
                    <w:jc w:val="right"/>
                    <w:rPr>
                      <w:rStyle w:val="11123213"/>
                      <w:b/>
                      <w:bCs/>
                      <w:color w:val="20365D"/>
                      <w:sz w:val="24"/>
                      <w:szCs w:val="21"/>
                    </w:rPr>
                  </w:pPr>
                  <w:r>
                    <w:rPr>
                      <w:rStyle w:val="11123213"/>
                      <w:rFonts w:hint="eastAsia"/>
                      <w:b/>
                      <w:bCs/>
                      <w:color w:val="20365D"/>
                      <w:sz w:val="24"/>
                      <w:szCs w:val="21"/>
                    </w:rPr>
                    <w:t>研究助理</w:t>
                  </w:r>
                  <w:r>
                    <w:rPr>
                      <w:rStyle w:val="11123213"/>
                      <w:rFonts w:hint="eastAsia"/>
                      <w:b/>
                      <w:bCs/>
                      <w:color w:val="20365D"/>
                      <w:sz w:val="24"/>
                      <w:szCs w:val="21"/>
                    </w:rPr>
                    <w:t xml:space="preserve">    </w:t>
                  </w:r>
                  <w:r>
                    <w:rPr>
                      <w:rStyle w:val="11123213"/>
                      <w:rFonts w:hint="eastAsia"/>
                      <w:b/>
                      <w:bCs/>
                      <w:color w:val="20365D"/>
                      <w:sz w:val="24"/>
                      <w:szCs w:val="21"/>
                    </w:rPr>
                    <w:t>蒋江松媛</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021-11111111</w:t>
                  </w:r>
                </w:p>
              </w:tc>
            </w:tr>
            <w:tr w:rsidR="000E47E7" w:rsidRPr="00463EF9" w:rsidTr="00D72785">
              <w:tc>
                <w:tcPr>
                  <w:tcW w:w="3119" w:type="dxa"/>
                  <w:shd w:val="clear" w:color="auto" w:fill="auto"/>
                </w:tcPr>
                <w:p w:rsidR="000E47E7" w:rsidRPr="00463EF9" w:rsidRDefault="00523B34" w:rsidP="00D72785">
                  <w:pPr>
                    <w:snapToGrid w:val="0"/>
                    <w:jc w:val="right"/>
                    <w:rPr>
                      <w:rStyle w:val="11123213"/>
                      <w:bCs/>
                      <w:szCs w:val="21"/>
                    </w:rPr>
                  </w:pPr>
                  <w:r>
                    <w:rPr>
                      <w:rStyle w:val="11123213"/>
                      <w:bCs/>
                      <w:szCs w:val="21"/>
                    </w:rPr>
                    <w:t>jiangjsy@dwzq.com.cn</w:t>
                  </w:r>
                </w:p>
              </w:tc>
            </w:tr>
          </w:tbl>
          <w:p w:rsidR="000E47E7" w:rsidRPr="00463EF9" w:rsidRDefault="000E47E7" w:rsidP="00D72785">
            <w:pPr>
              <w:snapToGrid w:val="0"/>
              <w:ind w:right="-2"/>
              <w:jc w:val="left"/>
              <w:rPr>
                <w:rFonts w:ascii="Times New Roman" w:hAnsi="Times New Roman"/>
              </w:rPr>
            </w:pPr>
          </w:p>
          <w:tbl>
            <w:tblPr>
              <w:tblW w:w="3153" w:type="dxa"/>
              <w:jc w:val="right"/>
              <w:tblLayout w:type="fixed"/>
              <w:tblLook w:val="04A0" w:firstRow="1" w:lastRow="0" w:firstColumn="1" w:lastColumn="0" w:noHBand="0" w:noVBand="1"/>
            </w:tblPr>
            <w:tblGrid>
              <w:gridCol w:w="3153"/>
            </w:tblGrid>
            <w:tr w:rsidR="000E47E7" w:rsidRPr="00463EF9" w:rsidTr="00D72785">
              <w:trPr>
                <w:trHeight w:hRule="exact" w:val="23"/>
                <w:jc w:val="right"/>
              </w:trPr>
              <w:tc>
                <w:tcPr>
                  <w:tcW w:w="3153"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color w:val="17365D"/>
                      <w:kern w:val="0"/>
                      <w:sz w:val="21"/>
                    </w:rPr>
                    <w:t>[Table_PicQuote]</w:t>
                  </w:r>
                </w:p>
              </w:tc>
            </w:tr>
            <w:tr w:rsidR="000E47E7" w:rsidRPr="00463EF9" w:rsidTr="00D72785">
              <w:trPr>
                <w:trHeight w:val="375"/>
                <w:jc w:val="right"/>
              </w:trPr>
              <w:tc>
                <w:tcPr>
                  <w:tcW w:w="3153"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hint="eastAsia"/>
                      <w:color w:val="17365D"/>
                      <w:kern w:val="0"/>
                      <w:sz w:val="21"/>
                    </w:rPr>
                    <w:t>行业走势</w:t>
                  </w:r>
                </w:p>
              </w:tc>
            </w:tr>
            <w:tr w:rsidR="000E47E7" w:rsidRPr="00463EF9" w:rsidTr="00D72785">
              <w:trPr>
                <w:trHeight w:val="2220"/>
                <w:jc w:val="right"/>
              </w:trPr>
              <w:tc>
                <w:tcPr>
                  <w:tcW w:w="3153" w:type="dxa"/>
                  <w:shd w:val="clear" w:color="auto" w:fill="auto"/>
                </w:tcPr>
                <w:p w:rsidR="000E47E7" w:rsidRPr="00463EF9" w:rsidRDefault="00933F54" w:rsidP="00D72785">
                  <w:pPr>
                    <w:widowControl/>
                    <w:jc w:val="center"/>
                    <w:rPr>
                      <w:rStyle w:val="11123213"/>
                      <w:bCs/>
                      <w:color w:val="2C67AE"/>
                      <w:szCs w:val="21"/>
                    </w:rPr>
                  </w:pPr>
                  <w:r w:rsidRPr="00463EF9">
                    <w:rPr>
                      <w:rFonts w:ascii="Times New Roman" w:hAnsi="Times New Roman"/>
                      <w:noProof/>
                    </w:rPr>
                    <w:drawing>
                      <wp:inline distT="0" distB="0" distL="0" distR="0">
                        <wp:extent cx="1858010" cy="1342390"/>
                        <wp:effectExtent l="0" t="0" r="0" b="0"/>
                        <wp:docPr id="23" name="对象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E47E7" w:rsidRPr="00463EF9" w:rsidRDefault="000E47E7" w:rsidP="00D72785">
            <w:pPr>
              <w:snapToGrid w:val="0"/>
              <w:ind w:right="-2"/>
              <w:jc w:val="left"/>
              <w:rPr>
                <w:rFonts w:ascii="Times New Roman" w:hAnsi="Times New Roman"/>
              </w:rPr>
            </w:pPr>
          </w:p>
          <w:p w:rsidR="000E47E7" w:rsidRPr="00463EF9" w:rsidRDefault="000E47E7" w:rsidP="00D72785">
            <w:pPr>
              <w:snapToGrid w:val="0"/>
              <w:ind w:right="-2"/>
              <w:jc w:val="left"/>
              <w:rPr>
                <w:rFonts w:ascii="Times New Roman" w:hAnsi="Times New Roman"/>
              </w:rPr>
            </w:pPr>
          </w:p>
          <w:tbl>
            <w:tblPr>
              <w:tblW w:w="3129" w:type="dxa"/>
              <w:jc w:val="right"/>
              <w:tblLayout w:type="fixed"/>
              <w:tblLook w:val="04A0" w:firstRow="1" w:lastRow="0" w:firstColumn="1" w:lastColumn="0" w:noHBand="0" w:noVBand="1"/>
            </w:tblPr>
            <w:tblGrid>
              <w:gridCol w:w="3129"/>
            </w:tblGrid>
            <w:tr w:rsidR="000E47E7" w:rsidRPr="00463EF9" w:rsidTr="00D72785">
              <w:trPr>
                <w:trHeight w:hRule="exact" w:val="27"/>
                <w:jc w:val="right"/>
              </w:trPr>
              <w:tc>
                <w:tcPr>
                  <w:tcW w:w="3129"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color w:val="17365D"/>
                      <w:kern w:val="0"/>
                      <w:sz w:val="21"/>
                    </w:rPr>
                    <w:t>[Table_</w:t>
                  </w:r>
                  <w:r w:rsidRPr="00463EF9">
                    <w:rPr>
                      <w:rFonts w:cs="楷体_GB2312" w:hint="eastAsia"/>
                      <w:color w:val="17365D"/>
                      <w:kern w:val="0"/>
                      <w:sz w:val="21"/>
                    </w:rPr>
                    <w:t>Report</w:t>
                  </w:r>
                  <w:r w:rsidRPr="00463EF9">
                    <w:rPr>
                      <w:rFonts w:cs="楷体_GB2312"/>
                      <w:color w:val="17365D"/>
                      <w:kern w:val="0"/>
                      <w:sz w:val="21"/>
                    </w:rPr>
                    <w:t>]</w:t>
                  </w:r>
                </w:p>
              </w:tc>
            </w:tr>
            <w:tr w:rsidR="000E47E7" w:rsidRPr="00463EF9" w:rsidTr="00D72785">
              <w:trPr>
                <w:trHeight w:val="438"/>
                <w:jc w:val="right"/>
              </w:trPr>
              <w:tc>
                <w:tcPr>
                  <w:tcW w:w="3129" w:type="dxa"/>
                  <w:shd w:val="clear" w:color="auto" w:fill="auto"/>
                </w:tcPr>
                <w:p w:rsidR="000E47E7" w:rsidRPr="00463EF9" w:rsidRDefault="000E47E7" w:rsidP="00D72785">
                  <w:pPr>
                    <w:pStyle w:val="a9"/>
                    <w:snapToGrid w:val="0"/>
                    <w:spacing w:before="72"/>
                    <w:rPr>
                      <w:rStyle w:val="11123213"/>
                      <w:bCs/>
                      <w:color w:val="000000"/>
                      <w:szCs w:val="21"/>
                    </w:rPr>
                  </w:pPr>
                  <w:r w:rsidRPr="00463EF9">
                    <w:rPr>
                      <w:rFonts w:cs="楷体_GB2312" w:hint="eastAsia"/>
                      <w:color w:val="17365D"/>
                      <w:kern w:val="0"/>
                      <w:sz w:val="21"/>
                    </w:rPr>
                    <w:t>相关研究</w:t>
                  </w:r>
                </w:p>
              </w:tc>
            </w:tr>
            <w:tr w:rsidR="000E47E7" w:rsidRPr="00463EF9" w:rsidTr="00D72785">
              <w:trPr>
                <w:trHeight w:val="299"/>
                <w:jc w:val="right"/>
              </w:trPr>
              <w:tc>
                <w:tcPr>
                  <w:tcW w:w="3129" w:type="dxa"/>
                  <w:shd w:val="clear" w:color="auto" w:fill="auto"/>
                </w:tcPr>
                <w:p w:rsidR="000E47E7" w:rsidRPr="00463EF9" w:rsidRDefault="00523B34" w:rsidP="00D72785">
                  <w:pPr>
                    <w:pStyle w:val="af0"/>
                    <w:numPr>
                      <w:ilvl w:val="0"/>
                      <w:numId w:val="7"/>
                    </w:numPr>
                    <w:snapToGrid w:val="0"/>
                    <w:ind w:right="-2" w:firstLineChars="0"/>
                    <w:jc w:val="left"/>
                    <w:rPr>
                      <w:rFonts w:ascii="Times New Roman" w:eastAsia="楷体_GB2312" w:hAnsi="Times New Roman"/>
                      <w:b/>
                      <w:bCs/>
                      <w:szCs w:val="21"/>
                    </w:rPr>
                  </w:pPr>
                  <w:r>
                    <w:rPr>
                      <w:rFonts w:ascii="Times New Roman" w:eastAsia="楷体_GB2312" w:hAnsi="Times New Roman" w:hint="eastAsia"/>
                      <w:b/>
                      <w:bCs/>
                      <w:szCs w:val="21"/>
                    </w:rPr>
                    <w:t>银行业周报：关注银行板块三季报行情</w:t>
                  </w:r>
                  <w:r>
                    <w:rPr>
                      <w:rFonts w:ascii="Times New Roman" w:eastAsia="楷体_GB2312" w:hAnsi="Times New Roman" w:hint="eastAsia"/>
                      <w:b/>
                      <w:bCs/>
                      <w:szCs w:val="21"/>
                    </w:rPr>
                    <w:t xml:space="preserve"> -20170910</w:t>
                  </w:r>
                </w:p>
              </w:tc>
            </w:tr>
            <w:tr w:rsidR="000E47E7" w:rsidRPr="00463EF9" w:rsidTr="00D72785">
              <w:trPr>
                <w:trHeight w:val="319"/>
                <w:jc w:val="right"/>
              </w:trPr>
              <w:tc>
                <w:tcPr>
                  <w:tcW w:w="3129" w:type="dxa"/>
                  <w:shd w:val="clear" w:color="auto" w:fill="auto"/>
                </w:tcPr>
                <w:p w:rsidR="000E47E7" w:rsidRPr="00463EF9" w:rsidRDefault="00523B34" w:rsidP="00D72785">
                  <w:pPr>
                    <w:pStyle w:val="af0"/>
                    <w:numPr>
                      <w:ilvl w:val="0"/>
                      <w:numId w:val="7"/>
                    </w:numPr>
                    <w:snapToGrid w:val="0"/>
                    <w:ind w:left="357" w:firstLineChars="0" w:hanging="357"/>
                    <w:jc w:val="left"/>
                    <w:rPr>
                      <w:rFonts w:ascii="Times New Roman" w:eastAsia="楷体_GB2312" w:hAnsi="Times New Roman"/>
                      <w:b/>
                      <w:bCs/>
                      <w:szCs w:val="21"/>
                    </w:rPr>
                  </w:pPr>
                  <w:r>
                    <w:rPr>
                      <w:rFonts w:ascii="Times New Roman" w:eastAsia="楷体_GB2312" w:hAnsi="Times New Roman" w:hint="eastAsia"/>
                      <w:b/>
                      <w:bCs/>
                      <w:szCs w:val="21"/>
                    </w:rPr>
                    <w:t>银行业研究框架暨中报总结</w:t>
                  </w:r>
                  <w:r>
                    <w:rPr>
                      <w:rFonts w:ascii="Times New Roman" w:eastAsia="楷体_GB2312" w:hAnsi="Times New Roman" w:hint="eastAsia"/>
                      <w:b/>
                      <w:bCs/>
                      <w:szCs w:val="21"/>
                    </w:rPr>
                    <w:t xml:space="preserve"> -20170903</w:t>
                  </w:r>
                </w:p>
              </w:tc>
            </w:tr>
            <w:tr w:rsidR="000E47E7" w:rsidRPr="00463EF9" w:rsidTr="00D72785">
              <w:trPr>
                <w:trHeight w:val="299"/>
                <w:jc w:val="right"/>
              </w:trPr>
              <w:tc>
                <w:tcPr>
                  <w:tcW w:w="3129" w:type="dxa"/>
                  <w:shd w:val="clear" w:color="auto" w:fill="auto"/>
                </w:tcPr>
                <w:p w:rsidR="000E47E7"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银行业周报：银行中报—资产质量改善，盈利能力提升</w:t>
                  </w:r>
                  <w:r>
                    <w:rPr>
                      <w:rFonts w:ascii="Times New Roman" w:eastAsia="楷体_GB2312" w:hAnsi="Times New Roman" w:hint="eastAsia"/>
                      <w:b/>
                      <w:bCs/>
                      <w:szCs w:val="21"/>
                    </w:rPr>
                    <w:t xml:space="preserve"> -20170827</w:t>
                  </w:r>
                </w:p>
              </w:tc>
            </w:tr>
            <w:tr w:rsidR="007A7CB1" w:rsidRPr="00463EF9" w:rsidTr="00D72785">
              <w:trPr>
                <w:trHeight w:val="299"/>
                <w:jc w:val="right"/>
              </w:trPr>
              <w:tc>
                <w:tcPr>
                  <w:tcW w:w="3129" w:type="dxa"/>
                  <w:shd w:val="clear" w:color="auto" w:fill="auto"/>
                </w:tcPr>
                <w:p w:rsidR="007A7CB1"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银行业专题：银行可转债知多少？</w:t>
                  </w:r>
                  <w:r>
                    <w:rPr>
                      <w:rFonts w:ascii="Times New Roman" w:eastAsia="楷体_GB2312" w:hAnsi="Times New Roman" w:hint="eastAsia"/>
                      <w:b/>
                      <w:bCs/>
                      <w:szCs w:val="21"/>
                    </w:rPr>
                    <w:t xml:space="preserve"> -20170827</w:t>
                  </w:r>
                </w:p>
              </w:tc>
            </w:tr>
            <w:tr w:rsidR="007A7CB1" w:rsidRPr="00463EF9" w:rsidTr="00D72785">
              <w:trPr>
                <w:trHeight w:val="299"/>
                <w:jc w:val="right"/>
              </w:trPr>
              <w:tc>
                <w:tcPr>
                  <w:tcW w:w="3129" w:type="dxa"/>
                  <w:shd w:val="clear" w:color="auto" w:fill="auto"/>
                </w:tcPr>
                <w:p w:rsidR="007A7CB1"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银行业专题报告：银行再融资知多少？</w:t>
                  </w:r>
                  <w:r>
                    <w:rPr>
                      <w:rFonts w:ascii="Times New Roman" w:eastAsia="楷体_GB2312" w:hAnsi="Times New Roman" w:hint="eastAsia"/>
                      <w:b/>
                      <w:bCs/>
                      <w:szCs w:val="21"/>
                    </w:rPr>
                    <w:t xml:space="preserve"> -20170823</w:t>
                  </w:r>
                </w:p>
              </w:tc>
            </w:tr>
          </w:tbl>
          <w:p w:rsidR="000E47E7" w:rsidRPr="00463EF9" w:rsidRDefault="000E47E7" w:rsidP="00D72785">
            <w:pPr>
              <w:snapToGrid w:val="0"/>
              <w:ind w:right="-2"/>
              <w:jc w:val="left"/>
              <w:rPr>
                <w:rFonts w:ascii="Times New Roman" w:hAnsi="Times New Roman"/>
              </w:rPr>
            </w:pPr>
          </w:p>
        </w:tc>
      </w:tr>
    </w:tbl>
    <w:p w:rsidR="00D90F6D" w:rsidRPr="00463EF9" w:rsidRDefault="000E47E7" w:rsidP="00C667B0">
      <w:pPr>
        <w:snapToGrid w:val="0"/>
        <w:ind w:right="-2"/>
        <w:jc w:val="left"/>
        <w:rPr>
          <w:rFonts w:ascii="Times New Roman" w:eastAsia="楷体_GB2312" w:hAnsi="Times New Roman"/>
          <w:b/>
          <w:sz w:val="24"/>
          <w:szCs w:val="24"/>
        </w:rPr>
        <w:sectPr w:rsidR="00D90F6D" w:rsidRPr="00463EF9" w:rsidSect="00E60021">
          <w:headerReference w:type="default" r:id="rId9"/>
          <w:footerReference w:type="default" r:id="rId10"/>
          <w:pgSz w:w="11906" w:h="16838"/>
          <w:pgMar w:top="1418" w:right="851" w:bottom="1418" w:left="851" w:header="851" w:footer="578" w:gutter="0"/>
          <w:cols w:space="2" w:equalWidth="0">
            <w:col w:w="10204" w:space="709"/>
          </w:cols>
          <w:docGrid w:type="lines" w:linePitch="312"/>
        </w:sectPr>
      </w:pPr>
      <w:r w:rsidRPr="00463EF9">
        <w:rPr>
          <w:rFonts w:ascii="Times New Roman" w:eastAsia="楷体_GB2312" w:hAnsi="Times New Roman" w:hint="eastAsia"/>
          <w:b/>
          <w:sz w:val="24"/>
          <w:szCs w:val="24"/>
        </w:rPr>
        <w:t xml:space="preserve">     </w:t>
      </w:r>
      <w:r w:rsidR="00C667B0" w:rsidRPr="00463EF9">
        <w:rPr>
          <w:rFonts w:ascii="Times New Roman" w:eastAsia="楷体_GB2312" w:hAnsi="Times New Roman" w:hint="eastAsia"/>
          <w:b/>
          <w:sz w:val="24"/>
          <w:szCs w:val="24"/>
        </w:rPr>
        <w:t xml:space="preserve">      </w:t>
      </w:r>
    </w:p>
    <w:p w:rsidR="00425352" w:rsidRPr="00463EF9" w:rsidRDefault="00425352" w:rsidP="00CA2E65">
      <w:pPr>
        <w:pStyle w:val="TOC"/>
        <w:jc w:val="center"/>
        <w:rPr>
          <w:rFonts w:ascii="Times New Roman" w:eastAsia="楷体_GB2312" w:hAnsi="Times New Roman"/>
        </w:rPr>
      </w:pPr>
      <w:bookmarkStart w:id="1" w:name="_Toc292187122"/>
      <w:bookmarkStart w:id="2" w:name="_Toc249241048"/>
      <w:bookmarkStart w:id="3" w:name="_Toc249241047"/>
      <w:bookmarkStart w:id="4" w:name="_Toc248744734"/>
      <w:r w:rsidRPr="00463EF9">
        <w:rPr>
          <w:rFonts w:ascii="Times New Roman" w:eastAsia="楷体_GB2312" w:hAnsi="Times New Roman"/>
          <w:lang w:val="zh-CN"/>
        </w:rPr>
        <w:lastRenderedPageBreak/>
        <w:t>目录</w:t>
      </w:r>
    </w:p>
    <w:p w:rsidR="003F53A5" w:rsidRPr="003F53A5" w:rsidRDefault="00425352" w:rsidP="003F53A5">
      <w:pPr>
        <w:pStyle w:val="12"/>
        <w:rPr>
          <w:sz w:val="21"/>
          <w:szCs w:val="22"/>
        </w:rPr>
      </w:pPr>
      <w:r w:rsidRPr="003F53A5">
        <w:fldChar w:fldCharType="begin"/>
      </w:r>
      <w:r w:rsidRPr="003F53A5">
        <w:instrText xml:space="preserve"> TOC \o "1-3" \h \z \u </w:instrText>
      </w:r>
      <w:r w:rsidRPr="003F53A5">
        <w:fldChar w:fldCharType="separate"/>
      </w:r>
      <w:hyperlink w:anchor="_Toc494044214" w:history="1">
        <w:r w:rsidR="003F53A5" w:rsidRPr="003F53A5">
          <w:rPr>
            <w:rStyle w:val="ae"/>
            <w:rFonts w:ascii="Times New Roman" w:eastAsia="楷体_GB2312" w:hAnsi="Times New Roman"/>
          </w:rPr>
          <w:t>1.</w:t>
        </w:r>
        <w:r w:rsidR="003F53A5" w:rsidRPr="003F53A5">
          <w:rPr>
            <w:sz w:val="21"/>
            <w:szCs w:val="22"/>
          </w:rPr>
          <w:tab/>
        </w:r>
        <w:r w:rsidR="003F53A5" w:rsidRPr="003F53A5">
          <w:rPr>
            <w:rStyle w:val="ae"/>
            <w:rFonts w:ascii="Times New Roman" w:eastAsia="楷体_GB2312" w:hAnsi="Times New Roman"/>
          </w:rPr>
          <w:t>上半年监管政策密集出台，金融去杠杆成效初显</w:t>
        </w:r>
        <w:r w:rsidR="003F53A5">
          <w:rPr>
            <w:webHidden/>
          </w:rPr>
          <w:t>…….…..</w:t>
        </w:r>
        <w:r w:rsidR="003F53A5" w:rsidRPr="003F53A5">
          <w:rPr>
            <w:webHidden/>
          </w:rPr>
          <w:fldChar w:fldCharType="begin"/>
        </w:r>
        <w:r w:rsidR="003F53A5" w:rsidRPr="003F53A5">
          <w:rPr>
            <w:webHidden/>
          </w:rPr>
          <w:instrText xml:space="preserve"> PAGEREF _Toc494044214 \h </w:instrText>
        </w:r>
        <w:r w:rsidR="003F53A5" w:rsidRPr="003F53A5">
          <w:rPr>
            <w:webHidden/>
          </w:rPr>
        </w:r>
        <w:r w:rsidR="003F53A5" w:rsidRPr="003F53A5">
          <w:rPr>
            <w:webHidden/>
          </w:rPr>
          <w:fldChar w:fldCharType="separate"/>
        </w:r>
        <w:r w:rsidR="003F53A5" w:rsidRPr="003F53A5">
          <w:rPr>
            <w:webHidden/>
          </w:rPr>
          <w:t>4</w:t>
        </w:r>
        <w:r w:rsidR="003F53A5" w:rsidRPr="003F53A5">
          <w:rPr>
            <w:webHidden/>
          </w:rPr>
          <w:fldChar w:fldCharType="end"/>
        </w:r>
      </w:hyperlink>
    </w:p>
    <w:p w:rsidR="003F53A5" w:rsidRPr="003F53A5" w:rsidRDefault="00213B77"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5" w:history="1">
        <w:r w:rsidR="003F53A5" w:rsidRPr="003F53A5">
          <w:rPr>
            <w:rStyle w:val="ae"/>
            <w:rFonts w:ascii="Times New Roman" w:eastAsia="楷体_GB2312" w:hAnsi="Times New Roman"/>
          </w:rPr>
          <w:t>1.1.</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银监会密集出台多项监管政策，重点关注同业业务和理财业务</w:t>
        </w:r>
        <w:r w:rsidR="003F53A5">
          <w:rPr>
            <w:rStyle w:val="ae"/>
            <w:rFonts w:ascii="Times New Roman" w:eastAsia="楷体_GB2312" w:hAnsi="Times New Roman"/>
          </w:rPr>
          <w:t>……</w:t>
        </w:r>
        <w:r w:rsidR="003F53A5" w:rsidRPr="003F53A5">
          <w:rPr>
            <w:rFonts w:ascii="Times New Roman" w:eastAsia="楷体_GB2312" w:hAnsi="Times New Roman"/>
            <w:webHidden/>
          </w:rPr>
          <w:tab/>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_Toc494044215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4</w:t>
        </w:r>
        <w:r w:rsidR="003F53A5" w:rsidRPr="003F53A5">
          <w:rPr>
            <w:rFonts w:ascii="Times New Roman" w:eastAsia="楷体_GB2312" w:hAnsi="Times New Roman"/>
            <w:webHidden/>
          </w:rPr>
          <w:fldChar w:fldCharType="end"/>
        </w:r>
      </w:hyperlink>
    </w:p>
    <w:p w:rsidR="003F53A5" w:rsidRPr="003F53A5" w:rsidRDefault="00213B77"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6" w:history="1">
        <w:r w:rsidR="003F53A5" w:rsidRPr="003F53A5">
          <w:rPr>
            <w:rStyle w:val="ae"/>
            <w:rFonts w:ascii="Times New Roman" w:eastAsia="楷体_GB2312" w:hAnsi="Times New Roman"/>
          </w:rPr>
          <w:t>1.2.</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银行积极调整业务规模，金融去杠杆成效初显</w:t>
        </w:r>
        <w:r w:rsidR="003F53A5" w:rsidRPr="003F53A5">
          <w:rPr>
            <w:rFonts w:ascii="Times New Roman" w:eastAsia="楷体_GB2312" w:hAnsi="Times New Roman"/>
            <w:webHidden/>
          </w:rPr>
          <w:tab/>
        </w:r>
        <w:r w:rsidR="003F53A5">
          <w:rPr>
            <w:rFonts w:ascii="Times New Roman" w:eastAsia="楷体_GB2312" w:hAnsi="Times New Roman"/>
            <w:webHidden/>
          </w:rPr>
          <w:t>…………………….</w:t>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_Toc494044216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6</w:t>
        </w:r>
        <w:r w:rsidR="003F53A5" w:rsidRPr="003F53A5">
          <w:rPr>
            <w:rFonts w:ascii="Times New Roman" w:eastAsia="楷体_GB2312" w:hAnsi="Times New Roman"/>
            <w:webHidden/>
          </w:rPr>
          <w:fldChar w:fldCharType="end"/>
        </w:r>
      </w:hyperlink>
    </w:p>
    <w:p w:rsidR="003F53A5" w:rsidRPr="003F53A5" w:rsidRDefault="00213B77"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7" w:history="1">
        <w:r w:rsidR="003F53A5" w:rsidRPr="003F53A5">
          <w:rPr>
            <w:rStyle w:val="ae"/>
            <w:rFonts w:ascii="Times New Roman" w:eastAsia="楷体_GB2312" w:hAnsi="Times New Roman"/>
          </w:rPr>
          <w:t>1.3.</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金融监管仍在继续，规范各项业务发展，落实穿透登记工作</w:t>
        </w:r>
        <w:r w:rsidR="003F53A5" w:rsidRPr="003F53A5">
          <w:rPr>
            <w:rFonts w:ascii="Times New Roman" w:eastAsia="楷体_GB2312" w:hAnsi="Times New Roman"/>
            <w:webHidden/>
          </w:rPr>
          <w:tab/>
        </w:r>
        <w:r w:rsidR="003F53A5">
          <w:rPr>
            <w:rFonts w:ascii="Times New Roman" w:eastAsia="楷体_GB2312" w:hAnsi="Times New Roman"/>
            <w:webHidden/>
          </w:rPr>
          <w:t>……..</w:t>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_Toc494044217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7</w:t>
        </w:r>
        <w:r w:rsidR="003F53A5" w:rsidRPr="003F53A5">
          <w:rPr>
            <w:rFonts w:ascii="Times New Roman" w:eastAsia="楷体_GB2312" w:hAnsi="Times New Roman"/>
            <w:webHidden/>
          </w:rPr>
          <w:fldChar w:fldCharType="end"/>
        </w:r>
      </w:hyperlink>
    </w:p>
    <w:p w:rsidR="003F53A5" w:rsidRPr="003F53A5" w:rsidRDefault="00213B77" w:rsidP="003F53A5">
      <w:pPr>
        <w:pStyle w:val="12"/>
        <w:rPr>
          <w:sz w:val="21"/>
          <w:szCs w:val="22"/>
        </w:rPr>
      </w:pPr>
      <w:hyperlink w:anchor="_Toc494044218" w:history="1">
        <w:r w:rsidR="003F53A5" w:rsidRPr="003F53A5">
          <w:rPr>
            <w:rStyle w:val="ae"/>
            <w:rFonts w:ascii="Times New Roman" w:eastAsia="楷体_GB2312" w:hAnsi="Times New Roman"/>
          </w:rPr>
          <w:t>2.</w:t>
        </w:r>
        <w:r w:rsidR="003F53A5" w:rsidRPr="003F53A5">
          <w:rPr>
            <w:sz w:val="21"/>
            <w:szCs w:val="22"/>
          </w:rPr>
          <w:tab/>
        </w:r>
        <w:r w:rsidR="003F53A5" w:rsidRPr="003F53A5">
          <w:rPr>
            <w:rStyle w:val="ae"/>
            <w:rFonts w:ascii="Times New Roman" w:eastAsia="楷体_GB2312" w:hAnsi="Times New Roman"/>
          </w:rPr>
          <w:t>非标投资中的信贷类资产拨备计提测算：股份行敞口较大</w:t>
        </w:r>
        <w:r w:rsidR="003F53A5" w:rsidRPr="003F53A5">
          <w:rPr>
            <w:webHidden/>
          </w:rPr>
          <w:tab/>
        </w:r>
        <w:r w:rsidR="003F53A5" w:rsidRPr="003F53A5">
          <w:rPr>
            <w:webHidden/>
          </w:rPr>
          <w:fldChar w:fldCharType="begin"/>
        </w:r>
        <w:r w:rsidR="003F53A5" w:rsidRPr="003F53A5">
          <w:rPr>
            <w:webHidden/>
          </w:rPr>
          <w:instrText xml:space="preserve"> PAGEREF _Toc494044218 \h </w:instrText>
        </w:r>
        <w:r w:rsidR="003F53A5" w:rsidRPr="003F53A5">
          <w:rPr>
            <w:webHidden/>
          </w:rPr>
        </w:r>
        <w:r w:rsidR="003F53A5" w:rsidRPr="003F53A5">
          <w:rPr>
            <w:webHidden/>
          </w:rPr>
          <w:fldChar w:fldCharType="separate"/>
        </w:r>
        <w:r w:rsidR="003F53A5" w:rsidRPr="003F53A5">
          <w:rPr>
            <w:webHidden/>
          </w:rPr>
          <w:t>8</w:t>
        </w:r>
        <w:r w:rsidR="003F53A5" w:rsidRPr="003F53A5">
          <w:rPr>
            <w:webHidden/>
          </w:rPr>
          <w:fldChar w:fldCharType="end"/>
        </w:r>
      </w:hyperlink>
    </w:p>
    <w:p w:rsidR="003F53A5" w:rsidRPr="003F53A5" w:rsidRDefault="00213B77" w:rsidP="003F53A5">
      <w:pPr>
        <w:pStyle w:val="12"/>
        <w:rPr>
          <w:sz w:val="21"/>
          <w:szCs w:val="22"/>
        </w:rPr>
      </w:pPr>
      <w:hyperlink w:anchor="_Toc494044219" w:history="1">
        <w:r w:rsidR="003F53A5" w:rsidRPr="003F53A5">
          <w:rPr>
            <w:rStyle w:val="ae"/>
            <w:rFonts w:ascii="Times New Roman" w:eastAsia="楷体_GB2312" w:hAnsi="Times New Roman"/>
            <w:bCs/>
            <w:kern w:val="0"/>
          </w:rPr>
          <w:t>3.</w:t>
        </w:r>
        <w:r w:rsidR="003F53A5" w:rsidRPr="003F53A5">
          <w:rPr>
            <w:sz w:val="21"/>
            <w:szCs w:val="22"/>
          </w:rPr>
          <w:tab/>
        </w:r>
        <w:r w:rsidR="003F53A5" w:rsidRPr="003F53A5">
          <w:rPr>
            <w:rStyle w:val="ae"/>
            <w:rFonts w:ascii="Times New Roman" w:eastAsia="楷体_GB2312" w:hAnsi="Times New Roman"/>
            <w:bCs/>
            <w:kern w:val="0"/>
          </w:rPr>
          <w:t>风险提示：</w:t>
        </w:r>
        <w:r w:rsidR="003F53A5" w:rsidRPr="003F53A5">
          <w:rPr>
            <w:webHidden/>
          </w:rPr>
          <w:tab/>
        </w:r>
        <w:r w:rsidR="003F53A5" w:rsidRPr="003F53A5">
          <w:rPr>
            <w:webHidden/>
          </w:rPr>
          <w:fldChar w:fldCharType="begin"/>
        </w:r>
        <w:r w:rsidR="003F53A5" w:rsidRPr="003F53A5">
          <w:rPr>
            <w:webHidden/>
          </w:rPr>
          <w:instrText xml:space="preserve"> PAGEREF _Toc494044219 \h </w:instrText>
        </w:r>
        <w:r w:rsidR="003F53A5" w:rsidRPr="003F53A5">
          <w:rPr>
            <w:webHidden/>
          </w:rPr>
        </w:r>
        <w:r w:rsidR="003F53A5" w:rsidRPr="003F53A5">
          <w:rPr>
            <w:webHidden/>
          </w:rPr>
          <w:fldChar w:fldCharType="separate"/>
        </w:r>
        <w:r w:rsidR="003F53A5" w:rsidRPr="003F53A5">
          <w:rPr>
            <w:webHidden/>
          </w:rPr>
          <w:t>10</w:t>
        </w:r>
        <w:r w:rsidR="003F53A5" w:rsidRPr="003F53A5">
          <w:rPr>
            <w:webHidden/>
          </w:rPr>
          <w:fldChar w:fldCharType="end"/>
        </w:r>
      </w:hyperlink>
    </w:p>
    <w:p w:rsidR="0074608A" w:rsidRPr="00463EF9" w:rsidRDefault="00425352" w:rsidP="003F53A5">
      <w:pPr>
        <w:jc w:val="left"/>
        <w:rPr>
          <w:rFonts w:ascii="Times New Roman" w:hAnsi="Times New Roman" w:cs="宋体"/>
          <w:kern w:val="0"/>
          <w:sz w:val="24"/>
          <w:szCs w:val="24"/>
        </w:rPr>
      </w:pPr>
      <w:r w:rsidRPr="003F53A5">
        <w:rPr>
          <w:rFonts w:ascii="Times New Roman" w:eastAsia="楷体_GB2312" w:hAnsi="Times New Roman"/>
        </w:rPr>
        <w:fldChar w:fldCharType="end"/>
      </w:r>
    </w:p>
    <w:p w:rsidR="00467F6E" w:rsidRPr="00463EF9" w:rsidRDefault="00467F6E" w:rsidP="0074608A">
      <w:pPr>
        <w:adjustRightInd w:val="0"/>
        <w:snapToGrid w:val="0"/>
        <w:spacing w:line="288" w:lineRule="auto"/>
        <w:rPr>
          <w:rFonts w:ascii="Times New Roman" w:eastAsia="楷体_GB2312" w:hAnsi="Times New Roman"/>
        </w:rPr>
      </w:pPr>
    </w:p>
    <w:p w:rsidR="001922BE" w:rsidRPr="00463EF9" w:rsidRDefault="00467F6E" w:rsidP="001922BE">
      <w:pPr>
        <w:rPr>
          <w:rFonts w:ascii="Times New Roman" w:eastAsia="楷体_GB2312" w:hAnsi="Times New Roman"/>
        </w:rPr>
      </w:pPr>
      <w:r w:rsidRPr="00463EF9">
        <w:rPr>
          <w:rFonts w:ascii="Times New Roman" w:eastAsia="楷体_GB2312" w:hAnsi="Times New Roman"/>
        </w:rPr>
        <w:br w:type="page"/>
      </w:r>
    </w:p>
    <w:p w:rsidR="00425352" w:rsidRPr="00463EF9" w:rsidRDefault="00425352" w:rsidP="001C4DC9">
      <w:pPr>
        <w:pStyle w:val="TOC"/>
        <w:jc w:val="center"/>
        <w:rPr>
          <w:rFonts w:ascii="Times New Roman" w:eastAsia="楷体_GB2312" w:hAnsi="Times New Roman"/>
        </w:rPr>
      </w:pPr>
      <w:r w:rsidRPr="00463EF9">
        <w:rPr>
          <w:rFonts w:ascii="Times New Roman" w:eastAsia="楷体_GB2312" w:hAnsi="Times New Roman" w:hint="eastAsia"/>
        </w:rPr>
        <w:lastRenderedPageBreak/>
        <w:t>图表目录</w:t>
      </w:r>
    </w:p>
    <w:p w:rsidR="00445CDF" w:rsidRPr="00445CDF" w:rsidRDefault="00425352">
      <w:pPr>
        <w:pStyle w:val="af"/>
        <w:tabs>
          <w:tab w:val="right" w:leader="dot" w:pos="9244"/>
        </w:tabs>
        <w:rPr>
          <w:rFonts w:ascii="Times New Roman" w:eastAsiaTheme="minorEastAsia" w:hAnsi="Times New Roman"/>
          <w:noProof/>
        </w:rPr>
      </w:pPr>
      <w:r w:rsidRPr="00463EF9">
        <w:rPr>
          <w:rFonts w:ascii="Times New Roman" w:eastAsia="楷体_GB2312" w:hAnsi="Times New Roman"/>
        </w:rPr>
        <w:fldChar w:fldCharType="begin"/>
      </w:r>
      <w:r w:rsidRPr="00463EF9">
        <w:rPr>
          <w:rFonts w:ascii="Times New Roman" w:eastAsia="楷体_GB2312" w:hAnsi="Times New Roman"/>
        </w:rPr>
        <w:instrText xml:space="preserve"> TOC \h \z \c "</w:instrText>
      </w:r>
      <w:r w:rsidRPr="00463EF9">
        <w:rPr>
          <w:rFonts w:ascii="Times New Roman" w:eastAsia="楷体_GB2312" w:hAnsi="Times New Roman"/>
        </w:rPr>
        <w:instrText>图表</w:instrText>
      </w:r>
      <w:r w:rsidRPr="00463EF9">
        <w:rPr>
          <w:rFonts w:ascii="Times New Roman" w:eastAsia="楷体_GB2312" w:hAnsi="Times New Roman"/>
        </w:rPr>
        <w:instrText xml:space="preserve">" </w:instrText>
      </w:r>
      <w:r w:rsidRPr="00463EF9">
        <w:rPr>
          <w:rFonts w:ascii="Times New Roman" w:eastAsia="楷体_GB2312" w:hAnsi="Times New Roman"/>
        </w:rPr>
        <w:fldChar w:fldCharType="separate"/>
      </w:r>
      <w:hyperlink w:anchor="_Toc494044058"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1</w:t>
        </w:r>
        <w:r w:rsidR="00445CDF" w:rsidRPr="00445CDF">
          <w:rPr>
            <w:rStyle w:val="ae"/>
            <w:rFonts w:ascii="Times New Roman" w:eastAsia="楷体_GB2312" w:hAnsi="Times New Roman"/>
            <w:b/>
            <w:noProof/>
          </w:rPr>
          <w:t>：理财业务监管内容对比</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_Toc494044058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3</w:t>
        </w:r>
        <w:r w:rsidR="00445CDF" w:rsidRPr="00445CDF">
          <w:rPr>
            <w:rFonts w:ascii="Times New Roman" w:hAnsi="Times New Roman"/>
            <w:noProof/>
            <w:webHidden/>
          </w:rPr>
          <w:fldChar w:fldCharType="end"/>
        </w:r>
      </w:hyperlink>
    </w:p>
    <w:p w:rsidR="00445CDF" w:rsidRPr="00445CDF" w:rsidRDefault="00213B77">
      <w:pPr>
        <w:pStyle w:val="af"/>
        <w:tabs>
          <w:tab w:val="right" w:leader="dot" w:pos="9244"/>
        </w:tabs>
        <w:rPr>
          <w:rFonts w:ascii="Times New Roman" w:eastAsiaTheme="minorEastAsia" w:hAnsi="Times New Roman"/>
          <w:noProof/>
        </w:rPr>
      </w:pPr>
      <w:hyperlink w:anchor="_Toc494044059"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2</w:t>
        </w:r>
        <w:r w:rsidR="00445CDF" w:rsidRPr="00445CDF">
          <w:rPr>
            <w:rStyle w:val="ae"/>
            <w:rFonts w:ascii="Times New Roman" w:eastAsia="楷体_GB2312" w:hAnsi="Times New Roman"/>
            <w:b/>
            <w:noProof/>
          </w:rPr>
          <w:t>：同业业务监管内容对比</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_Toc494044059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4</w:t>
        </w:r>
        <w:r w:rsidR="00445CDF" w:rsidRPr="00445CDF">
          <w:rPr>
            <w:rFonts w:ascii="Times New Roman" w:hAnsi="Times New Roman"/>
            <w:noProof/>
            <w:webHidden/>
          </w:rPr>
          <w:fldChar w:fldCharType="end"/>
        </w:r>
      </w:hyperlink>
    </w:p>
    <w:p w:rsidR="00445CDF" w:rsidRPr="00445CDF" w:rsidRDefault="00213B77">
      <w:pPr>
        <w:pStyle w:val="af"/>
        <w:tabs>
          <w:tab w:val="right" w:leader="dot" w:pos="9244"/>
        </w:tabs>
        <w:rPr>
          <w:rFonts w:ascii="Times New Roman" w:eastAsiaTheme="minorEastAsia" w:hAnsi="Times New Roman"/>
          <w:noProof/>
        </w:rPr>
      </w:pPr>
      <w:hyperlink w:anchor="_Toc494044060"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3</w:t>
        </w:r>
        <w:r w:rsidR="00445CDF" w:rsidRPr="00445CDF">
          <w:rPr>
            <w:rStyle w:val="ae"/>
            <w:rFonts w:ascii="Times New Roman" w:eastAsia="楷体_GB2312" w:hAnsi="Times New Roman"/>
            <w:b/>
            <w:noProof/>
          </w:rPr>
          <w:t>：</w:t>
        </w:r>
        <w:r w:rsidR="00445CDF" w:rsidRPr="00445CDF">
          <w:rPr>
            <w:rStyle w:val="ae"/>
            <w:rFonts w:ascii="Times New Roman" w:eastAsia="楷体_GB2312" w:hAnsi="Times New Roman"/>
            <w:b/>
            <w:noProof/>
          </w:rPr>
          <w:t>2017H</w:t>
        </w:r>
        <w:r w:rsidR="00445CDF" w:rsidRPr="00445CDF">
          <w:rPr>
            <w:rStyle w:val="ae"/>
            <w:rFonts w:ascii="Times New Roman" w:eastAsia="楷体_GB2312" w:hAnsi="Times New Roman"/>
            <w:b/>
            <w:noProof/>
          </w:rPr>
          <w:t>资产负债端规模变化（亿元）</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_Toc494044060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5</w:t>
        </w:r>
        <w:r w:rsidR="00445CDF" w:rsidRPr="00445CDF">
          <w:rPr>
            <w:rFonts w:ascii="Times New Roman" w:hAnsi="Times New Roman"/>
            <w:noProof/>
            <w:webHidden/>
          </w:rPr>
          <w:fldChar w:fldCharType="end"/>
        </w:r>
      </w:hyperlink>
    </w:p>
    <w:p w:rsidR="00445CDF" w:rsidRPr="00445CDF" w:rsidRDefault="00213B77">
      <w:pPr>
        <w:pStyle w:val="af"/>
        <w:tabs>
          <w:tab w:val="right" w:leader="dot" w:pos="9244"/>
        </w:tabs>
        <w:rPr>
          <w:rFonts w:ascii="Times New Roman" w:eastAsiaTheme="minorEastAsia" w:hAnsi="Times New Roman"/>
          <w:noProof/>
        </w:rPr>
      </w:pPr>
      <w:hyperlink w:anchor="_Toc494044061"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kern w:val="0"/>
          </w:rPr>
          <w:t>4</w:t>
        </w:r>
        <w:r w:rsidR="00445CDF" w:rsidRPr="00445CDF">
          <w:rPr>
            <w:rStyle w:val="ae"/>
            <w:rFonts w:ascii="Times New Roman" w:eastAsia="楷体_GB2312" w:hAnsi="Times New Roman"/>
            <w:b/>
            <w:noProof/>
          </w:rPr>
          <w:t>：银行近五年理财规模及同比增速情况</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_Toc494044061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6</w:t>
        </w:r>
        <w:r w:rsidR="00445CDF" w:rsidRPr="00445CDF">
          <w:rPr>
            <w:rFonts w:ascii="Times New Roman" w:hAnsi="Times New Roman"/>
            <w:noProof/>
            <w:webHidden/>
          </w:rPr>
          <w:fldChar w:fldCharType="end"/>
        </w:r>
      </w:hyperlink>
    </w:p>
    <w:p w:rsidR="00445CDF" w:rsidRPr="00445CDF" w:rsidRDefault="00213B77">
      <w:pPr>
        <w:pStyle w:val="af"/>
        <w:tabs>
          <w:tab w:val="right" w:leader="dot" w:pos="9244"/>
        </w:tabs>
        <w:rPr>
          <w:rFonts w:ascii="Times New Roman" w:eastAsiaTheme="minorEastAsia" w:hAnsi="Times New Roman"/>
          <w:noProof/>
        </w:rPr>
      </w:pPr>
      <w:hyperlink w:anchor="_Toc494044062"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5</w:t>
        </w:r>
        <w:r w:rsidR="00445CDF" w:rsidRPr="00445CDF">
          <w:rPr>
            <w:rStyle w:val="ae"/>
            <w:rFonts w:ascii="Times New Roman" w:eastAsia="楷体_GB2312" w:hAnsi="Times New Roman"/>
            <w:b/>
            <w:noProof/>
          </w:rPr>
          <w:t>：银监会</w:t>
        </w:r>
        <w:r w:rsidR="00445CDF" w:rsidRPr="00445CDF">
          <w:rPr>
            <w:rStyle w:val="ae"/>
            <w:rFonts w:ascii="Times New Roman" w:eastAsia="楷体_GB2312" w:hAnsi="Times New Roman"/>
            <w:b/>
            <w:bCs/>
            <w:noProof/>
          </w:rPr>
          <w:t>5</w:t>
        </w:r>
        <w:r w:rsidR="00445CDF" w:rsidRPr="00445CDF">
          <w:rPr>
            <w:rStyle w:val="ae"/>
            <w:rFonts w:ascii="Times New Roman" w:eastAsia="楷体_GB2312" w:hAnsi="Times New Roman"/>
            <w:b/>
            <w:bCs/>
            <w:noProof/>
          </w:rPr>
          <w:t>级贷款划分标准</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_Toc494044062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7</w:t>
        </w:r>
        <w:r w:rsidR="00445CDF" w:rsidRPr="00445CDF">
          <w:rPr>
            <w:rFonts w:ascii="Times New Roman" w:hAnsi="Times New Roman"/>
            <w:noProof/>
            <w:webHidden/>
          </w:rPr>
          <w:fldChar w:fldCharType="end"/>
        </w:r>
      </w:hyperlink>
    </w:p>
    <w:p w:rsidR="00445CDF" w:rsidRPr="00445CDF" w:rsidRDefault="00213B77">
      <w:pPr>
        <w:pStyle w:val="af"/>
        <w:tabs>
          <w:tab w:val="right" w:leader="dot" w:pos="9244"/>
        </w:tabs>
        <w:rPr>
          <w:rStyle w:val="ae"/>
          <w:rFonts w:ascii="Times New Roman" w:hAnsi="Times New Roman"/>
          <w:noProof/>
        </w:rPr>
      </w:pPr>
      <w:hyperlink w:anchor="_Toc494044063"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6</w:t>
        </w:r>
        <w:r w:rsidR="00445CDF" w:rsidRPr="00445CDF">
          <w:rPr>
            <w:rStyle w:val="ae"/>
            <w:rFonts w:ascii="Times New Roman" w:eastAsia="楷体_GB2312" w:hAnsi="Times New Roman"/>
            <w:b/>
            <w:noProof/>
          </w:rPr>
          <w:t>：</w:t>
        </w:r>
        <w:r w:rsidR="00445CDF" w:rsidRPr="00445CDF">
          <w:rPr>
            <w:rStyle w:val="ae"/>
            <w:rFonts w:ascii="Times New Roman" w:eastAsia="楷体_GB2312" w:hAnsi="Times New Roman"/>
            <w:b/>
            <w:noProof/>
          </w:rPr>
          <w:t>2017H</w:t>
        </w:r>
        <w:r w:rsidR="00445CDF" w:rsidRPr="00445CDF">
          <w:rPr>
            <w:rStyle w:val="ae"/>
            <w:rFonts w:ascii="Times New Roman" w:eastAsia="楷体_GB2312" w:hAnsi="Times New Roman"/>
            <w:b/>
            <w:noProof/>
          </w:rPr>
          <w:t>上市银行应收款项类投资中信贷类资产计提测算（单位：亿元）</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_Toc494044063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8</w:t>
        </w:r>
        <w:r w:rsidR="00445CDF" w:rsidRPr="00445CDF">
          <w:rPr>
            <w:rFonts w:ascii="Times New Roman" w:hAnsi="Times New Roman"/>
            <w:noProof/>
            <w:webHidden/>
          </w:rPr>
          <w:fldChar w:fldCharType="end"/>
        </w:r>
      </w:hyperlink>
    </w:p>
    <w:p w:rsidR="00445CDF" w:rsidRDefault="00445CDF">
      <w:pPr>
        <w:widowControl/>
        <w:jc w:val="left"/>
        <w:rPr>
          <w:rStyle w:val="ae"/>
          <w:noProof/>
        </w:rPr>
      </w:pPr>
    </w:p>
    <w:p w:rsidR="00445CDF" w:rsidRPr="003F53A5" w:rsidRDefault="00445CDF" w:rsidP="003F53A5">
      <w:pPr>
        <w:widowControl/>
        <w:jc w:val="left"/>
        <w:rPr>
          <w:noProof/>
          <w:color w:val="0000FF"/>
          <w:u w:val="single"/>
        </w:rPr>
      </w:pPr>
      <w:r>
        <w:rPr>
          <w:rStyle w:val="ae"/>
          <w:noProof/>
        </w:rPr>
        <w:br w:type="page"/>
      </w:r>
    </w:p>
    <w:p w:rsidR="006F7712" w:rsidRPr="00E54603" w:rsidRDefault="00425352" w:rsidP="006F7712">
      <w:pPr>
        <w:pStyle w:val="1"/>
        <w:rPr>
          <w:rFonts w:eastAsia="楷体_GB2312"/>
        </w:rPr>
      </w:pPr>
      <w:r w:rsidRPr="00463EF9">
        <w:lastRenderedPageBreak/>
        <w:fldChar w:fldCharType="end"/>
      </w:r>
      <w:bookmarkStart w:id="5" w:name="_Toc494044214"/>
      <w:bookmarkEnd w:id="1"/>
      <w:r w:rsidR="0073514C">
        <w:rPr>
          <w:rFonts w:eastAsia="楷体_GB2312" w:hint="eastAsia"/>
        </w:rPr>
        <w:t>上半年监管政策密集出台，金融去杠杆成效初显</w:t>
      </w:r>
      <w:bookmarkEnd w:id="5"/>
    </w:p>
    <w:p w:rsidR="00830849" w:rsidRDefault="000A7793" w:rsidP="008D1A88">
      <w:pPr>
        <w:pStyle w:val="2"/>
        <w:tabs>
          <w:tab w:val="clear" w:pos="-143"/>
          <w:tab w:val="num" w:pos="1701"/>
        </w:tabs>
        <w:ind w:left="1701" w:firstLine="0"/>
        <w:jc w:val="both"/>
        <w:rPr>
          <w:rFonts w:eastAsia="楷体_GB2312"/>
        </w:rPr>
      </w:pPr>
      <w:bookmarkStart w:id="6" w:name="_Toc494044215"/>
      <w:bookmarkEnd w:id="2"/>
      <w:r>
        <w:rPr>
          <w:rFonts w:eastAsia="楷体_GB2312" w:hint="eastAsia"/>
        </w:rPr>
        <w:t>银监会密集出台多项监管政策，重点关注同业业务和理财业务</w:t>
      </w:r>
      <w:bookmarkEnd w:id="6"/>
    </w:p>
    <w:p w:rsidR="002C6F73" w:rsidRPr="000A7793" w:rsidRDefault="00032CC6" w:rsidP="00937D03">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Cs/>
          <w:color w:val="000000"/>
        </w:rPr>
      </w:pPr>
      <w:r w:rsidRPr="00032CC6">
        <w:rPr>
          <w:rFonts w:ascii="Times New Roman" w:eastAsia="楷体_GB2312" w:hAnsi="Times New Roman" w:hint="eastAsia"/>
          <w:b/>
          <w:color w:val="000000"/>
          <w:szCs w:val="24"/>
        </w:rPr>
        <w:t>理财业务和同业业务为</w:t>
      </w:r>
      <w:r w:rsidR="00EA30ED">
        <w:rPr>
          <w:rFonts w:ascii="Times New Roman" w:eastAsia="楷体_GB2312" w:hAnsi="Times New Roman" w:hint="eastAsia"/>
          <w:b/>
          <w:color w:val="000000"/>
          <w:szCs w:val="24"/>
        </w:rPr>
        <w:t>本次</w:t>
      </w:r>
      <w:r w:rsidRPr="00032CC6">
        <w:rPr>
          <w:rFonts w:ascii="Times New Roman" w:eastAsia="楷体_GB2312" w:hAnsi="Times New Roman" w:hint="eastAsia"/>
          <w:b/>
          <w:color w:val="000000"/>
          <w:szCs w:val="24"/>
        </w:rPr>
        <w:t>金融去杠杆监管重点</w:t>
      </w:r>
      <w:r>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年初以来，监管政策密集出台，其中</w:t>
      </w:r>
      <w:r w:rsidR="000A7793" w:rsidRPr="000A7793">
        <w:rPr>
          <w:rFonts w:ascii="Times New Roman" w:eastAsia="楷体_GB2312" w:hAnsi="Times New Roman"/>
          <w:color w:val="000000"/>
          <w:szCs w:val="24"/>
        </w:rPr>
        <w:t>3</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w:t>
      </w:r>
      <w:r w:rsidR="000A7793" w:rsidRPr="000A7793">
        <w:rPr>
          <w:rFonts w:ascii="Times New Roman" w:eastAsia="楷体_GB2312" w:hAnsi="Times New Roman" w:hint="eastAsia"/>
          <w:color w:val="000000"/>
          <w:szCs w:val="24"/>
        </w:rPr>
        <w:t>月份银监会连续下发</w:t>
      </w:r>
      <w:r w:rsidR="000A7793" w:rsidRPr="000A7793">
        <w:rPr>
          <w:rFonts w:ascii="Times New Roman" w:eastAsia="楷体_GB2312" w:hAnsi="Times New Roman"/>
          <w:color w:val="000000"/>
          <w:szCs w:val="24"/>
        </w:rPr>
        <w:t>8</w:t>
      </w:r>
      <w:r w:rsidR="000A7793" w:rsidRPr="000A7793">
        <w:rPr>
          <w:rFonts w:ascii="Times New Roman" w:eastAsia="楷体_GB2312" w:hAnsi="Times New Roman" w:hint="eastAsia"/>
          <w:color w:val="000000"/>
          <w:szCs w:val="24"/>
        </w:rPr>
        <w:t>项文件，重点部署了</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三违反</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45</w:t>
      </w:r>
      <w:r w:rsidR="000A7793" w:rsidRPr="000A7793">
        <w:rPr>
          <w:rFonts w:ascii="Times New Roman" w:eastAsia="楷体_GB2312" w:hAnsi="Times New Roman" w:hint="eastAsia"/>
          <w:color w:val="000000"/>
          <w:szCs w:val="24"/>
        </w:rPr>
        <w:t>号文，指违反金融法律、违反监管规则、违反内部规章）、</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三套利</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46</w:t>
      </w:r>
      <w:r w:rsidR="000A7793" w:rsidRPr="000A7793">
        <w:rPr>
          <w:rFonts w:ascii="Times New Roman" w:eastAsia="楷体_GB2312" w:hAnsi="Times New Roman" w:hint="eastAsia"/>
          <w:color w:val="000000"/>
          <w:szCs w:val="24"/>
        </w:rPr>
        <w:t>号文，监管套利、空转套利、关联套利）、</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四不当</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53</w:t>
      </w:r>
      <w:r w:rsidR="000A7793" w:rsidRPr="000A7793">
        <w:rPr>
          <w:rFonts w:ascii="Times New Roman" w:eastAsia="楷体_GB2312" w:hAnsi="Times New Roman" w:hint="eastAsia"/>
          <w:color w:val="000000"/>
          <w:szCs w:val="24"/>
        </w:rPr>
        <w:t>号文，不当创新、不当交易、不当激励、不当收费）——“三三四”专项</w:t>
      </w:r>
      <w:r w:rsidR="000A7793">
        <w:rPr>
          <w:rFonts w:ascii="Times New Roman" w:eastAsia="楷体_GB2312" w:hAnsi="Times New Roman" w:hint="eastAsia"/>
          <w:color w:val="000000"/>
          <w:szCs w:val="24"/>
        </w:rPr>
        <w:t>治理工作，加强金融风险防控。</w:t>
      </w:r>
      <w:r w:rsidR="00857681" w:rsidRPr="00857681">
        <w:rPr>
          <w:rFonts w:ascii="Times New Roman" w:eastAsia="楷体_GB2312" w:hAnsi="Times New Roman" w:hint="eastAsia"/>
          <w:color w:val="000000"/>
          <w:szCs w:val="24"/>
        </w:rPr>
        <w:t>在</w:t>
      </w:r>
      <w:r w:rsidR="00857681">
        <w:rPr>
          <w:rFonts w:ascii="Times New Roman" w:eastAsia="楷体_GB2312" w:hAnsi="Times New Roman" w:hint="eastAsia"/>
          <w:color w:val="000000"/>
          <w:szCs w:val="24"/>
        </w:rPr>
        <w:t>前几年</w:t>
      </w:r>
      <w:r w:rsidR="00857681" w:rsidRPr="00857681">
        <w:rPr>
          <w:rFonts w:ascii="Times New Roman" w:eastAsia="楷体_GB2312" w:hAnsi="Times New Roman" w:hint="eastAsia"/>
          <w:color w:val="000000"/>
          <w:szCs w:val="24"/>
        </w:rPr>
        <w:t>宽松的货币环境下，银行理财</w:t>
      </w:r>
      <w:r w:rsidR="00857681">
        <w:rPr>
          <w:rFonts w:ascii="Times New Roman" w:eastAsia="楷体_GB2312" w:hAnsi="Times New Roman" w:hint="eastAsia"/>
          <w:color w:val="000000"/>
          <w:szCs w:val="24"/>
        </w:rPr>
        <w:t>和同业</w:t>
      </w:r>
      <w:r w:rsidR="00857681" w:rsidRPr="00857681">
        <w:rPr>
          <w:rFonts w:ascii="Times New Roman" w:eastAsia="楷体_GB2312" w:hAnsi="Times New Roman" w:hint="eastAsia"/>
          <w:color w:val="000000"/>
          <w:szCs w:val="24"/>
        </w:rPr>
        <w:t>业务快速扩张，通过委外降信用、加杠杆等套利行为开始出现。同时，多层嵌套、资金链条过长、脱实向虚愈发严重，银行体系风险逐步积累。</w:t>
      </w:r>
      <w:r w:rsidR="00A24C4F">
        <w:rPr>
          <w:rFonts w:ascii="Times New Roman" w:eastAsia="楷体_GB2312" w:hAnsi="Times New Roman" w:hint="eastAsia"/>
          <w:color w:val="000000"/>
          <w:szCs w:val="24"/>
        </w:rPr>
        <w:t>本次金融去杠杆</w:t>
      </w:r>
      <w:r w:rsidR="000A7793">
        <w:rPr>
          <w:rFonts w:ascii="Times New Roman" w:eastAsia="楷体_GB2312" w:hAnsi="Times New Roman" w:hint="eastAsia"/>
          <w:color w:val="000000"/>
          <w:szCs w:val="24"/>
        </w:rPr>
        <w:t>监管重点</w:t>
      </w:r>
      <w:r>
        <w:rPr>
          <w:rFonts w:ascii="Times New Roman" w:eastAsia="楷体_GB2312" w:hAnsi="Times New Roman" w:hint="eastAsia"/>
          <w:color w:val="000000"/>
          <w:szCs w:val="24"/>
        </w:rPr>
        <w:t>也</w:t>
      </w:r>
      <w:r w:rsidR="000A7793">
        <w:rPr>
          <w:rFonts w:ascii="Times New Roman" w:eastAsia="楷体_GB2312" w:hAnsi="Times New Roman" w:hint="eastAsia"/>
          <w:color w:val="000000"/>
          <w:szCs w:val="24"/>
        </w:rPr>
        <w:t>集中在理财、同业等业务</w:t>
      </w:r>
      <w:r w:rsidR="00EA30ED">
        <w:rPr>
          <w:rFonts w:ascii="Times New Roman" w:eastAsia="楷体_GB2312" w:hAnsi="Times New Roman" w:hint="eastAsia"/>
          <w:color w:val="000000"/>
          <w:szCs w:val="24"/>
        </w:rPr>
        <w:t>，旨在防范金融风险。</w:t>
      </w:r>
    </w:p>
    <w:p w:rsidR="00857681" w:rsidRPr="00857681" w:rsidRDefault="00032CC6" w:rsidP="00EA30ED">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color w:val="000000"/>
        </w:rPr>
      </w:pPr>
      <w:r w:rsidRPr="00032CC6">
        <w:rPr>
          <w:rFonts w:ascii="Times New Roman" w:eastAsia="楷体_GB2312" w:hAnsi="Times New Roman" w:hint="eastAsia"/>
          <w:b/>
          <w:color w:val="000000"/>
        </w:rPr>
        <w:t>监管细则覆盖面全，市场预期充分</w:t>
      </w:r>
      <w:r>
        <w:rPr>
          <w:rFonts w:ascii="Times New Roman" w:eastAsia="楷体_GB2312" w:hAnsi="Times New Roman" w:hint="eastAsia"/>
          <w:color w:val="000000"/>
        </w:rPr>
        <w:t>。</w:t>
      </w:r>
      <w:r w:rsidRPr="00032CC6">
        <w:rPr>
          <w:rFonts w:ascii="Times New Roman" w:eastAsia="楷体_GB2312" w:hAnsi="Times New Roman" w:hint="eastAsia"/>
          <w:color w:val="000000"/>
        </w:rPr>
        <w:t>本次监管政策的主要内容更多地是对过往政策的补充、细化和完善，并无新规。例如，“三套利、四不当”中对于理财资金投资非标资产上限的规定在</w:t>
      </w:r>
      <w:r w:rsidRPr="00032CC6">
        <w:rPr>
          <w:rFonts w:ascii="Times New Roman" w:eastAsia="楷体_GB2312" w:hAnsi="Times New Roman"/>
          <w:color w:val="000000"/>
        </w:rPr>
        <w:t>2016</w:t>
      </w:r>
      <w:r w:rsidRPr="00032CC6">
        <w:rPr>
          <w:rFonts w:ascii="Times New Roman" w:eastAsia="楷体_GB2312" w:hAnsi="Times New Roman" w:hint="eastAsia"/>
          <w:color w:val="000000"/>
        </w:rPr>
        <w:t>年《商业银行理财业务监督管理办法（征求意见稿）》中已有提及；对同业业务的相关规定实质上是对</w:t>
      </w:r>
      <w:r w:rsidRPr="00032CC6">
        <w:rPr>
          <w:rFonts w:ascii="Times New Roman" w:eastAsia="楷体_GB2312" w:hAnsi="Times New Roman"/>
          <w:color w:val="000000"/>
        </w:rPr>
        <w:t>2014</w:t>
      </w:r>
      <w:r w:rsidRPr="00032CC6">
        <w:rPr>
          <w:rFonts w:ascii="Times New Roman" w:eastAsia="楷体_GB2312" w:hAnsi="Times New Roman" w:hint="eastAsia"/>
          <w:color w:val="000000"/>
        </w:rPr>
        <w:t>年《关于规范金融机构同业业务的通知》内容的深化与归纳，政策内容并非新规定。</w:t>
      </w:r>
    </w:p>
    <w:tbl>
      <w:tblPr>
        <w:tblW w:w="11058" w:type="dxa"/>
        <w:tblInd w:w="-426"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58"/>
      </w:tblGrid>
      <w:tr w:rsidR="002C6F73" w:rsidRPr="00750071" w:rsidTr="00857681">
        <w:tc>
          <w:tcPr>
            <w:tcW w:w="11058" w:type="dxa"/>
            <w:tcBorders>
              <w:top w:val="nil"/>
              <w:bottom w:val="single" w:sz="8" w:space="0" w:color="000000"/>
            </w:tcBorders>
          </w:tcPr>
          <w:p w:rsidR="002C6F73" w:rsidRPr="00C13463" w:rsidRDefault="002C6F73" w:rsidP="00E54603">
            <w:pPr>
              <w:pStyle w:val="ab"/>
              <w:ind w:leftChars="16" w:left="34" w:rightChars="15" w:right="31"/>
              <w:jc w:val="left"/>
              <w:rPr>
                <w:rFonts w:ascii="Times New Roman" w:eastAsia="楷体_GB2312" w:hAnsi="Times New Roman"/>
                <w:sz w:val="21"/>
                <w:szCs w:val="21"/>
              </w:rPr>
            </w:pPr>
            <w:bookmarkStart w:id="7" w:name="_Toc486750423"/>
            <w:bookmarkStart w:id="8" w:name="_Toc494044058"/>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064552">
              <w:rPr>
                <w:rFonts w:ascii="Times New Roman" w:eastAsia="楷体_GB2312" w:hAnsi="Times New Roman" w:cs="Times New Roman"/>
                <w:b/>
                <w:noProof/>
                <w:color w:val="17365D"/>
                <w:sz w:val="21"/>
                <w:szCs w:val="21"/>
              </w:rPr>
              <w:t>1</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bookmarkEnd w:id="7"/>
            <w:r w:rsidR="00857681" w:rsidRPr="00857681">
              <w:rPr>
                <w:rFonts w:ascii="Times New Roman" w:eastAsia="楷体_GB2312" w:hAnsi="Times New Roman" w:hint="eastAsia"/>
                <w:b/>
                <w:color w:val="17365D"/>
                <w:sz w:val="21"/>
                <w:szCs w:val="21"/>
              </w:rPr>
              <w:t>理财业务监管内容对比</w:t>
            </w:r>
            <w:bookmarkEnd w:id="8"/>
          </w:p>
        </w:tc>
      </w:tr>
      <w:tr w:rsidR="002C6F73" w:rsidRPr="00520DC6" w:rsidTr="00857681">
        <w:trPr>
          <w:trHeight w:val="264"/>
        </w:trPr>
        <w:tc>
          <w:tcPr>
            <w:tcW w:w="11058" w:type="dxa"/>
            <w:tcBorders>
              <w:top w:val="single" w:sz="8" w:space="0" w:color="000000"/>
              <w:bottom w:val="single" w:sz="4" w:space="0" w:color="auto"/>
            </w:tcBorders>
          </w:tcPr>
          <w:tbl>
            <w:tblPr>
              <w:tblStyle w:val="aa"/>
              <w:tblW w:w="11091"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69"/>
              <w:gridCol w:w="4111"/>
              <w:gridCol w:w="5811"/>
            </w:tblGrid>
            <w:tr w:rsidR="000A7793" w:rsidRPr="00F73BD3" w:rsidTr="00857681">
              <w:tc>
                <w:tcPr>
                  <w:tcW w:w="1169"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监管内容</w:t>
                  </w:r>
                </w:p>
              </w:tc>
              <w:tc>
                <w:tcPr>
                  <w:tcW w:w="4111"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16</w:t>
                  </w:r>
                  <w:r w:rsidRPr="00040C20">
                    <w:rPr>
                      <w:rFonts w:ascii="Times New Roman" w:eastAsia="楷体_GB2312" w:hAnsi="Times New Roman" w:hint="eastAsia"/>
                      <w:b/>
                      <w:bCs/>
                      <w:color w:val="FFFFFF" w:themeColor="background1"/>
                      <w:kern w:val="0"/>
                      <w:szCs w:val="21"/>
                    </w:rPr>
                    <w:t>年《商业银行理财业务监督管理办法》</w:t>
                  </w:r>
                </w:p>
              </w:tc>
              <w:tc>
                <w:tcPr>
                  <w:tcW w:w="5811"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17</w:t>
                  </w:r>
                  <w:r w:rsidRPr="00040C20">
                    <w:rPr>
                      <w:rFonts w:ascii="Times New Roman" w:eastAsia="楷体_GB2312" w:hAnsi="Times New Roman" w:hint="eastAsia"/>
                      <w:b/>
                      <w:bCs/>
                      <w:color w:val="FFFFFF" w:themeColor="background1"/>
                      <w:kern w:val="0"/>
                      <w:szCs w:val="21"/>
                    </w:rPr>
                    <w:t>年以来的监管文件相关内容</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投资范围</w:t>
                  </w:r>
                </w:p>
              </w:tc>
              <w:tc>
                <w:tcPr>
                  <w:tcW w:w="41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1.</w:t>
                  </w:r>
                  <w:r w:rsidRPr="00F73BD3">
                    <w:rPr>
                      <w:rFonts w:ascii="Times New Roman" w:eastAsia="楷体_GB2312" w:hAnsi="Times New Roman" w:hint="eastAsia"/>
                      <w:b/>
                      <w:bCs/>
                      <w:kern w:val="0"/>
                      <w:szCs w:val="21"/>
                    </w:rPr>
                    <w:t>禁止投资：</w:t>
                  </w:r>
                  <w:r w:rsidRPr="00CE4395">
                    <w:rPr>
                      <w:rFonts w:ascii="Times New Roman" w:eastAsia="楷体_GB2312" w:hAnsi="Times New Roman" w:hint="eastAsia"/>
                      <w:bCs/>
                      <w:kern w:val="0"/>
                      <w:szCs w:val="21"/>
                    </w:rPr>
                    <w:t>不得直接或间接投资于本行信贷资产及其受（收）益权、本行发行的理财产品。</w:t>
                  </w:r>
                </w:p>
                <w:p w:rsidR="000A7793" w:rsidRPr="00CE4395"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2.</w:t>
                  </w:r>
                  <w:r w:rsidRPr="00F73BD3">
                    <w:rPr>
                      <w:rFonts w:ascii="Times New Roman" w:eastAsia="楷体_GB2312" w:hAnsi="Times New Roman" w:hint="eastAsia"/>
                      <w:b/>
                      <w:bCs/>
                      <w:kern w:val="0"/>
                      <w:szCs w:val="21"/>
                    </w:rPr>
                    <w:t>限制性投资</w:t>
                  </w:r>
                  <w:r w:rsidRPr="00CE4395">
                    <w:rPr>
                      <w:rFonts w:ascii="Times New Roman" w:eastAsia="楷体_GB2312" w:hAnsi="Times New Roman" w:hint="eastAsia"/>
                      <w:bCs/>
                      <w:kern w:val="0"/>
                      <w:szCs w:val="21"/>
                    </w:rPr>
                    <w:t>：不得直接或间接投资于除货币市场基金和债券型基金之外的证券投资基金、境内上市公司公开或非公开发行或</w:t>
                  </w:r>
                  <w:r>
                    <w:rPr>
                      <w:rFonts w:ascii="Times New Roman" w:eastAsia="楷体_GB2312" w:hAnsi="Times New Roman" w:hint="eastAsia"/>
                      <w:bCs/>
                      <w:kern w:val="0"/>
                      <w:szCs w:val="21"/>
                    </w:rPr>
                    <w:t>交易的股票及其受（收）益权、以及非上市企业股权及其受（收）益权。</w:t>
                  </w:r>
                  <w:r w:rsidRPr="00CE4395">
                    <w:rPr>
                      <w:rFonts w:ascii="Times New Roman" w:eastAsia="楷体_GB2312" w:hAnsi="Times New Roman" w:hint="eastAsia"/>
                      <w:bCs/>
                      <w:kern w:val="0"/>
                      <w:szCs w:val="21"/>
                    </w:rPr>
                    <w:t xml:space="preserve"> </w:t>
                  </w:r>
                </w:p>
                <w:p w:rsidR="000A7793" w:rsidRPr="00CE4395"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3.</w:t>
                  </w:r>
                  <w:r w:rsidRPr="00F73BD3">
                    <w:rPr>
                      <w:rFonts w:ascii="Times New Roman" w:eastAsia="楷体_GB2312" w:hAnsi="Times New Roman" w:hint="eastAsia"/>
                      <w:b/>
                      <w:bCs/>
                      <w:kern w:val="0"/>
                      <w:szCs w:val="21"/>
                    </w:rPr>
                    <w:t>特定目的载体投资要求</w:t>
                  </w:r>
                  <w:r w:rsidRPr="00CE4395">
                    <w:rPr>
                      <w:rFonts w:ascii="Times New Roman" w:eastAsia="楷体_GB2312" w:hAnsi="Times New Roman" w:hint="eastAsia"/>
                      <w:bCs/>
                      <w:kern w:val="0"/>
                      <w:szCs w:val="21"/>
                    </w:rPr>
                    <w:t>：所投资的特定目的载体不得直接或间接投资于非标准化债权资产。</w:t>
                  </w:r>
                </w:p>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4.</w:t>
                  </w:r>
                  <w:r w:rsidRPr="00F73BD3">
                    <w:rPr>
                      <w:rFonts w:ascii="Times New Roman" w:eastAsia="楷体_GB2312" w:hAnsi="Times New Roman" w:hint="eastAsia"/>
                      <w:b/>
                      <w:bCs/>
                      <w:kern w:val="0"/>
                      <w:szCs w:val="21"/>
                    </w:rPr>
                    <w:t>禁止期限错配：</w:t>
                  </w:r>
                  <w:r w:rsidRPr="00CE4395">
                    <w:rPr>
                      <w:rFonts w:ascii="Times New Roman" w:eastAsia="楷体_GB2312" w:hAnsi="Times New Roman" w:hint="eastAsia"/>
                      <w:bCs/>
                      <w:kern w:val="0"/>
                      <w:szCs w:val="21"/>
                    </w:rPr>
                    <w:t>商业银行理财产品投资于非标准化债权资产、非上市企业股权及其（受）收益权的，其到期日不得晚于理财产品的到期日。</w:t>
                  </w:r>
                </w:p>
              </w:tc>
              <w:tc>
                <w:tcPr>
                  <w:tcW w:w="5811" w:type="dxa"/>
                </w:tcPr>
                <w:p w:rsidR="000A7793" w:rsidRPr="00F73BD3" w:rsidRDefault="000A7793" w:rsidP="000A7793">
                  <w:pPr>
                    <w:rPr>
                      <w:rFonts w:ascii="Times New Roman" w:eastAsia="楷体_GB2312" w:hAnsi="Times New Roman"/>
                      <w:b/>
                      <w:bCs/>
                      <w:kern w:val="0"/>
                      <w:szCs w:val="21"/>
                    </w:rPr>
                  </w:pPr>
                  <w:r w:rsidRPr="00F73BD3">
                    <w:rPr>
                      <w:rFonts w:ascii="Times New Roman" w:eastAsia="楷体_GB2312" w:hAnsi="Times New Roman" w:hint="eastAsia"/>
                      <w:b/>
                      <w:bCs/>
                      <w:kern w:val="0"/>
                      <w:szCs w:val="21"/>
                    </w:rPr>
                    <w:t>“三套利”：</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1.</w:t>
                  </w:r>
                  <w:r w:rsidRPr="00CE4395">
                    <w:rPr>
                      <w:rFonts w:ascii="Times New Roman" w:eastAsia="楷体_GB2312" w:hAnsi="Times New Roman" w:hint="eastAsia"/>
                      <w:bCs/>
                      <w:kern w:val="0"/>
                      <w:szCs w:val="21"/>
                    </w:rPr>
                    <w:t>是否存在理财资金投资非标债权资产总额超过规定上限的情况；</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2.</w:t>
                  </w:r>
                  <w:r w:rsidRPr="00CE4395">
                    <w:rPr>
                      <w:rFonts w:ascii="Times New Roman" w:eastAsia="楷体_GB2312" w:hAnsi="Times New Roman" w:hint="eastAsia"/>
                      <w:bCs/>
                      <w:kern w:val="0"/>
                      <w:szCs w:val="21"/>
                    </w:rPr>
                    <w:t>是否通过同业业务和理财业务或拆分为小额贷款等方式，向房地产和“两高一剩”等行业领域提供融资；</w:t>
                  </w:r>
                </w:p>
                <w:p w:rsidR="000A7793"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3.</w:t>
                  </w:r>
                  <w:r w:rsidRPr="00CE4395">
                    <w:rPr>
                      <w:rFonts w:ascii="Times New Roman" w:eastAsia="楷体_GB2312" w:hAnsi="Times New Roman" w:hint="eastAsia"/>
                      <w:bCs/>
                      <w:kern w:val="0"/>
                      <w:szCs w:val="21"/>
                    </w:rPr>
                    <w:t>是否通过同业非标投资、理财投资等方式，继续对“僵尸企业”以及环保排放不达标、严重污染环境且整改无望的落后企业提供授信；</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4.</w:t>
                  </w:r>
                  <w:r w:rsidRPr="00CE4395">
                    <w:rPr>
                      <w:rFonts w:ascii="Times New Roman" w:eastAsia="楷体_GB2312" w:hAnsi="Times New Roman" w:hint="eastAsia"/>
                      <w:bCs/>
                      <w:kern w:val="0"/>
                      <w:szCs w:val="21"/>
                    </w:rPr>
                    <w:t>是否存在借助跨业合作通道，通过信托、券商等“通道”模式，运用理财资金投资票据资产的行为；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5.</w:t>
                  </w:r>
                  <w:r w:rsidRPr="00CE4395">
                    <w:rPr>
                      <w:rFonts w:ascii="Times New Roman" w:eastAsia="楷体_GB2312" w:hAnsi="Times New Roman" w:hint="eastAsia"/>
                      <w:bCs/>
                      <w:kern w:val="0"/>
                      <w:szCs w:val="21"/>
                    </w:rPr>
                    <w:t>是否存在以理财资金购买理财产品的现象；</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6.</w:t>
                  </w:r>
                  <w:r w:rsidRPr="00CE4395">
                    <w:rPr>
                      <w:rFonts w:ascii="Times New Roman" w:eastAsia="楷体_GB2312" w:hAnsi="Times New Roman" w:hint="eastAsia"/>
                      <w:bCs/>
                      <w:kern w:val="0"/>
                      <w:szCs w:val="21"/>
                    </w:rPr>
                    <w:t>是否存在利用同业理财购买本行同业存单现象。</w:t>
                  </w:r>
                </w:p>
                <w:p w:rsidR="000A7793" w:rsidRPr="00F73BD3" w:rsidRDefault="000A7793" w:rsidP="000A7793">
                  <w:pPr>
                    <w:rPr>
                      <w:rFonts w:ascii="Times New Roman" w:eastAsia="楷体_GB2312" w:hAnsi="Times New Roman"/>
                      <w:b/>
                      <w:bCs/>
                      <w:kern w:val="0"/>
                      <w:szCs w:val="21"/>
                    </w:rPr>
                  </w:pPr>
                  <w:r w:rsidRPr="00F73BD3">
                    <w:rPr>
                      <w:rFonts w:ascii="Times New Roman" w:eastAsia="楷体_GB2312" w:hAnsi="Times New Roman" w:hint="eastAsia"/>
                      <w:b/>
                      <w:bCs/>
                      <w:kern w:val="0"/>
                      <w:szCs w:val="21"/>
                    </w:rPr>
                    <w:t>“四不当”：</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1.</w:t>
                  </w:r>
                  <w:r w:rsidRPr="00CE4395">
                    <w:rPr>
                      <w:rFonts w:ascii="Times New Roman" w:eastAsia="楷体_GB2312" w:hAnsi="Times New Roman" w:hint="eastAsia"/>
                      <w:bCs/>
                      <w:kern w:val="0"/>
                      <w:szCs w:val="21"/>
                    </w:rPr>
                    <w:t>是否存在理财产品直接投资信贷资产，直接或间接投资于本行信贷资产及其受（收）益权的行为；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2.</w:t>
                  </w:r>
                  <w:r w:rsidRPr="00CE4395">
                    <w:rPr>
                      <w:rFonts w:ascii="Times New Roman" w:eastAsia="楷体_GB2312" w:hAnsi="Times New Roman" w:hint="eastAsia"/>
                      <w:bCs/>
                      <w:kern w:val="0"/>
                      <w:szCs w:val="21"/>
                    </w:rPr>
                    <w:t>是否存在面向非机构客户发行的理财产品直接或间接投资于不良资产、不良资产支持证券的行为；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3.</w:t>
                  </w:r>
                  <w:r w:rsidRPr="00CE4395">
                    <w:rPr>
                      <w:rFonts w:ascii="Times New Roman" w:eastAsia="楷体_GB2312" w:hAnsi="Times New Roman" w:hint="eastAsia"/>
                      <w:bCs/>
                      <w:kern w:val="0"/>
                      <w:szCs w:val="21"/>
                    </w:rPr>
                    <w:t>是否存在面向一般个人客户销售的理财产品投资权益类资产的行为。</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规模限制</w:t>
                  </w:r>
                </w:p>
              </w:tc>
              <w:tc>
                <w:tcPr>
                  <w:tcW w:w="4111" w:type="dxa"/>
                </w:tcPr>
                <w:p w:rsidR="000A7793" w:rsidRDefault="000A7793" w:rsidP="000A7793">
                  <w:pPr>
                    <w:rPr>
                      <w:rFonts w:ascii="Times New Roman" w:eastAsia="楷体_GB2312" w:hAnsi="Times New Roman"/>
                      <w:bCs/>
                      <w:kern w:val="0"/>
                      <w:szCs w:val="21"/>
                    </w:rPr>
                  </w:pPr>
                  <w:r w:rsidRPr="00294C23">
                    <w:rPr>
                      <w:rFonts w:ascii="Times New Roman" w:eastAsia="楷体_GB2312" w:hAnsi="Times New Roman" w:hint="eastAsia"/>
                      <w:bCs/>
                      <w:kern w:val="0"/>
                      <w:szCs w:val="21"/>
                    </w:rPr>
                    <w:t>理财资金投资于非标准化债权资产的规模不得超过理财产品余额的</w:t>
                  </w:r>
                  <w:r w:rsidRPr="00294C23">
                    <w:rPr>
                      <w:rFonts w:ascii="Times New Roman" w:eastAsia="楷体_GB2312" w:hAnsi="Times New Roman" w:hint="eastAsia"/>
                      <w:bCs/>
                      <w:kern w:val="0"/>
                      <w:szCs w:val="21"/>
                    </w:rPr>
                    <w:t>35%</w:t>
                  </w:r>
                  <w:r w:rsidRPr="00294C23">
                    <w:rPr>
                      <w:rFonts w:ascii="Times New Roman" w:eastAsia="楷体_GB2312" w:hAnsi="Times New Roman" w:hint="eastAsia"/>
                      <w:bCs/>
                      <w:kern w:val="0"/>
                      <w:szCs w:val="21"/>
                    </w:rPr>
                    <w:t>或本行上一年度审计报告披露总资产的</w:t>
                  </w:r>
                  <w:r w:rsidRPr="00294C23">
                    <w:rPr>
                      <w:rFonts w:ascii="Times New Roman" w:eastAsia="楷体_GB2312" w:hAnsi="Times New Roman" w:hint="eastAsia"/>
                      <w:bCs/>
                      <w:kern w:val="0"/>
                      <w:szCs w:val="21"/>
                    </w:rPr>
                    <w:t>4%</w:t>
                  </w:r>
                </w:p>
              </w:tc>
              <w:tc>
                <w:tcPr>
                  <w:tcW w:w="58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“四不当”</w:t>
                  </w:r>
                  <w:r w:rsidRPr="00294C23">
                    <w:rPr>
                      <w:rFonts w:ascii="Times New Roman" w:eastAsia="楷体_GB2312" w:hAnsi="Times New Roman" w:hint="eastAsia"/>
                      <w:bCs/>
                      <w:kern w:val="0"/>
                      <w:szCs w:val="21"/>
                    </w:rPr>
                    <w:t>：是否准确统计理财资金非标准化债权资产的规模，以及该项资产余额在任何时点是否超过理财产品余额的</w:t>
                  </w:r>
                  <w:r w:rsidRPr="00294C23">
                    <w:rPr>
                      <w:rFonts w:ascii="Times New Roman" w:eastAsia="楷体_GB2312" w:hAnsi="Times New Roman" w:hint="eastAsia"/>
                      <w:bCs/>
                      <w:kern w:val="0"/>
                      <w:szCs w:val="21"/>
                    </w:rPr>
                    <w:t>35%</w:t>
                  </w:r>
                  <w:r w:rsidRPr="00294C23">
                    <w:rPr>
                      <w:rFonts w:ascii="Times New Roman" w:eastAsia="楷体_GB2312" w:hAnsi="Times New Roman" w:hint="eastAsia"/>
                      <w:bCs/>
                      <w:kern w:val="0"/>
                      <w:szCs w:val="21"/>
                    </w:rPr>
                    <w:t>或本行上一年度审计报告披露总资产的</w:t>
                  </w:r>
                  <w:r w:rsidRPr="00294C23">
                    <w:rPr>
                      <w:rFonts w:ascii="Times New Roman" w:eastAsia="楷体_GB2312" w:hAnsi="Times New Roman" w:hint="eastAsia"/>
                      <w:bCs/>
                      <w:kern w:val="0"/>
                      <w:szCs w:val="21"/>
                    </w:rPr>
                    <w:t>4%</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杠杆</w:t>
                  </w:r>
                </w:p>
              </w:tc>
              <w:tc>
                <w:tcPr>
                  <w:tcW w:w="4111" w:type="dxa"/>
                </w:tcPr>
                <w:p w:rsidR="000A7793" w:rsidRDefault="000A7793" w:rsidP="000A7793">
                  <w:pPr>
                    <w:rPr>
                      <w:rFonts w:ascii="Times New Roman" w:eastAsia="楷体_GB2312" w:hAnsi="Times New Roman"/>
                      <w:bCs/>
                      <w:kern w:val="0"/>
                      <w:szCs w:val="21"/>
                    </w:rPr>
                  </w:pPr>
                  <w:r w:rsidRPr="00294C23">
                    <w:rPr>
                      <w:rFonts w:ascii="Times New Roman" w:eastAsia="楷体_GB2312" w:hAnsi="Times New Roman" w:hint="eastAsia"/>
                      <w:bCs/>
                      <w:kern w:val="0"/>
                      <w:szCs w:val="21"/>
                    </w:rPr>
                    <w:t>商业银行每只理财产品的总资产不得超过该理财产品净资产的</w:t>
                  </w:r>
                  <w:r w:rsidRPr="00294C23">
                    <w:rPr>
                      <w:rFonts w:ascii="Times New Roman" w:eastAsia="楷体_GB2312" w:hAnsi="Times New Roman" w:hint="eastAsia"/>
                      <w:bCs/>
                      <w:kern w:val="0"/>
                      <w:szCs w:val="21"/>
                    </w:rPr>
                    <w:t>140%</w:t>
                  </w:r>
                  <w:r w:rsidRPr="00294C23">
                    <w:rPr>
                      <w:rFonts w:ascii="Times New Roman" w:eastAsia="楷体_GB2312" w:hAnsi="Times New Roman" w:hint="eastAsia"/>
                      <w:bCs/>
                      <w:kern w:val="0"/>
                      <w:szCs w:val="21"/>
                    </w:rPr>
                    <w:t>。</w:t>
                  </w:r>
                </w:p>
              </w:tc>
              <w:tc>
                <w:tcPr>
                  <w:tcW w:w="58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“三套利”：</w:t>
                  </w:r>
                  <w:r w:rsidRPr="00294C23">
                    <w:rPr>
                      <w:rFonts w:ascii="Times New Roman" w:eastAsia="楷体_GB2312" w:hAnsi="Times New Roman" w:hint="eastAsia"/>
                      <w:bCs/>
                      <w:kern w:val="0"/>
                      <w:szCs w:val="21"/>
                    </w:rPr>
                    <w:t>是否存在非银机构利用委外资金进一步加杠杆、加久期、加风险等现象</w:t>
                  </w:r>
                </w:p>
              </w:tc>
            </w:tr>
          </w:tbl>
          <w:p w:rsidR="002C6F73" w:rsidRPr="000A7793" w:rsidRDefault="002C6F73" w:rsidP="00240965">
            <w:pPr>
              <w:snapToGrid w:val="0"/>
              <w:jc w:val="center"/>
              <w:rPr>
                <w:rFonts w:ascii="Times New Roman" w:eastAsia="楷体_GB2312" w:hAnsi="Times New Roman"/>
                <w:b/>
              </w:rPr>
            </w:pPr>
          </w:p>
        </w:tc>
      </w:tr>
      <w:tr w:rsidR="002C6F73" w:rsidRPr="00C13463" w:rsidTr="00857681">
        <w:tc>
          <w:tcPr>
            <w:tcW w:w="11058" w:type="dxa"/>
            <w:tcBorders>
              <w:top w:val="single" w:sz="4" w:space="0" w:color="auto"/>
              <w:bottom w:val="nil"/>
            </w:tcBorders>
          </w:tcPr>
          <w:p w:rsidR="00E45FD0" w:rsidRPr="006665C3" w:rsidRDefault="002C6F73" w:rsidP="00E54603">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sidR="00CE45A1">
              <w:rPr>
                <w:rFonts w:ascii="Times New Roman" w:eastAsia="楷体_GB2312" w:hAnsi="Times New Roman" w:hint="eastAsia"/>
                <w:bCs/>
                <w:kern w:val="0"/>
                <w:szCs w:val="21"/>
              </w:rPr>
              <w:t>银监会</w:t>
            </w:r>
            <w:r w:rsidRPr="00E54603">
              <w:rPr>
                <w:rFonts w:ascii="Times New Roman" w:eastAsia="楷体_GB2312" w:hAnsi="Times New Roman"/>
                <w:bCs/>
                <w:kern w:val="0"/>
                <w:szCs w:val="21"/>
              </w:rPr>
              <w:t>，东吴证券研究所</w:t>
            </w:r>
          </w:p>
        </w:tc>
      </w:tr>
    </w:tbl>
    <w:p w:rsidR="00032CC6" w:rsidRDefault="00032CC6"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tbl>
      <w:tblPr>
        <w:tblW w:w="11199" w:type="dxa"/>
        <w:tblInd w:w="-426"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99"/>
      </w:tblGrid>
      <w:tr w:rsidR="00032CC6" w:rsidRPr="00750071" w:rsidTr="00032CC6">
        <w:tc>
          <w:tcPr>
            <w:tcW w:w="11199" w:type="dxa"/>
            <w:tcBorders>
              <w:top w:val="nil"/>
              <w:bottom w:val="single" w:sz="8" w:space="0" w:color="000000"/>
            </w:tcBorders>
          </w:tcPr>
          <w:p w:rsidR="00032CC6" w:rsidRPr="00C13463" w:rsidRDefault="00032CC6" w:rsidP="00032CC6">
            <w:pPr>
              <w:pStyle w:val="ab"/>
              <w:ind w:leftChars="16" w:left="34" w:rightChars="15" w:right="31"/>
              <w:jc w:val="left"/>
              <w:rPr>
                <w:rFonts w:ascii="Times New Roman" w:eastAsia="楷体_GB2312" w:hAnsi="Times New Roman"/>
                <w:sz w:val="21"/>
                <w:szCs w:val="21"/>
              </w:rPr>
            </w:pPr>
            <w:bookmarkStart w:id="9" w:name="_Toc494044059"/>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857681">
              <w:rPr>
                <w:rFonts w:ascii="Times New Roman" w:eastAsia="楷体_GB2312" w:hAnsi="Times New Roman" w:cs="Times New Roman"/>
                <w:b/>
                <w:noProof/>
                <w:color w:val="17365D"/>
                <w:sz w:val="21"/>
                <w:szCs w:val="21"/>
              </w:rPr>
              <w:t>2</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sidR="00857681">
              <w:rPr>
                <w:rFonts w:ascii="Times New Roman" w:eastAsia="楷体_GB2312" w:hAnsi="Times New Roman" w:hint="eastAsia"/>
                <w:b/>
                <w:color w:val="17365D"/>
                <w:sz w:val="21"/>
                <w:szCs w:val="21"/>
              </w:rPr>
              <w:t>同业</w:t>
            </w:r>
            <w:r w:rsidR="00857681" w:rsidRPr="00857681">
              <w:rPr>
                <w:rFonts w:ascii="Times New Roman" w:eastAsia="楷体_GB2312" w:hAnsi="Times New Roman" w:hint="eastAsia"/>
                <w:b/>
                <w:color w:val="17365D"/>
                <w:sz w:val="21"/>
                <w:szCs w:val="21"/>
              </w:rPr>
              <w:t>业务监管内容对比</w:t>
            </w:r>
            <w:bookmarkEnd w:id="9"/>
          </w:p>
        </w:tc>
      </w:tr>
      <w:tr w:rsidR="00032CC6" w:rsidRPr="00520DC6" w:rsidTr="00032CC6">
        <w:trPr>
          <w:trHeight w:val="264"/>
        </w:trPr>
        <w:tc>
          <w:tcPr>
            <w:tcW w:w="11199" w:type="dxa"/>
            <w:tcBorders>
              <w:top w:val="single" w:sz="8" w:space="0" w:color="000000"/>
              <w:bottom w:val="single" w:sz="4" w:space="0" w:color="auto"/>
            </w:tcBorders>
          </w:tcPr>
          <w:tbl>
            <w:tblPr>
              <w:tblStyle w:val="aa"/>
              <w:tblW w:w="11091" w:type="dxa"/>
              <w:tblInd w:w="34" w:type="dxa"/>
              <w:tblBorders>
                <w:left w:val="none" w:sz="0" w:space="0" w:color="auto"/>
                <w:right w:val="none" w:sz="0" w:space="0" w:color="auto"/>
              </w:tblBorders>
              <w:tblLayout w:type="fixed"/>
              <w:tblLook w:val="04A0" w:firstRow="1" w:lastRow="0" w:firstColumn="1" w:lastColumn="0" w:noHBand="0" w:noVBand="1"/>
            </w:tblPr>
            <w:tblGrid>
              <w:gridCol w:w="1169"/>
              <w:gridCol w:w="4501"/>
              <w:gridCol w:w="5421"/>
            </w:tblGrid>
            <w:tr w:rsidR="00032CC6" w:rsidRPr="00F73BD3" w:rsidTr="00032CC6">
              <w:tc>
                <w:tcPr>
                  <w:tcW w:w="1169" w:type="dxa"/>
                  <w:tcBorders>
                    <w:top w:val="nil"/>
                  </w:tcBorders>
                  <w:shd w:val="clear" w:color="auto" w:fill="1F4E79" w:themeFill="accent1" w:themeFillShade="80"/>
                </w:tcPr>
                <w:p w:rsidR="00032CC6" w:rsidRPr="00342388" w:rsidRDefault="00032CC6" w:rsidP="00032CC6">
                  <w:pPr>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监管内容</w:t>
                  </w:r>
                </w:p>
              </w:tc>
              <w:tc>
                <w:tcPr>
                  <w:tcW w:w="4501" w:type="dxa"/>
                  <w:tcBorders>
                    <w:top w:val="nil"/>
                  </w:tcBorders>
                  <w:shd w:val="clear" w:color="auto" w:fill="1F4E79" w:themeFill="accent1" w:themeFillShade="80"/>
                </w:tcPr>
                <w:p w:rsidR="00032CC6" w:rsidRPr="00342388" w:rsidRDefault="00032CC6" w:rsidP="00032CC6">
                  <w:pPr>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14</w:t>
                  </w:r>
                  <w:r w:rsidRPr="00342388">
                    <w:rPr>
                      <w:rFonts w:ascii="Times New Roman" w:eastAsia="楷体_GB2312" w:hAnsi="Times New Roman" w:hint="eastAsia"/>
                      <w:b/>
                      <w:bCs/>
                      <w:color w:val="FFFFFF" w:themeColor="background1"/>
                      <w:kern w:val="0"/>
                      <w:szCs w:val="21"/>
                    </w:rPr>
                    <w:t>年《关于规范金融机构同业业务的通知》</w:t>
                  </w:r>
                </w:p>
              </w:tc>
              <w:tc>
                <w:tcPr>
                  <w:tcW w:w="5421" w:type="dxa"/>
                  <w:tcBorders>
                    <w:top w:val="nil"/>
                  </w:tcBorders>
                  <w:shd w:val="clear" w:color="auto" w:fill="1F4E79" w:themeFill="accent1" w:themeFillShade="80"/>
                </w:tcPr>
                <w:p w:rsidR="00032CC6" w:rsidRPr="00342388" w:rsidRDefault="00032CC6" w:rsidP="00032CC6">
                  <w:pPr>
                    <w:ind w:rightChars="67" w:right="141"/>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17</w:t>
                  </w:r>
                  <w:r w:rsidRPr="00342388">
                    <w:rPr>
                      <w:rFonts w:ascii="Times New Roman" w:eastAsia="楷体_GB2312" w:hAnsi="Times New Roman" w:hint="eastAsia"/>
                      <w:b/>
                      <w:bCs/>
                      <w:color w:val="FFFFFF" w:themeColor="background1"/>
                      <w:kern w:val="0"/>
                      <w:szCs w:val="21"/>
                    </w:rPr>
                    <w:t>年以来的监管文件相关内容</w:t>
                  </w:r>
                </w:p>
              </w:tc>
            </w:tr>
            <w:tr w:rsidR="00032CC6" w:rsidTr="00032CC6">
              <w:tc>
                <w:tcPr>
                  <w:tcW w:w="1169" w:type="dxa"/>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同业业务资金投向</w:t>
                  </w:r>
                </w:p>
              </w:tc>
              <w:tc>
                <w:tcPr>
                  <w:tcW w:w="4501" w:type="dxa"/>
                </w:tcPr>
                <w:p w:rsidR="00032CC6" w:rsidRDefault="00032CC6" w:rsidP="00032CC6">
                  <w:pPr>
                    <w:rPr>
                      <w:rFonts w:ascii="楷体_GB2312" w:eastAsia="楷体_GB2312"/>
                    </w:rPr>
                  </w:pPr>
                  <w:r w:rsidRPr="00656EFF">
                    <w:rPr>
                      <w:rFonts w:ascii="楷体_GB2312" w:eastAsia="楷体_GB2312" w:hint="eastAsia"/>
                    </w:rPr>
                    <w:t>1.同业投资是指金融机构购买（或委托其他金融机构购买）同业金融资产（包括但不限于金融债、次级债等在银行间市场或证券交易所市场交易的同业金融资产）或特定目的载体（包括但不限于商业银行理财产品、信托投资计划、证券投资基金、证券公司资产管理计划、基金管理公司及子公司资产管理计划、保险业资产管理机构资产管理产品等）的投资行为。</w:t>
                  </w:r>
                </w:p>
                <w:p w:rsidR="00032CC6" w:rsidRDefault="00032CC6" w:rsidP="00032CC6">
                  <w:pPr>
                    <w:rPr>
                      <w:rFonts w:ascii="楷体_GB2312" w:eastAsia="楷体_GB2312"/>
                    </w:rPr>
                  </w:pPr>
                </w:p>
                <w:p w:rsidR="00032CC6" w:rsidRPr="00656EFF" w:rsidRDefault="00032CC6" w:rsidP="00032CC6">
                  <w:pPr>
                    <w:rPr>
                      <w:rFonts w:ascii="楷体_GB2312" w:eastAsia="楷体_GB2312"/>
                    </w:rPr>
                  </w:pPr>
                  <w:r w:rsidRPr="00656EFF">
                    <w:rPr>
                      <w:rFonts w:ascii="楷体_GB2312" w:eastAsia="楷体_GB2312" w:hint="eastAsia"/>
                    </w:rPr>
                    <w:t>2.金融机构开展买入返售（卖出回购）和同业投资业务，不得接受和提供任何直接或间接、显性或隐性的第三方金融机构信用担保，国家另有规定的除外。</w:t>
                  </w:r>
                </w:p>
              </w:tc>
              <w:tc>
                <w:tcPr>
                  <w:tcW w:w="5421" w:type="dxa"/>
                </w:tcPr>
                <w:p w:rsidR="00032CC6" w:rsidRPr="00F73BD3" w:rsidRDefault="00032CC6" w:rsidP="00032CC6">
                  <w:pPr>
                    <w:rPr>
                      <w:rFonts w:ascii="楷体_GB2312" w:eastAsia="楷体_GB2312"/>
                      <w:b/>
                    </w:rPr>
                  </w:pPr>
                  <w:r w:rsidRPr="00F73BD3">
                    <w:rPr>
                      <w:rFonts w:ascii="楷体_GB2312" w:eastAsia="楷体_GB2312" w:hint="eastAsia"/>
                      <w:b/>
                    </w:rPr>
                    <w:t>“三套利”：</w:t>
                  </w:r>
                </w:p>
                <w:p w:rsidR="00032CC6" w:rsidRPr="00656EFF" w:rsidRDefault="00032CC6" w:rsidP="00032CC6">
                  <w:pPr>
                    <w:rPr>
                      <w:rFonts w:ascii="楷体_GB2312" w:eastAsia="楷体_GB2312"/>
                    </w:rPr>
                  </w:pPr>
                  <w:r w:rsidRPr="00656EFF">
                    <w:rPr>
                      <w:rFonts w:ascii="楷体_GB2312" w:eastAsia="楷体_GB2312" w:hint="eastAsia"/>
                    </w:rPr>
                    <w:t>1.是否存在通过同业业务倒存，将同业存款变为一般性存款；</w:t>
                  </w:r>
                </w:p>
                <w:p w:rsidR="00032CC6" w:rsidRPr="00656EFF" w:rsidRDefault="00032CC6" w:rsidP="00032CC6">
                  <w:pPr>
                    <w:rPr>
                      <w:rFonts w:ascii="楷体_GB2312" w:eastAsia="楷体_GB2312"/>
                    </w:rPr>
                  </w:pPr>
                  <w:r>
                    <w:rPr>
                      <w:rFonts w:ascii="楷体_GB2312" w:eastAsia="楷体_GB2312" w:hint="eastAsia"/>
                    </w:rPr>
                    <w:t>2.</w:t>
                  </w:r>
                  <w:r w:rsidRPr="00656EFF">
                    <w:rPr>
                      <w:rFonts w:ascii="楷体_GB2312" w:eastAsia="楷体_GB2312" w:hint="eastAsia"/>
                    </w:rPr>
                    <w:t>是否通过同业和理财业务或拆分为小额贷款等方式，向房地产和“两高一剩”等领域提供融资；</w:t>
                  </w:r>
                </w:p>
                <w:p w:rsidR="00032CC6" w:rsidRDefault="00032CC6" w:rsidP="00032CC6">
                  <w:pPr>
                    <w:rPr>
                      <w:rFonts w:ascii="楷体_GB2312" w:eastAsia="楷体_GB2312"/>
                    </w:rPr>
                  </w:pPr>
                  <w:r w:rsidRPr="00656EFF">
                    <w:rPr>
                      <w:rFonts w:ascii="楷体_GB2312" w:eastAsia="楷体_GB2312" w:hint="eastAsia"/>
                    </w:rPr>
                    <w:t>3.是否通过同业非标投资、理财投资等方式，继续对“僵尸企业”以及环保排放不达标、严重污染环境且整改无望的落后企业提供授信；</w:t>
                  </w:r>
                </w:p>
                <w:p w:rsidR="00032CC6" w:rsidRPr="00656EFF" w:rsidRDefault="00032CC6" w:rsidP="00032CC6">
                  <w:pPr>
                    <w:rPr>
                      <w:rFonts w:ascii="楷体_GB2312" w:eastAsia="楷体_GB2312"/>
                    </w:rPr>
                  </w:pPr>
                  <w:r w:rsidRPr="00656EFF">
                    <w:rPr>
                      <w:rFonts w:ascii="楷体_GB2312" w:eastAsia="楷体_GB2312" w:hint="eastAsia"/>
                    </w:rPr>
                    <w:t>4.是否存在利用同业理财购买本行同业存单；</w:t>
                  </w:r>
                </w:p>
                <w:p w:rsidR="00032CC6" w:rsidRPr="00656EFF" w:rsidRDefault="00032CC6" w:rsidP="00032CC6">
                  <w:pPr>
                    <w:rPr>
                      <w:rFonts w:ascii="楷体_GB2312" w:eastAsia="楷体_GB2312"/>
                    </w:rPr>
                  </w:pPr>
                  <w:r>
                    <w:rPr>
                      <w:rFonts w:ascii="楷体_GB2312" w:eastAsia="楷体_GB2312" w:hint="eastAsia"/>
                    </w:rPr>
                    <w:t>5</w:t>
                  </w:r>
                  <w:r w:rsidRPr="00656EFF">
                    <w:rPr>
                      <w:rFonts w:ascii="楷体_GB2312" w:eastAsia="楷体_GB2312" w:hint="eastAsia"/>
                    </w:rPr>
                    <w:t>.是否存在通过同业存放、卖出回购等方式吸收同业资金，对接投资理财产品、资管计划等，放大杠杆、赚取利差的现象；</w:t>
                  </w:r>
                </w:p>
                <w:p w:rsidR="00032CC6" w:rsidRPr="00656EFF" w:rsidRDefault="00032CC6" w:rsidP="00032CC6">
                  <w:pPr>
                    <w:rPr>
                      <w:rFonts w:ascii="楷体_GB2312" w:eastAsia="楷体_GB2312"/>
                    </w:rPr>
                  </w:pPr>
                  <w:r>
                    <w:rPr>
                      <w:rFonts w:ascii="楷体_GB2312" w:eastAsia="楷体_GB2312" w:hint="eastAsia"/>
                    </w:rPr>
                    <w:t>6</w:t>
                  </w:r>
                  <w:r w:rsidRPr="00656EFF">
                    <w:rPr>
                      <w:rFonts w:ascii="楷体_GB2312" w:eastAsia="楷体_GB2312" w:hint="eastAsia"/>
                    </w:rPr>
                    <w:t>.是否存在通过同业投资等渠道</w:t>
                  </w:r>
                  <w:r>
                    <w:rPr>
                      <w:rFonts w:ascii="楷体_GB2312" w:eastAsia="楷体_GB2312" w:hint="eastAsia"/>
                    </w:rPr>
                    <w:t>充当他行资金管理“通道”，赚取费用，而不承担兜底责任的现象</w:t>
                  </w:r>
                  <w:r w:rsidRPr="00656EFF">
                    <w:rPr>
                      <w:rFonts w:ascii="楷体_GB2312" w:eastAsia="楷体_GB2312" w:hint="eastAsia"/>
                    </w:rPr>
                    <w:t>；</w:t>
                  </w:r>
                </w:p>
                <w:p w:rsidR="00032CC6" w:rsidRPr="00656EFF" w:rsidRDefault="00032CC6" w:rsidP="00032CC6">
                  <w:pPr>
                    <w:rPr>
                      <w:rFonts w:ascii="楷体_GB2312" w:eastAsia="楷体_GB2312"/>
                    </w:rPr>
                  </w:pPr>
                  <w:r>
                    <w:rPr>
                      <w:rFonts w:ascii="楷体_GB2312" w:eastAsia="楷体_GB2312" w:hint="eastAsia"/>
                    </w:rPr>
                    <w:t>7</w:t>
                  </w:r>
                  <w:r w:rsidRPr="00656EFF">
                    <w:rPr>
                      <w:rFonts w:ascii="楷体_GB2312" w:eastAsia="楷体_GB2312" w:hint="eastAsia"/>
                    </w:rPr>
                    <w:t>.是否通过大量发行同业存单，甚至通过自发自购、同业存单互换等方式来进行同业理财投资、委外投资、债市投资，导</w:t>
                  </w:r>
                  <w:r>
                    <w:rPr>
                      <w:rFonts w:ascii="楷体_GB2312" w:eastAsia="楷体_GB2312" w:hint="eastAsia"/>
                    </w:rPr>
                    <w:t>致期限错配，加剧流动性风险隐患；延长资金链条，使得资金空转套利</w:t>
                  </w:r>
                  <w:r w:rsidRPr="00656EFF">
                    <w:rPr>
                      <w:rFonts w:ascii="楷体_GB2312" w:eastAsia="楷体_GB2312" w:hint="eastAsia"/>
                    </w:rPr>
                    <w:t>。</w:t>
                  </w:r>
                </w:p>
                <w:p w:rsidR="00032CC6" w:rsidRPr="00342388" w:rsidRDefault="00032CC6" w:rsidP="00032CC6">
                  <w:pPr>
                    <w:rPr>
                      <w:rFonts w:ascii="楷体_GB2312" w:eastAsia="楷体_GB2312"/>
                      <w:b/>
                    </w:rPr>
                  </w:pPr>
                  <w:r w:rsidRPr="00F73BD3">
                    <w:rPr>
                      <w:rFonts w:ascii="楷体_GB2312" w:eastAsia="楷体_GB2312" w:hint="eastAsia"/>
                      <w:b/>
                    </w:rPr>
                    <w:t>“四不当”：</w:t>
                  </w:r>
                  <w:r>
                    <w:rPr>
                      <w:rFonts w:ascii="楷体_GB2312" w:eastAsia="楷体_GB2312" w:hint="eastAsia"/>
                    </w:rPr>
                    <w:t>是否进行了风险审查和资金投向合规</w:t>
                  </w:r>
                  <w:r w:rsidRPr="00656EFF">
                    <w:rPr>
                      <w:rFonts w:ascii="楷体_GB2312" w:eastAsia="楷体_GB2312" w:hint="eastAsia"/>
                    </w:rPr>
                    <w:t>审查；</w:t>
                  </w:r>
                </w:p>
              </w:tc>
            </w:tr>
            <w:tr w:rsidR="00032CC6" w:rsidTr="00032CC6">
              <w:tc>
                <w:tcPr>
                  <w:tcW w:w="1169" w:type="dxa"/>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杠杆</w:t>
                  </w:r>
                </w:p>
              </w:tc>
              <w:tc>
                <w:tcPr>
                  <w:tcW w:w="4501" w:type="dxa"/>
                </w:tcPr>
                <w:p w:rsidR="00032CC6" w:rsidRPr="00656EFF" w:rsidRDefault="00032CC6" w:rsidP="00032CC6">
                  <w:pPr>
                    <w:rPr>
                      <w:rFonts w:ascii="楷体_GB2312" w:eastAsia="楷体_GB2312"/>
                    </w:rPr>
                  </w:pPr>
                  <w:r w:rsidRPr="00656EFF">
                    <w:rPr>
                      <w:rFonts w:ascii="楷体_GB2312" w:eastAsia="楷体_GB2312" w:hint="eastAsia"/>
                    </w:rPr>
                    <w:t>单家商业银行对单一金融机构法人的不含结算性同业存款的同业融出资金，扣除风险权重为零的资产后的净额，不得超过该银行一级资本的50%。其中，一级资本、风险权重为零的资产按照《商业银行资本管理办法（试行）》（中国银行业监督管理委员会令2012年第1号发布）的有关要求计算</w:t>
                  </w:r>
                  <w:r>
                    <w:rPr>
                      <w:rFonts w:ascii="楷体_GB2312" w:eastAsia="楷体_GB2312" w:hint="eastAsia"/>
                    </w:rPr>
                    <w:t>。单家商业银行同业融入资金余额不得超过该银行负债总额的三分之一。</w:t>
                  </w:r>
                  <w:r w:rsidRPr="00656EFF">
                    <w:rPr>
                      <w:rFonts w:ascii="楷体_GB2312" w:eastAsia="楷体_GB2312" w:hint="eastAsia"/>
                    </w:rPr>
                    <w:t xml:space="preserve"> </w:t>
                  </w:r>
                </w:p>
              </w:tc>
              <w:tc>
                <w:tcPr>
                  <w:tcW w:w="5421" w:type="dxa"/>
                </w:tcPr>
                <w:p w:rsidR="00032CC6" w:rsidRPr="00656EFF" w:rsidRDefault="00032CC6" w:rsidP="00032CC6">
                  <w:pPr>
                    <w:rPr>
                      <w:rFonts w:ascii="楷体_GB2312" w:eastAsia="楷体_GB2312"/>
                    </w:rPr>
                  </w:pPr>
                  <w:r w:rsidRPr="00186DBA">
                    <w:rPr>
                      <w:rFonts w:ascii="楷体_GB2312" w:eastAsia="楷体_GB2312" w:hint="eastAsia"/>
                      <w:b/>
                    </w:rPr>
                    <w:t>“三套利”：</w:t>
                  </w:r>
                  <w:r w:rsidRPr="00656EFF">
                    <w:rPr>
                      <w:rFonts w:ascii="楷体_GB2312" w:eastAsia="楷体_GB2312" w:hint="eastAsia"/>
                    </w:rPr>
                    <w:t>1.是否存在同业融入资金余额占比负债总额超过三分之一的情况</w:t>
                  </w:r>
                </w:p>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1.单家商业银行对单一金融机构法人的不含结算性同业存款的同业融出资金，扣除风险权重为零的资产后的净额，是否超过银行一级资本的50%；2.若将商业银行发行的同业存单计入同业融入资金余额，是否超过银行负债总额的三分之一；</w:t>
                  </w:r>
                  <w:r>
                    <w:rPr>
                      <w:rFonts w:ascii="楷体_GB2312" w:eastAsia="楷体_GB2312" w:hint="eastAsia"/>
                    </w:rPr>
                    <w:t>3.</w:t>
                  </w:r>
                  <w:r w:rsidRPr="00656EFF">
                    <w:rPr>
                      <w:rFonts w:ascii="楷体_GB2312" w:eastAsia="楷体_GB2312" w:hint="eastAsia"/>
                    </w:rPr>
                    <w:t>商业银行同业融入资金余额是否超过负债总额的三分之一；</w:t>
                  </w:r>
                </w:p>
              </w:tc>
            </w:tr>
            <w:tr w:rsidR="00032CC6" w:rsidTr="00032CC6">
              <w:tc>
                <w:tcPr>
                  <w:tcW w:w="1169" w:type="dxa"/>
                  <w:tcBorders>
                    <w:bottom w:val="single" w:sz="4" w:space="0" w:color="000000"/>
                  </w:tcBorders>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穿透</w:t>
                  </w:r>
                </w:p>
              </w:tc>
              <w:tc>
                <w:tcPr>
                  <w:tcW w:w="4501" w:type="dxa"/>
                  <w:tcBorders>
                    <w:bottom w:val="single" w:sz="4" w:space="0" w:color="000000"/>
                  </w:tcBorders>
                </w:tcPr>
                <w:p w:rsidR="00032CC6" w:rsidRPr="00656EFF" w:rsidRDefault="00032CC6" w:rsidP="00032CC6">
                  <w:pPr>
                    <w:rPr>
                      <w:rFonts w:ascii="楷体_GB2312" w:eastAsia="楷体_GB2312"/>
                    </w:rPr>
                  </w:pPr>
                  <w:r w:rsidRPr="00656EFF">
                    <w:rPr>
                      <w:rFonts w:ascii="楷体_GB2312" w:eastAsia="楷体_GB2312" w:hint="eastAsia"/>
                    </w:rPr>
                    <w:t>金融机构同业投资应严格风险审查和资金投向合规性审查，按照“实质重于形式”原则，根据所投资基础资产的性质，准确计量风险并计提相应资本与拨备</w:t>
                  </w:r>
                </w:p>
              </w:tc>
              <w:tc>
                <w:tcPr>
                  <w:tcW w:w="5421" w:type="dxa"/>
                  <w:tcBorders>
                    <w:bottom w:val="single" w:sz="4" w:space="0" w:color="000000"/>
                  </w:tcBorders>
                </w:tcPr>
                <w:p w:rsidR="00032CC6" w:rsidRPr="00656EFF" w:rsidRDefault="00032CC6" w:rsidP="00032CC6">
                  <w:pPr>
                    <w:rPr>
                      <w:rFonts w:ascii="楷体_GB2312" w:eastAsia="楷体_GB2312"/>
                    </w:rPr>
                  </w:pPr>
                  <w:r w:rsidRPr="00186DBA">
                    <w:rPr>
                      <w:rFonts w:ascii="楷体_GB2312" w:eastAsia="楷体_GB2312" w:hint="eastAsia"/>
                      <w:b/>
                    </w:rPr>
                    <w:t>“三套利”：</w:t>
                  </w:r>
                  <w:r w:rsidRPr="00656EFF">
                    <w:rPr>
                      <w:rFonts w:ascii="楷体_GB2312" w:eastAsia="楷体_GB2312" w:hint="eastAsia"/>
                    </w:rPr>
                    <w:t>1.是否存在同业业务、票据业务、理财业务未按照“穿透性”原则和“实质重于形式”原则；</w:t>
                  </w:r>
                </w:p>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1.是否对特定目的载体投资实施了穿透管理至基础资产，是否存在多层嵌套难以穿透到基础资产的情况；2.是否按照实质重于形式原则，根据所投资基础资产的性质，足额计量资本和拨备；3.是否将穿透后的基础资产纳入对应最终债务人的统一授信管理和集中度管控。</w:t>
                  </w:r>
                </w:p>
              </w:tc>
            </w:tr>
            <w:tr w:rsidR="00032CC6" w:rsidTr="00032CC6">
              <w:tc>
                <w:tcPr>
                  <w:tcW w:w="1169" w:type="dxa"/>
                  <w:tcBorders>
                    <w:bottom w:val="nil"/>
                  </w:tcBorders>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期限</w:t>
                  </w:r>
                </w:p>
              </w:tc>
              <w:tc>
                <w:tcPr>
                  <w:tcW w:w="4501" w:type="dxa"/>
                  <w:tcBorders>
                    <w:bottom w:val="nil"/>
                  </w:tcBorders>
                </w:tcPr>
                <w:p w:rsidR="00032CC6" w:rsidRPr="00656EFF" w:rsidRDefault="00032CC6" w:rsidP="00032CC6">
                  <w:pPr>
                    <w:rPr>
                      <w:rFonts w:ascii="楷体_GB2312" w:eastAsia="楷体_GB2312"/>
                    </w:rPr>
                  </w:pPr>
                  <w:r w:rsidRPr="00656EFF">
                    <w:rPr>
                      <w:rFonts w:ascii="楷体_GB2312" w:eastAsia="楷体_GB2312" w:hint="eastAsia"/>
                    </w:rPr>
                    <w:t>金融机构办理同业业务，应当合理审慎确定融资期限。其中，同业借款业务最长期限不得超过三年，其他同业融资业务最长期限不得超过一年，业务到期后不得展期。</w:t>
                  </w:r>
                </w:p>
              </w:tc>
              <w:tc>
                <w:tcPr>
                  <w:tcW w:w="5421" w:type="dxa"/>
                  <w:tcBorders>
                    <w:bottom w:val="nil"/>
                  </w:tcBorders>
                </w:tcPr>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同业借款业务期限是否超过三年，其他同业融资业务期限是否超过一年，业务到期后是否展期；</w:t>
                  </w:r>
                </w:p>
              </w:tc>
            </w:tr>
          </w:tbl>
          <w:p w:rsidR="00032CC6" w:rsidRPr="00032CC6" w:rsidRDefault="00032CC6" w:rsidP="008F6AF6">
            <w:pPr>
              <w:snapToGrid w:val="0"/>
              <w:jc w:val="center"/>
              <w:rPr>
                <w:rFonts w:ascii="Times New Roman" w:eastAsia="楷体_GB2312" w:hAnsi="Times New Roman"/>
                <w:b/>
              </w:rPr>
            </w:pPr>
          </w:p>
        </w:tc>
      </w:tr>
      <w:tr w:rsidR="00032CC6" w:rsidRPr="00C13463" w:rsidTr="00032CC6">
        <w:tc>
          <w:tcPr>
            <w:tcW w:w="11199" w:type="dxa"/>
            <w:tcBorders>
              <w:top w:val="single" w:sz="4" w:space="0" w:color="auto"/>
              <w:bottom w:val="nil"/>
            </w:tcBorders>
          </w:tcPr>
          <w:p w:rsidR="00032CC6" w:rsidRPr="006665C3" w:rsidRDefault="00032CC6"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Pr>
                <w:rFonts w:ascii="Times New Roman" w:eastAsia="楷体_GB2312" w:hAnsi="Times New Roman" w:hint="eastAsia"/>
                <w:bCs/>
                <w:kern w:val="0"/>
                <w:szCs w:val="21"/>
              </w:rPr>
              <w:t>银监会</w:t>
            </w:r>
            <w:r w:rsidRPr="00E54603">
              <w:rPr>
                <w:rFonts w:ascii="Times New Roman" w:eastAsia="楷体_GB2312" w:hAnsi="Times New Roman"/>
                <w:bCs/>
                <w:kern w:val="0"/>
                <w:szCs w:val="21"/>
              </w:rPr>
              <w:t>，东吴证券研究所</w:t>
            </w:r>
          </w:p>
        </w:tc>
      </w:tr>
    </w:tbl>
    <w:p w:rsidR="00032CC6" w:rsidRPr="00032CC6" w:rsidRDefault="00032CC6"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p w:rsidR="00857681" w:rsidRDefault="00857681"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p w:rsidR="007F62B5" w:rsidRPr="007F62B5" w:rsidRDefault="007F62B5" w:rsidP="007F62B5">
      <w:pPr>
        <w:pStyle w:val="2"/>
        <w:numPr>
          <w:ilvl w:val="0"/>
          <w:numId w:val="0"/>
        </w:numPr>
        <w:ind w:left="1703"/>
        <w:rPr>
          <w:color w:val="000000"/>
        </w:rPr>
      </w:pPr>
    </w:p>
    <w:p w:rsidR="00857681" w:rsidRPr="00857681" w:rsidRDefault="00EA30ED" w:rsidP="00857681">
      <w:pPr>
        <w:pStyle w:val="2"/>
        <w:tabs>
          <w:tab w:val="clear" w:pos="-143"/>
          <w:tab w:val="num" w:pos="426"/>
        </w:tabs>
        <w:ind w:left="1134" w:firstLine="569"/>
        <w:rPr>
          <w:color w:val="000000"/>
        </w:rPr>
      </w:pPr>
      <w:bookmarkStart w:id="10" w:name="_Toc494044216"/>
      <w:r>
        <w:rPr>
          <w:rFonts w:hint="eastAsia"/>
        </w:rPr>
        <w:t>银行积极调整业务规模，金融去杠杆成效初显</w:t>
      </w:r>
      <w:bookmarkEnd w:id="10"/>
    </w:p>
    <w:p w:rsidR="00960E47" w:rsidRDefault="00960E47" w:rsidP="007F62B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szCs w:val="21"/>
        </w:rPr>
      </w:pPr>
      <w:r w:rsidRPr="00960E47">
        <w:rPr>
          <w:rFonts w:ascii="Times New Roman" w:eastAsia="楷体_GB2312" w:hAnsi="Times New Roman" w:hint="eastAsia"/>
          <w:b/>
          <w:szCs w:val="21"/>
        </w:rPr>
        <w:t>银行积极调整业务规模，资产端收缩同业资产和非标，负债端减少同业负债和同业存单。</w:t>
      </w:r>
      <w:r w:rsidR="00EA30ED" w:rsidRPr="007B763F">
        <w:rPr>
          <w:rFonts w:ascii="Times New Roman" w:eastAsia="楷体_GB2312" w:hAnsi="Times New Roman" w:hint="eastAsia"/>
          <w:szCs w:val="21"/>
        </w:rPr>
        <w:t>监管工作大致将分为银行自查——现场检查——限期整改三个阶段。根据监管要求的工作时间表，目前自查阶段任务已暂告一段落，</w:t>
      </w:r>
      <w:r>
        <w:rPr>
          <w:rFonts w:ascii="Times New Roman" w:eastAsia="楷体_GB2312" w:hAnsi="Times New Roman" w:hint="eastAsia"/>
          <w:szCs w:val="21"/>
        </w:rPr>
        <w:t>期间银行积极主动调整业务规模。从银行中报数据来看，资产端：</w:t>
      </w:r>
      <w:r>
        <w:rPr>
          <w:rFonts w:ascii="Times New Roman" w:eastAsia="楷体_GB2312" w:hAnsi="Times New Roman" w:hint="eastAsia"/>
          <w:szCs w:val="21"/>
        </w:rPr>
        <w:t>1</w:t>
      </w:r>
      <w:r>
        <w:rPr>
          <w:rFonts w:ascii="Times New Roman" w:eastAsia="楷体_GB2312" w:hAnsi="Times New Roman" w:hint="eastAsia"/>
          <w:szCs w:val="21"/>
        </w:rPr>
        <w:t>）</w:t>
      </w:r>
      <w:r w:rsidRPr="00960E47">
        <w:rPr>
          <w:rFonts w:ascii="Times New Roman" w:eastAsia="楷体_GB2312" w:hAnsi="Times New Roman" w:hint="eastAsia"/>
          <w:szCs w:val="21"/>
          <w:u w:val="single"/>
        </w:rPr>
        <w:t>同业资产规模持续净减少</w:t>
      </w:r>
      <w:r>
        <w:rPr>
          <w:rFonts w:ascii="Times New Roman" w:eastAsia="楷体_GB2312" w:hAnsi="Times New Roman" w:hint="eastAsia"/>
          <w:szCs w:val="21"/>
        </w:rPr>
        <w:t>。</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月末同业资产规模为</w:t>
      </w:r>
      <w:r w:rsidRPr="00960E47">
        <w:rPr>
          <w:rFonts w:ascii="Times New Roman" w:eastAsia="楷体_GB2312" w:hAnsi="Times New Roman" w:hint="eastAsia"/>
          <w:szCs w:val="21"/>
        </w:rPr>
        <w:t>8.8</w:t>
      </w:r>
      <w:r w:rsidRPr="00960E47">
        <w:rPr>
          <w:rFonts w:ascii="Times New Roman" w:eastAsia="楷体_GB2312" w:hAnsi="Times New Roman" w:hint="eastAsia"/>
          <w:szCs w:val="21"/>
        </w:rPr>
        <w:t>万亿，总资产占比约为</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3.33%</w:t>
      </w:r>
      <w:r w:rsidRPr="00960E47">
        <w:rPr>
          <w:rFonts w:ascii="Times New Roman" w:eastAsia="楷体_GB2312" w:hAnsi="Times New Roman" w:hint="eastAsia"/>
          <w:szCs w:val="21"/>
        </w:rPr>
        <w:t>，较</w:t>
      </w:r>
      <w:r w:rsidRPr="00960E47">
        <w:rPr>
          <w:rFonts w:ascii="Times New Roman" w:eastAsia="楷体_GB2312" w:hAnsi="Times New Roman" w:hint="eastAsia"/>
          <w:szCs w:val="21"/>
        </w:rPr>
        <w:t>16</w:t>
      </w:r>
      <w:r w:rsidRPr="00960E47">
        <w:rPr>
          <w:rFonts w:ascii="Times New Roman" w:eastAsia="楷体_GB2312" w:hAnsi="Times New Roman" w:hint="eastAsia"/>
          <w:szCs w:val="21"/>
        </w:rPr>
        <w:t>年末净减少</w:t>
      </w:r>
      <w:r w:rsidRPr="00960E47">
        <w:rPr>
          <w:rFonts w:ascii="Times New Roman" w:eastAsia="楷体_GB2312" w:hAnsi="Times New Roman" w:hint="eastAsia"/>
          <w:szCs w:val="21"/>
        </w:rPr>
        <w:t>9.01%</w:t>
      </w:r>
      <w:r w:rsidRPr="00960E47">
        <w:rPr>
          <w:rFonts w:ascii="Times New Roman" w:eastAsia="楷体_GB2312" w:hAnsi="Times New Roman" w:hint="eastAsia"/>
          <w:szCs w:val="21"/>
        </w:rPr>
        <w:t>，规模进一步收缩。</w:t>
      </w:r>
      <w:r>
        <w:rPr>
          <w:rFonts w:ascii="Times New Roman" w:eastAsia="楷体_GB2312" w:hAnsi="Times New Roman" w:hint="eastAsia"/>
          <w:szCs w:val="21"/>
        </w:rPr>
        <w:t>2</w:t>
      </w:r>
      <w:r>
        <w:rPr>
          <w:rFonts w:ascii="Times New Roman" w:eastAsia="楷体_GB2312" w:hAnsi="Times New Roman" w:hint="eastAsia"/>
          <w:szCs w:val="21"/>
        </w:rPr>
        <w:t>）</w:t>
      </w:r>
      <w:r w:rsidRPr="00960E47">
        <w:rPr>
          <w:rFonts w:ascii="Times New Roman" w:eastAsia="楷体_GB2312" w:hAnsi="Times New Roman" w:hint="eastAsia"/>
          <w:szCs w:val="21"/>
          <w:u w:val="single"/>
        </w:rPr>
        <w:t>非标资产规模在</w:t>
      </w:r>
      <w:r w:rsidRPr="00960E47">
        <w:rPr>
          <w:rFonts w:ascii="Times New Roman" w:eastAsia="楷体_GB2312" w:hAnsi="Times New Roman"/>
          <w:szCs w:val="21"/>
          <w:u w:val="single"/>
        </w:rPr>
        <w:t>Q2</w:t>
      </w:r>
      <w:r w:rsidRPr="00960E47">
        <w:rPr>
          <w:rFonts w:ascii="Times New Roman" w:eastAsia="楷体_GB2312" w:hAnsi="Times New Roman" w:hint="eastAsia"/>
          <w:szCs w:val="21"/>
          <w:u w:val="single"/>
        </w:rPr>
        <w:t>大幅收缩</w:t>
      </w:r>
      <w:r>
        <w:rPr>
          <w:rFonts w:ascii="Times New Roman" w:eastAsia="楷体_GB2312" w:hAnsi="Times New Roman" w:hint="eastAsia"/>
          <w:szCs w:val="21"/>
        </w:rPr>
        <w:t>。</w:t>
      </w:r>
      <w:r w:rsidRPr="00960E47">
        <w:rPr>
          <w:rFonts w:ascii="Times New Roman" w:eastAsia="楷体_GB2312" w:hAnsi="Times New Roman"/>
          <w:szCs w:val="21"/>
        </w:rPr>
        <w:t>6</w:t>
      </w:r>
      <w:r w:rsidRPr="00960E47">
        <w:rPr>
          <w:rFonts w:ascii="Times New Roman" w:eastAsia="楷体_GB2312" w:hAnsi="Times New Roman" w:hint="eastAsia"/>
          <w:szCs w:val="21"/>
        </w:rPr>
        <w:t>月末非标资产规模为</w:t>
      </w:r>
      <w:r w:rsidRPr="00960E47">
        <w:rPr>
          <w:rFonts w:ascii="Times New Roman" w:eastAsia="楷体_GB2312" w:hAnsi="Times New Roman"/>
          <w:szCs w:val="21"/>
        </w:rPr>
        <w:t>10</w:t>
      </w:r>
      <w:r w:rsidRPr="00960E47">
        <w:rPr>
          <w:rFonts w:ascii="Times New Roman" w:eastAsia="楷体_GB2312" w:hAnsi="Times New Roman" w:hint="eastAsia"/>
          <w:szCs w:val="21"/>
        </w:rPr>
        <w:t>万亿，占比约为</w:t>
      </w:r>
      <w:r w:rsidRPr="00960E47">
        <w:rPr>
          <w:rFonts w:ascii="Times New Roman" w:eastAsia="楷体_GB2312" w:hAnsi="Times New Roman"/>
          <w:szCs w:val="21"/>
        </w:rPr>
        <w:t>7%</w:t>
      </w:r>
      <w:r w:rsidRPr="00960E47">
        <w:rPr>
          <w:rFonts w:ascii="Times New Roman" w:eastAsia="楷体_GB2312" w:hAnsi="Times New Roman" w:hint="eastAsia"/>
          <w:szCs w:val="21"/>
        </w:rPr>
        <w:t>；规模较</w:t>
      </w:r>
      <w:r w:rsidRPr="00960E47">
        <w:rPr>
          <w:rFonts w:ascii="Times New Roman" w:eastAsia="楷体_GB2312" w:hAnsi="Times New Roman"/>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szCs w:val="21"/>
        </w:rPr>
        <w:t>7.2%</w:t>
      </w:r>
      <w:r w:rsidRPr="00960E47">
        <w:rPr>
          <w:rFonts w:ascii="Times New Roman" w:eastAsia="楷体_GB2312" w:hAnsi="Times New Roman" w:hint="eastAsia"/>
          <w:szCs w:val="21"/>
        </w:rPr>
        <w:t>。</w:t>
      </w:r>
    </w:p>
    <w:p w:rsidR="00960E47" w:rsidRPr="00960E47" w:rsidRDefault="00960E47" w:rsidP="00960E47">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szCs w:val="21"/>
        </w:rPr>
      </w:pPr>
      <w:r>
        <w:rPr>
          <w:rFonts w:ascii="Times New Roman" w:eastAsia="楷体_GB2312" w:hAnsi="Times New Roman" w:hint="eastAsia"/>
          <w:szCs w:val="21"/>
        </w:rPr>
        <w:t>负债端：</w:t>
      </w:r>
      <w:r w:rsidRPr="00960E47">
        <w:rPr>
          <w:rFonts w:ascii="Times New Roman" w:eastAsia="楷体_GB2312" w:hAnsi="Times New Roman"/>
          <w:szCs w:val="21"/>
          <w:u w:val="single"/>
        </w:rPr>
        <w:t>1</w:t>
      </w:r>
      <w:r w:rsidRPr="00960E47">
        <w:rPr>
          <w:rFonts w:ascii="Times New Roman" w:eastAsia="楷体_GB2312" w:hAnsi="Times New Roman" w:hint="eastAsia"/>
          <w:szCs w:val="21"/>
          <w:u w:val="single"/>
        </w:rPr>
        <w:t>）同业负债规模持续收缩。</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月末同业负债规模约为</w:t>
      </w:r>
      <w:r w:rsidRPr="00960E47">
        <w:rPr>
          <w:rFonts w:ascii="Times New Roman" w:eastAsia="楷体_GB2312" w:hAnsi="Times New Roman" w:hint="eastAsia"/>
          <w:szCs w:val="21"/>
        </w:rPr>
        <w:t>19</w:t>
      </w:r>
      <w:r w:rsidRPr="00960E47">
        <w:rPr>
          <w:rFonts w:ascii="Times New Roman" w:eastAsia="楷体_GB2312" w:hAnsi="Times New Roman" w:hint="eastAsia"/>
          <w:szCs w:val="21"/>
        </w:rPr>
        <w:t>万亿，占总负债比重为</w:t>
      </w:r>
      <w:r w:rsidRPr="00960E47">
        <w:rPr>
          <w:rFonts w:ascii="Times New Roman" w:eastAsia="楷体_GB2312" w:hAnsi="Times New Roman" w:hint="eastAsia"/>
          <w:szCs w:val="21"/>
        </w:rPr>
        <w:t>14%</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1.79%</w:t>
      </w:r>
      <w:r w:rsidRPr="00960E47">
        <w:rPr>
          <w:rFonts w:ascii="Times New Roman" w:eastAsia="楷体_GB2312" w:hAnsi="Times New Roman" w:hint="eastAsia"/>
          <w:szCs w:val="21"/>
        </w:rPr>
        <w:t>，连续两个季度净减少；</w:t>
      </w:r>
      <w:r w:rsidR="00D87331">
        <w:rPr>
          <w:rFonts w:ascii="Times New Roman" w:eastAsia="楷体_GB2312" w:hAnsi="Times New Roman"/>
          <w:szCs w:val="21"/>
        </w:rPr>
        <w:t>2</w:t>
      </w:r>
      <w:r>
        <w:rPr>
          <w:rFonts w:ascii="Times New Roman" w:eastAsia="楷体_GB2312" w:hAnsi="Times New Roman" w:hint="eastAsia"/>
          <w:szCs w:val="21"/>
        </w:rPr>
        <w:t>）</w:t>
      </w:r>
      <w:r w:rsidRPr="00D87331">
        <w:rPr>
          <w:rFonts w:ascii="Times New Roman" w:eastAsia="楷体_GB2312" w:hAnsi="Times New Roman" w:hint="eastAsia"/>
          <w:szCs w:val="21"/>
          <w:u w:val="single"/>
        </w:rPr>
        <w:t>同业存单规模</w:t>
      </w:r>
      <w:r w:rsidRPr="00D87331">
        <w:rPr>
          <w:rFonts w:ascii="Times New Roman" w:eastAsia="楷体_GB2312" w:hAnsi="Times New Roman" w:hint="eastAsia"/>
          <w:szCs w:val="21"/>
          <w:u w:val="single"/>
        </w:rPr>
        <w:t>Q2</w:t>
      </w:r>
      <w:r w:rsidRPr="00D87331">
        <w:rPr>
          <w:rFonts w:ascii="Times New Roman" w:eastAsia="楷体_GB2312" w:hAnsi="Times New Roman" w:hint="eastAsia"/>
          <w:szCs w:val="21"/>
          <w:u w:val="single"/>
        </w:rPr>
        <w:t>净减少</w:t>
      </w:r>
      <w:r w:rsidRPr="00960E47">
        <w:rPr>
          <w:rFonts w:ascii="Times New Roman" w:eastAsia="楷体_GB2312" w:hAnsi="Times New Roman" w:hint="eastAsia"/>
          <w:szCs w:val="21"/>
        </w:rPr>
        <w:t>：</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月末未到期同业存单规模为</w:t>
      </w:r>
      <w:r w:rsidRPr="00960E47">
        <w:rPr>
          <w:rFonts w:ascii="Times New Roman" w:eastAsia="楷体_GB2312" w:hAnsi="Times New Roman" w:hint="eastAsia"/>
          <w:szCs w:val="21"/>
        </w:rPr>
        <w:t>4</w:t>
      </w:r>
      <w:r w:rsidRPr="00960E47">
        <w:rPr>
          <w:rFonts w:ascii="Times New Roman" w:eastAsia="楷体_GB2312" w:hAnsi="Times New Roman" w:hint="eastAsia"/>
          <w:szCs w:val="21"/>
        </w:rPr>
        <w:t>万亿，占总负债比重为</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3.65%</w:t>
      </w:r>
      <w:r w:rsidRPr="00960E47">
        <w:rPr>
          <w:rFonts w:ascii="Times New Roman" w:eastAsia="楷体_GB2312" w:hAnsi="Times New Roman" w:hint="eastAsia"/>
          <w:szCs w:val="21"/>
        </w:rPr>
        <w:t>，但与</w:t>
      </w:r>
      <w:r w:rsidRPr="00960E47">
        <w:rPr>
          <w:rFonts w:ascii="Times New Roman" w:eastAsia="楷体_GB2312" w:hAnsi="Times New Roman" w:hint="eastAsia"/>
          <w:szCs w:val="21"/>
        </w:rPr>
        <w:t>16</w:t>
      </w:r>
      <w:r w:rsidRPr="00960E47">
        <w:rPr>
          <w:rFonts w:ascii="Times New Roman" w:eastAsia="楷体_GB2312" w:hAnsi="Times New Roman" w:hint="eastAsia"/>
          <w:szCs w:val="21"/>
        </w:rPr>
        <w:t>年末相比，仍上升</w:t>
      </w:r>
      <w:r w:rsidRPr="00960E47">
        <w:rPr>
          <w:rFonts w:ascii="Times New Roman" w:eastAsia="楷体_GB2312" w:hAnsi="Times New Roman" w:hint="eastAsia"/>
          <w:szCs w:val="21"/>
        </w:rPr>
        <w:t>18.38%</w:t>
      </w:r>
      <w:r w:rsidRPr="00960E47">
        <w:rPr>
          <w:rFonts w:ascii="Times New Roman" w:eastAsia="楷体_GB2312" w:hAnsi="Times New Roman" w:hint="eastAsia"/>
          <w:szCs w:val="21"/>
        </w:rPr>
        <w:t>。在同业存单（一年以下占比纳入同业负债监管、一年以上禁止发行）受到限制的监管要求下，预计未来规模将持续收缩。</w:t>
      </w:r>
    </w:p>
    <w:p w:rsidR="00064552" w:rsidRPr="00960E47" w:rsidRDefault="00064552" w:rsidP="00240965">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bCs/>
          <w:color w:val="000000"/>
        </w:rPr>
      </w:pPr>
    </w:p>
    <w:tbl>
      <w:tblPr>
        <w:tblW w:w="9072" w:type="dxa"/>
        <w:jc w:val="right"/>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9072"/>
      </w:tblGrid>
      <w:tr w:rsidR="00D87331" w:rsidRPr="00750071" w:rsidTr="008F6AF6">
        <w:trPr>
          <w:jc w:val="right"/>
        </w:trPr>
        <w:tc>
          <w:tcPr>
            <w:tcW w:w="9072" w:type="dxa"/>
            <w:tcBorders>
              <w:top w:val="nil"/>
              <w:bottom w:val="single" w:sz="8" w:space="0" w:color="000000"/>
            </w:tcBorders>
          </w:tcPr>
          <w:p w:rsidR="00D87331" w:rsidRPr="00C13463" w:rsidRDefault="00D87331" w:rsidP="008F6AF6">
            <w:pPr>
              <w:pStyle w:val="ab"/>
              <w:ind w:leftChars="16" w:left="34" w:rightChars="15" w:right="31"/>
              <w:jc w:val="left"/>
              <w:rPr>
                <w:rFonts w:ascii="Times New Roman" w:eastAsia="楷体_GB2312" w:hAnsi="Times New Roman"/>
                <w:sz w:val="21"/>
                <w:szCs w:val="21"/>
              </w:rPr>
            </w:pPr>
            <w:bookmarkStart w:id="11" w:name="_Toc494044060"/>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Pr>
                <w:rFonts w:ascii="Times New Roman" w:eastAsia="楷体_GB2312" w:hAnsi="Times New Roman" w:cs="Times New Roman"/>
                <w:b/>
                <w:noProof/>
                <w:color w:val="17365D"/>
                <w:sz w:val="21"/>
                <w:szCs w:val="21"/>
              </w:rPr>
              <w:t>3</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Pr>
                <w:rFonts w:ascii="Times New Roman" w:eastAsia="楷体_GB2312" w:hAnsi="Times New Roman" w:hint="eastAsia"/>
                <w:b/>
                <w:color w:val="17365D"/>
                <w:sz w:val="21"/>
                <w:szCs w:val="21"/>
              </w:rPr>
              <w:t>资产负债端规模变化（亿元）</w:t>
            </w:r>
            <w:bookmarkEnd w:id="11"/>
          </w:p>
        </w:tc>
      </w:tr>
      <w:tr w:rsidR="00D87331" w:rsidRPr="00520DC6" w:rsidTr="008F6AF6">
        <w:trPr>
          <w:trHeight w:val="264"/>
          <w:jc w:val="right"/>
        </w:trPr>
        <w:tc>
          <w:tcPr>
            <w:tcW w:w="9072" w:type="dxa"/>
            <w:tcBorders>
              <w:top w:val="single" w:sz="8" w:space="0" w:color="000000"/>
              <w:bottom w:val="single" w:sz="4" w:space="0" w:color="auto"/>
            </w:tcBorders>
          </w:tcPr>
          <w:tbl>
            <w:tblPr>
              <w:tblW w:w="8964" w:type="dxa"/>
              <w:jc w:val="right"/>
              <w:tblLayout w:type="fixed"/>
              <w:tblLook w:val="04A0" w:firstRow="1" w:lastRow="0" w:firstColumn="1" w:lastColumn="0" w:noHBand="0" w:noVBand="1"/>
            </w:tblPr>
            <w:tblGrid>
              <w:gridCol w:w="1593"/>
              <w:gridCol w:w="1418"/>
              <w:gridCol w:w="1843"/>
              <w:gridCol w:w="1984"/>
              <w:gridCol w:w="2126"/>
            </w:tblGrid>
            <w:tr w:rsidR="00D87331" w:rsidRPr="00D87331" w:rsidTr="007F62B5">
              <w:trPr>
                <w:trHeight w:val="20"/>
                <w:jc w:val="right"/>
              </w:trPr>
              <w:tc>
                <w:tcPr>
                  <w:tcW w:w="1593" w:type="dxa"/>
                  <w:shd w:val="clear" w:color="auto" w:fill="1F4E79" w:themeFill="accent1" w:themeFillShade="80"/>
                  <w:vAlign w:val="center"/>
                </w:tcPr>
                <w:p w:rsidR="00D87331" w:rsidRPr="00D87331" w:rsidRDefault="00D87331" w:rsidP="00D87331">
                  <w:pPr>
                    <w:pStyle w:val="af5"/>
                    <w:spacing w:before="0" w:beforeAutospacing="0" w:after="0" w:afterAutospacing="0"/>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上市银行整体</w:t>
                  </w:r>
                </w:p>
              </w:tc>
              <w:tc>
                <w:tcPr>
                  <w:tcW w:w="1418"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6月末规模</w:t>
                  </w:r>
                </w:p>
              </w:tc>
              <w:tc>
                <w:tcPr>
                  <w:tcW w:w="1843"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6月末规模占比</w:t>
                  </w:r>
                </w:p>
              </w:tc>
              <w:tc>
                <w:tcPr>
                  <w:tcW w:w="1984"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规模较3月末变动</w:t>
                  </w:r>
                </w:p>
              </w:tc>
              <w:tc>
                <w:tcPr>
                  <w:tcW w:w="2126"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规模较16年末变动</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总资产</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1,450,746</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1.19%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4.14%</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贷款总额</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729,526</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50.29%</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2.89%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7.33%</w:t>
                  </w:r>
                </w:p>
              </w:tc>
            </w:tr>
            <w:tr w:rsidR="007F62B5" w:rsidRPr="00D87331" w:rsidTr="008F6AF6">
              <w:trPr>
                <w:trHeight w:val="20"/>
                <w:jc w:val="right"/>
              </w:trPr>
              <w:tc>
                <w:tcPr>
                  <w:tcW w:w="1593" w:type="dxa"/>
                  <w:shd w:val="clear" w:color="auto" w:fill="auto"/>
                  <w:vAlign w:val="bottom"/>
                </w:tcPr>
                <w:p w:rsidR="007F62B5" w:rsidRPr="007F62B5" w:rsidRDefault="007F62B5" w:rsidP="007F62B5">
                  <w:pPr>
                    <w:jc w:val="center"/>
                    <w:rPr>
                      <w:rFonts w:ascii="楷体" w:eastAsia="楷体" w:hAnsi="楷体"/>
                      <w:b/>
                      <w:color w:val="000000"/>
                      <w:szCs w:val="21"/>
                    </w:rPr>
                  </w:pPr>
                  <w:r w:rsidRPr="007F62B5">
                    <w:rPr>
                      <w:rFonts w:ascii="楷体" w:eastAsia="楷体" w:hAnsi="楷体" w:hint="eastAsia"/>
                      <w:b/>
                      <w:color w:val="000000"/>
                      <w:szCs w:val="21"/>
                    </w:rPr>
                    <w:t>同业资产</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88,169</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6.08%</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-3.33%</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-9.01%</w:t>
                  </w:r>
                </w:p>
              </w:tc>
            </w:tr>
            <w:tr w:rsidR="007F62B5" w:rsidRPr="00D87331" w:rsidTr="008F6AF6">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投资类资产</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408,209</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28.14%</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-0.72%</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2.63%</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ind w:right="210"/>
                    <w:jc w:val="right"/>
                    <w:textAlignment w:val="center"/>
                    <w:rPr>
                      <w:rFonts w:ascii="Arial" w:hAnsi="Arial" w:cs="Arial"/>
                      <w:sz w:val="21"/>
                      <w:szCs w:val="36"/>
                    </w:rPr>
                  </w:pPr>
                  <w:r w:rsidRPr="007F62B5">
                    <w:rPr>
                      <w:rFonts w:ascii="楷体" w:eastAsia="楷体" w:hAnsi="楷体" w:cs="Arial" w:hint="eastAsia"/>
                      <w:color w:val="000000"/>
                      <w:kern w:val="24"/>
                      <w:sz w:val="21"/>
                    </w:rPr>
                    <w:t>债券</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307,650</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21.21%</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1.60%</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4.76%</w:t>
                  </w:r>
                </w:p>
              </w:tc>
            </w:tr>
            <w:tr w:rsidR="007F62B5" w:rsidRPr="00D87331" w:rsidTr="007F62B5">
              <w:trPr>
                <w:trHeight w:val="20"/>
                <w:jc w:val="right"/>
              </w:trPr>
              <w:tc>
                <w:tcPr>
                  <w:tcW w:w="1593" w:type="dxa"/>
                  <w:tcBorders>
                    <w:bottom w:val="single" w:sz="4" w:space="0" w:color="auto"/>
                  </w:tcBorders>
                  <w:shd w:val="clear" w:color="auto" w:fill="auto"/>
                  <w:vAlign w:val="center"/>
                </w:tcPr>
                <w:p w:rsidR="007F62B5" w:rsidRPr="007F62B5" w:rsidRDefault="007F62B5" w:rsidP="007F62B5">
                  <w:pPr>
                    <w:pStyle w:val="af5"/>
                    <w:spacing w:before="0" w:beforeAutospacing="0" w:after="0" w:afterAutospacing="0"/>
                    <w:ind w:right="210"/>
                    <w:jc w:val="right"/>
                    <w:textAlignment w:val="center"/>
                    <w:rPr>
                      <w:rFonts w:ascii="Arial" w:hAnsi="Arial" w:cs="Arial"/>
                      <w:b/>
                      <w:sz w:val="21"/>
                      <w:szCs w:val="36"/>
                    </w:rPr>
                  </w:pPr>
                  <w:r w:rsidRPr="007F62B5">
                    <w:rPr>
                      <w:rFonts w:ascii="楷体" w:eastAsia="楷体" w:hAnsi="楷体" w:cs="Arial" w:hint="eastAsia"/>
                      <w:b/>
                      <w:color w:val="000000"/>
                      <w:kern w:val="24"/>
                      <w:sz w:val="21"/>
                    </w:rPr>
                    <w:t>非标</w:t>
                  </w:r>
                </w:p>
              </w:tc>
              <w:tc>
                <w:tcPr>
                  <w:tcW w:w="1418"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100,558</w:t>
                  </w:r>
                </w:p>
              </w:tc>
              <w:tc>
                <w:tcPr>
                  <w:tcW w:w="1843"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6.93%</w:t>
                  </w:r>
                </w:p>
              </w:tc>
              <w:tc>
                <w:tcPr>
                  <w:tcW w:w="1984"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-7.20%</w:t>
                  </w:r>
                </w:p>
              </w:tc>
              <w:tc>
                <w:tcPr>
                  <w:tcW w:w="2126" w:type="dxa"/>
                  <w:tcBorders>
                    <w:bottom w:val="single" w:sz="4" w:space="0" w:color="auto"/>
                  </w:tcBorders>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-3.36%</w:t>
                  </w:r>
                </w:p>
              </w:tc>
            </w:tr>
            <w:tr w:rsidR="007F62B5" w:rsidRPr="00D87331" w:rsidTr="007F62B5">
              <w:trPr>
                <w:trHeight w:val="20"/>
                <w:jc w:val="right"/>
              </w:trPr>
              <w:tc>
                <w:tcPr>
                  <w:tcW w:w="1593" w:type="dxa"/>
                  <w:tcBorders>
                    <w:top w:val="single" w:sz="4" w:space="0" w:color="auto"/>
                  </w:tcBorders>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总负债</w:t>
                  </w:r>
                </w:p>
              </w:tc>
              <w:tc>
                <w:tcPr>
                  <w:tcW w:w="1418"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1,346,633</w:t>
                  </w:r>
                </w:p>
              </w:tc>
              <w:tc>
                <w:tcPr>
                  <w:tcW w:w="1843"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w:t>
                  </w:r>
                </w:p>
              </w:tc>
              <w:tc>
                <w:tcPr>
                  <w:tcW w:w="1984"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1.29%</w:t>
                  </w:r>
                </w:p>
              </w:tc>
              <w:tc>
                <w:tcPr>
                  <w:tcW w:w="2126" w:type="dxa"/>
                  <w:tcBorders>
                    <w:top w:val="single" w:sz="4" w:space="0" w:color="auto"/>
                  </w:tcBorders>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4.18%</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存款总额</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979,039</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72.70%</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1.19%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5.66%</w:t>
                  </w:r>
                </w:p>
              </w:tc>
            </w:tr>
            <w:tr w:rsidR="00D87331" w:rsidRPr="00D87331" w:rsidTr="007F62B5">
              <w:trPr>
                <w:trHeight w:val="20"/>
                <w:jc w:val="right"/>
              </w:trPr>
              <w:tc>
                <w:tcPr>
                  <w:tcW w:w="1593" w:type="dxa"/>
                  <w:shd w:val="clear" w:color="auto" w:fill="auto"/>
                  <w:vAlign w:val="center"/>
                </w:tcPr>
                <w:p w:rsidR="00D87331" w:rsidRPr="007F62B5" w:rsidRDefault="00D87331" w:rsidP="007F62B5">
                  <w:pPr>
                    <w:pStyle w:val="af5"/>
                    <w:spacing w:before="0" w:beforeAutospacing="0" w:after="0" w:afterAutospacing="0"/>
                    <w:jc w:val="center"/>
                    <w:textAlignment w:val="center"/>
                    <w:rPr>
                      <w:rFonts w:ascii="Arial" w:hAnsi="Arial" w:cs="Arial"/>
                      <w:b/>
                      <w:sz w:val="21"/>
                      <w:szCs w:val="21"/>
                    </w:rPr>
                  </w:pPr>
                  <w:r w:rsidRPr="007F62B5">
                    <w:rPr>
                      <w:rFonts w:ascii="楷体" w:eastAsia="楷体" w:hAnsi="楷体" w:cs="Arial" w:hint="eastAsia"/>
                      <w:b/>
                      <w:bCs/>
                      <w:color w:val="000000"/>
                      <w:kern w:val="24"/>
                      <w:sz w:val="21"/>
                      <w:szCs w:val="21"/>
                    </w:rPr>
                    <w:t>同业负债</w:t>
                  </w:r>
                </w:p>
              </w:tc>
              <w:tc>
                <w:tcPr>
                  <w:tcW w:w="1418"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188,181</w:t>
                  </w:r>
                </w:p>
              </w:tc>
              <w:tc>
                <w:tcPr>
                  <w:tcW w:w="1843"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13.97%</w:t>
                  </w:r>
                </w:p>
              </w:tc>
              <w:tc>
                <w:tcPr>
                  <w:tcW w:w="1984"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-1.79%</w:t>
                  </w:r>
                </w:p>
              </w:tc>
              <w:tc>
                <w:tcPr>
                  <w:tcW w:w="2126" w:type="dxa"/>
                  <w:shd w:val="clear" w:color="auto" w:fill="auto"/>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-9.11%</w:t>
                  </w:r>
                </w:p>
              </w:tc>
            </w:tr>
            <w:tr w:rsidR="00D87331" w:rsidRPr="00D87331" w:rsidTr="00D87331">
              <w:trPr>
                <w:trHeight w:val="20"/>
                <w:jc w:val="right"/>
              </w:trPr>
              <w:tc>
                <w:tcPr>
                  <w:tcW w:w="1593" w:type="dxa"/>
                  <w:shd w:val="clear" w:color="auto" w:fill="auto"/>
                  <w:vAlign w:val="center"/>
                </w:tcPr>
                <w:p w:rsidR="00D87331" w:rsidRPr="007F62B5" w:rsidRDefault="00D87331" w:rsidP="007F62B5">
                  <w:pPr>
                    <w:pStyle w:val="af5"/>
                    <w:spacing w:before="0" w:beforeAutospacing="0" w:after="0" w:afterAutospacing="0"/>
                    <w:jc w:val="center"/>
                    <w:textAlignment w:val="center"/>
                    <w:rPr>
                      <w:rFonts w:ascii="Arial" w:hAnsi="Arial" w:cs="Arial"/>
                      <w:b/>
                      <w:sz w:val="21"/>
                      <w:szCs w:val="21"/>
                    </w:rPr>
                  </w:pPr>
                  <w:r w:rsidRPr="007F62B5">
                    <w:rPr>
                      <w:rFonts w:ascii="楷体" w:eastAsia="楷体" w:hAnsi="楷体" w:cs="Arial" w:hint="eastAsia"/>
                      <w:b/>
                      <w:bCs/>
                      <w:color w:val="000000"/>
                      <w:kern w:val="24"/>
                      <w:sz w:val="21"/>
                      <w:szCs w:val="21"/>
                    </w:rPr>
                    <w:t>同业存单</w:t>
                  </w:r>
                </w:p>
              </w:tc>
              <w:tc>
                <w:tcPr>
                  <w:tcW w:w="1418"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40,322</w:t>
                  </w:r>
                </w:p>
              </w:tc>
              <w:tc>
                <w:tcPr>
                  <w:tcW w:w="1843"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2.99%</w:t>
                  </w:r>
                </w:p>
              </w:tc>
              <w:tc>
                <w:tcPr>
                  <w:tcW w:w="1984"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-3.65%</w:t>
                  </w:r>
                </w:p>
              </w:tc>
              <w:tc>
                <w:tcPr>
                  <w:tcW w:w="2126" w:type="dxa"/>
                  <w:shd w:val="clear" w:color="auto" w:fill="auto"/>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18.38%</w:t>
                  </w:r>
                </w:p>
              </w:tc>
            </w:tr>
          </w:tbl>
          <w:p w:rsidR="00D87331" w:rsidRPr="00520DC6" w:rsidRDefault="00D87331" w:rsidP="008F6AF6">
            <w:pPr>
              <w:snapToGrid w:val="0"/>
              <w:jc w:val="center"/>
              <w:rPr>
                <w:rFonts w:ascii="Times New Roman" w:eastAsia="楷体_GB2312" w:hAnsi="Times New Roman"/>
                <w:b/>
              </w:rPr>
            </w:pPr>
          </w:p>
        </w:tc>
      </w:tr>
      <w:tr w:rsidR="00D87331" w:rsidRPr="00C13463" w:rsidTr="008F6AF6">
        <w:trPr>
          <w:jc w:val="right"/>
        </w:trPr>
        <w:tc>
          <w:tcPr>
            <w:tcW w:w="9072" w:type="dxa"/>
            <w:tcBorders>
              <w:top w:val="single" w:sz="4" w:space="0" w:color="auto"/>
              <w:bottom w:val="nil"/>
            </w:tcBorders>
          </w:tcPr>
          <w:p w:rsidR="00D87331" w:rsidRPr="006665C3" w:rsidRDefault="00D87331"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tc>
      </w:tr>
    </w:tbl>
    <w:p w:rsidR="003958C6" w:rsidRPr="00D87331" w:rsidRDefault="003958C6" w:rsidP="000039BB">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D87331" w:rsidRPr="00960E47" w:rsidRDefault="00D87331" w:rsidP="00D87331">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szCs w:val="21"/>
        </w:rPr>
      </w:pPr>
      <w:r>
        <w:rPr>
          <w:rFonts w:ascii="Times New Roman" w:eastAsia="楷体_GB2312" w:hAnsi="Times New Roman" w:hint="eastAsia"/>
          <w:szCs w:val="21"/>
        </w:rPr>
        <w:t>从上半年理财半年报来看：</w:t>
      </w:r>
      <w:r w:rsidR="007F62B5">
        <w:rPr>
          <w:rFonts w:ascii="Times New Roman" w:eastAsia="楷体_GB2312" w:hAnsi="Times New Roman" w:hint="eastAsia"/>
          <w:szCs w:val="21"/>
        </w:rPr>
        <w:t>1</w:t>
      </w:r>
      <w:r w:rsidR="007F62B5">
        <w:rPr>
          <w:rFonts w:ascii="Times New Roman" w:eastAsia="楷体_GB2312" w:hAnsi="Times New Roman" w:hint="eastAsia"/>
          <w:szCs w:val="21"/>
        </w:rPr>
        <w:t>）</w:t>
      </w:r>
      <w:r w:rsidR="007F62B5" w:rsidRPr="007F62B5">
        <w:rPr>
          <w:rFonts w:ascii="Times New Roman" w:eastAsia="楷体_GB2312" w:hAnsi="Times New Roman" w:hint="eastAsia"/>
          <w:bCs/>
          <w:szCs w:val="21"/>
          <w:u w:val="single"/>
        </w:rPr>
        <w:t>银行理财产品余额较年初略有下降。</w:t>
      </w:r>
      <w:r w:rsidR="007F62B5" w:rsidRPr="007F62B5">
        <w:rPr>
          <w:rFonts w:ascii="Times New Roman" w:eastAsia="楷体_GB2312" w:hAnsi="Times New Roman" w:hint="eastAsia"/>
          <w:bCs/>
          <w:color w:val="000000"/>
          <w:szCs w:val="24"/>
        </w:rPr>
        <w:t>截至</w:t>
      </w:r>
      <w:r w:rsidR="007F62B5" w:rsidRPr="007F62B5">
        <w:rPr>
          <w:rFonts w:ascii="Times New Roman" w:eastAsia="楷体_GB2312" w:hAnsi="Times New Roman" w:hint="eastAsia"/>
          <w:bCs/>
          <w:color w:val="000000"/>
          <w:szCs w:val="24"/>
        </w:rPr>
        <w:t>2017</w:t>
      </w:r>
      <w:r w:rsidR="007F62B5" w:rsidRPr="007F62B5">
        <w:rPr>
          <w:rFonts w:ascii="Times New Roman" w:eastAsia="楷体_GB2312" w:hAnsi="Times New Roman" w:hint="eastAsia"/>
          <w:bCs/>
          <w:color w:val="000000"/>
          <w:szCs w:val="24"/>
        </w:rPr>
        <w:t>年</w:t>
      </w:r>
      <w:r w:rsidR="007F62B5" w:rsidRPr="007F62B5">
        <w:rPr>
          <w:rFonts w:ascii="Times New Roman" w:eastAsia="楷体_GB2312" w:hAnsi="Times New Roman" w:hint="eastAsia"/>
          <w:bCs/>
          <w:color w:val="000000"/>
          <w:szCs w:val="24"/>
        </w:rPr>
        <w:t>6</w:t>
      </w:r>
      <w:r w:rsidR="007F62B5" w:rsidRPr="007F62B5">
        <w:rPr>
          <w:rFonts w:ascii="Times New Roman" w:eastAsia="楷体_GB2312" w:hAnsi="Times New Roman" w:hint="eastAsia"/>
          <w:bCs/>
          <w:color w:val="000000"/>
          <w:szCs w:val="24"/>
        </w:rPr>
        <w:t>月底，全国银行业金融机构理财产品存续余额</w:t>
      </w:r>
      <w:r w:rsidR="007F62B5" w:rsidRPr="007F62B5">
        <w:rPr>
          <w:rFonts w:ascii="Times New Roman" w:eastAsia="楷体_GB2312" w:hAnsi="Times New Roman" w:hint="eastAsia"/>
          <w:bCs/>
          <w:color w:val="000000"/>
          <w:szCs w:val="24"/>
        </w:rPr>
        <w:t>28.38</w:t>
      </w:r>
      <w:r w:rsidR="007F62B5" w:rsidRPr="007F62B5">
        <w:rPr>
          <w:rFonts w:ascii="Times New Roman" w:eastAsia="楷体_GB2312" w:hAnsi="Times New Roman" w:hint="eastAsia"/>
          <w:bCs/>
          <w:color w:val="000000"/>
          <w:szCs w:val="24"/>
        </w:rPr>
        <w:t>万亿元，较</w:t>
      </w:r>
      <w:r w:rsidR="007F62B5" w:rsidRPr="007F62B5">
        <w:rPr>
          <w:rFonts w:ascii="Times New Roman" w:eastAsia="楷体_GB2312" w:hAnsi="Times New Roman" w:hint="eastAsia"/>
          <w:bCs/>
          <w:color w:val="000000"/>
          <w:szCs w:val="24"/>
        </w:rPr>
        <w:t>2017</w:t>
      </w:r>
      <w:r w:rsidR="007F62B5" w:rsidRPr="007F62B5">
        <w:rPr>
          <w:rFonts w:ascii="Times New Roman" w:eastAsia="楷体_GB2312" w:hAnsi="Times New Roman" w:hint="eastAsia"/>
          <w:bCs/>
          <w:color w:val="000000"/>
          <w:szCs w:val="24"/>
        </w:rPr>
        <w:t>年年初减少</w:t>
      </w:r>
      <w:r w:rsidR="007F62B5" w:rsidRPr="007F62B5">
        <w:rPr>
          <w:rFonts w:ascii="Times New Roman" w:eastAsia="楷体_GB2312" w:hAnsi="Times New Roman" w:hint="eastAsia"/>
          <w:bCs/>
          <w:color w:val="000000"/>
          <w:szCs w:val="24"/>
        </w:rPr>
        <w:t>0.67</w:t>
      </w:r>
      <w:r w:rsidR="007F62B5" w:rsidRPr="007F62B5">
        <w:rPr>
          <w:rFonts w:ascii="Times New Roman" w:eastAsia="楷体_GB2312" w:hAnsi="Times New Roman" w:hint="eastAsia"/>
          <w:bCs/>
          <w:color w:val="000000"/>
          <w:szCs w:val="24"/>
        </w:rPr>
        <w:t>万亿元，较去年同期增长</w:t>
      </w:r>
      <w:r w:rsidR="007F62B5" w:rsidRPr="007F62B5">
        <w:rPr>
          <w:rFonts w:ascii="Times New Roman" w:eastAsia="楷体_GB2312" w:hAnsi="Times New Roman" w:hint="eastAsia"/>
          <w:bCs/>
          <w:color w:val="000000"/>
          <w:szCs w:val="24"/>
        </w:rPr>
        <w:t>8%</w:t>
      </w:r>
      <w:r w:rsidR="007F62B5" w:rsidRPr="007F62B5">
        <w:rPr>
          <w:rFonts w:ascii="Times New Roman" w:eastAsia="楷体_GB2312" w:hAnsi="Times New Roman" w:hint="eastAsia"/>
          <w:bCs/>
          <w:color w:val="000000"/>
          <w:szCs w:val="24"/>
        </w:rPr>
        <w:t>、增速较去年同期下降</w:t>
      </w:r>
      <w:r w:rsidR="007F62B5" w:rsidRPr="007F62B5">
        <w:rPr>
          <w:rFonts w:ascii="Times New Roman" w:eastAsia="楷体_GB2312" w:hAnsi="Times New Roman" w:hint="eastAsia"/>
          <w:bCs/>
          <w:color w:val="000000"/>
          <w:szCs w:val="24"/>
        </w:rPr>
        <w:t>35</w:t>
      </w:r>
      <w:r w:rsidR="007F62B5" w:rsidRPr="007F62B5">
        <w:rPr>
          <w:rFonts w:ascii="Times New Roman" w:eastAsia="楷体_GB2312" w:hAnsi="Times New Roman" w:hint="eastAsia"/>
          <w:bCs/>
          <w:color w:val="000000"/>
          <w:szCs w:val="24"/>
        </w:rPr>
        <w:t>个百分点。</w:t>
      </w:r>
      <w:r w:rsidR="007F62B5">
        <w:rPr>
          <w:rFonts w:ascii="Times New Roman" w:eastAsia="楷体_GB2312" w:hAnsi="Times New Roman" w:hint="eastAsia"/>
          <w:bCs/>
          <w:color w:val="000000"/>
          <w:szCs w:val="24"/>
        </w:rPr>
        <w:t>2</w:t>
      </w:r>
      <w:r w:rsidR="007F62B5">
        <w:rPr>
          <w:rFonts w:ascii="Times New Roman" w:eastAsia="楷体_GB2312" w:hAnsi="Times New Roman" w:hint="eastAsia"/>
          <w:bCs/>
          <w:color w:val="000000"/>
          <w:szCs w:val="24"/>
        </w:rPr>
        <w:t>）</w:t>
      </w:r>
      <w:r w:rsidR="007F62B5" w:rsidRPr="007F62B5">
        <w:rPr>
          <w:rFonts w:ascii="Times New Roman" w:eastAsia="楷体_GB2312" w:hAnsi="Times New Roman" w:hint="eastAsia"/>
          <w:bCs/>
          <w:color w:val="000000"/>
          <w:szCs w:val="24"/>
          <w:u w:val="single"/>
        </w:rPr>
        <w:t>同业理财余额和占比实现双降。</w:t>
      </w:r>
      <w:r w:rsidR="007F62B5" w:rsidRPr="007F62B5">
        <w:rPr>
          <w:rFonts w:ascii="Times New Roman" w:eastAsia="楷体_GB2312" w:hAnsi="Times New Roman" w:hint="eastAsia"/>
          <w:bCs/>
          <w:color w:val="000000"/>
          <w:szCs w:val="24"/>
        </w:rPr>
        <w:t>金融同业类产品存续余额为</w:t>
      </w:r>
      <w:r w:rsidR="007F62B5" w:rsidRPr="007F62B5">
        <w:rPr>
          <w:rFonts w:ascii="Times New Roman" w:eastAsia="楷体_GB2312" w:hAnsi="Times New Roman"/>
          <w:bCs/>
          <w:color w:val="000000"/>
          <w:szCs w:val="24"/>
        </w:rPr>
        <w:t>4.61</w:t>
      </w:r>
      <w:r w:rsidR="007F62B5" w:rsidRPr="007F62B5">
        <w:rPr>
          <w:rFonts w:ascii="Times New Roman" w:eastAsia="楷体_GB2312" w:hAnsi="Times New Roman" w:hint="eastAsia"/>
          <w:bCs/>
          <w:color w:val="000000"/>
          <w:szCs w:val="24"/>
        </w:rPr>
        <w:t>万亿元，占全部理财产品存续余额的</w:t>
      </w:r>
      <w:r w:rsidR="007F62B5" w:rsidRPr="007F62B5">
        <w:rPr>
          <w:rFonts w:ascii="Times New Roman" w:eastAsia="楷体_GB2312" w:hAnsi="Times New Roman"/>
          <w:bCs/>
          <w:color w:val="000000"/>
          <w:szCs w:val="24"/>
        </w:rPr>
        <w:t>16.24%</w:t>
      </w:r>
      <w:r w:rsidR="007F62B5" w:rsidRPr="007F62B5">
        <w:rPr>
          <w:rFonts w:ascii="Times New Roman" w:eastAsia="楷体_GB2312" w:hAnsi="Times New Roman" w:hint="eastAsia"/>
          <w:bCs/>
          <w:color w:val="000000"/>
          <w:szCs w:val="24"/>
        </w:rPr>
        <w:t>。</w:t>
      </w:r>
      <w:r w:rsidR="007F62B5" w:rsidRPr="007F62B5">
        <w:rPr>
          <w:rFonts w:ascii="Times New Roman" w:eastAsia="楷体_GB2312" w:hAnsi="Times New Roman" w:hint="eastAsia"/>
          <w:bCs/>
          <w:color w:val="000000"/>
          <w:szCs w:val="24"/>
          <w:u w:val="single"/>
        </w:rPr>
        <w:t>其</w:t>
      </w:r>
      <w:r w:rsidR="007F62B5" w:rsidRPr="007F62B5">
        <w:rPr>
          <w:rFonts w:ascii="Times New Roman" w:eastAsia="楷体_GB2312" w:hAnsi="Times New Roman" w:hint="eastAsia"/>
          <w:bCs/>
          <w:color w:val="000000"/>
          <w:szCs w:val="24"/>
        </w:rPr>
        <w:t>余额和占比均较年初双降，产品余额较年初减少</w:t>
      </w:r>
      <w:r w:rsidR="007F62B5" w:rsidRPr="007F62B5">
        <w:rPr>
          <w:rFonts w:ascii="Times New Roman" w:eastAsia="楷体_GB2312" w:hAnsi="Times New Roman"/>
          <w:bCs/>
          <w:color w:val="000000"/>
          <w:szCs w:val="24"/>
        </w:rPr>
        <w:t>2</w:t>
      </w:r>
      <w:r w:rsidR="007F62B5" w:rsidRPr="007F62B5">
        <w:rPr>
          <w:rFonts w:ascii="Times New Roman" w:eastAsia="楷体_GB2312" w:hAnsi="Times New Roman" w:hint="eastAsia"/>
          <w:bCs/>
          <w:color w:val="000000"/>
          <w:szCs w:val="24"/>
        </w:rPr>
        <w:t>万亿元，下降了</w:t>
      </w:r>
      <w:r w:rsidR="007F62B5" w:rsidRPr="007F62B5">
        <w:rPr>
          <w:rFonts w:ascii="Times New Roman" w:eastAsia="楷体_GB2312" w:hAnsi="Times New Roman"/>
          <w:bCs/>
          <w:color w:val="000000"/>
          <w:szCs w:val="24"/>
        </w:rPr>
        <w:t>31%</w:t>
      </w:r>
      <w:r w:rsidR="007F62B5" w:rsidRPr="007F62B5">
        <w:rPr>
          <w:rFonts w:ascii="Times New Roman" w:eastAsia="楷体_GB2312" w:hAnsi="Times New Roman" w:hint="eastAsia"/>
          <w:bCs/>
          <w:color w:val="000000"/>
          <w:szCs w:val="24"/>
        </w:rPr>
        <w:t>，连续</w:t>
      </w:r>
      <w:r w:rsidR="007F62B5" w:rsidRPr="007F62B5">
        <w:rPr>
          <w:rFonts w:ascii="Times New Roman" w:eastAsia="楷体_GB2312" w:hAnsi="Times New Roman"/>
          <w:bCs/>
          <w:color w:val="000000"/>
          <w:szCs w:val="24"/>
        </w:rPr>
        <w:t>5</w:t>
      </w:r>
      <w:r w:rsidR="007F62B5" w:rsidRPr="007F62B5">
        <w:rPr>
          <w:rFonts w:ascii="Times New Roman" w:eastAsia="楷体_GB2312" w:hAnsi="Times New Roman" w:hint="eastAsia"/>
          <w:bCs/>
          <w:color w:val="000000"/>
          <w:szCs w:val="24"/>
        </w:rPr>
        <w:t>个月环比下降；占比较年初下降</w:t>
      </w:r>
      <w:r w:rsidR="007F62B5" w:rsidRPr="007F62B5">
        <w:rPr>
          <w:rFonts w:ascii="Times New Roman" w:eastAsia="楷体_GB2312" w:hAnsi="Times New Roman"/>
          <w:bCs/>
          <w:color w:val="000000"/>
          <w:szCs w:val="24"/>
        </w:rPr>
        <w:t>7</w:t>
      </w:r>
      <w:r w:rsidR="007F62B5" w:rsidRPr="007F62B5">
        <w:rPr>
          <w:rFonts w:ascii="Times New Roman" w:eastAsia="楷体_GB2312" w:hAnsi="Times New Roman" w:hint="eastAsia"/>
          <w:bCs/>
          <w:color w:val="000000"/>
          <w:szCs w:val="24"/>
        </w:rPr>
        <w:t>个百分点。</w:t>
      </w:r>
    </w:p>
    <w:p w:rsidR="008D1A88" w:rsidRDefault="008D1A88" w:rsidP="00AF7C82">
      <w:pPr>
        <w:pStyle w:val="2"/>
        <w:numPr>
          <w:ilvl w:val="0"/>
          <w:numId w:val="0"/>
        </w:numPr>
      </w:pPr>
    </w:p>
    <w:p w:rsidR="007F62B5" w:rsidRDefault="007F62B5" w:rsidP="007F62B5"/>
    <w:p w:rsidR="007F62B5" w:rsidRDefault="007F62B5" w:rsidP="007F62B5"/>
    <w:p w:rsidR="007F62B5" w:rsidRDefault="007F62B5" w:rsidP="007F62B5"/>
    <w:p w:rsidR="007F62B5" w:rsidRDefault="007F62B5" w:rsidP="007F62B5"/>
    <w:p w:rsidR="007F62B5" w:rsidRPr="007F62B5" w:rsidRDefault="007F62B5" w:rsidP="007F62B5"/>
    <w:tbl>
      <w:tblPr>
        <w:tblW w:w="6051" w:type="dxa"/>
        <w:jc w:val="right"/>
        <w:tblBorders>
          <w:bottom w:val="single" w:sz="4" w:space="0" w:color="000000"/>
          <w:insideH w:val="single" w:sz="4" w:space="0" w:color="000000"/>
          <w:insideV w:val="single" w:sz="4" w:space="0" w:color="000000"/>
        </w:tblBorders>
        <w:tblLook w:val="04A0" w:firstRow="1" w:lastRow="0" w:firstColumn="1" w:lastColumn="0" w:noHBand="0" w:noVBand="1"/>
      </w:tblPr>
      <w:tblGrid>
        <w:gridCol w:w="7416"/>
      </w:tblGrid>
      <w:tr w:rsidR="007F62B5" w:rsidRPr="00C13463" w:rsidTr="008F6AF6">
        <w:trPr>
          <w:jc w:val="right"/>
        </w:trPr>
        <w:tc>
          <w:tcPr>
            <w:tcW w:w="6051" w:type="dxa"/>
            <w:tcBorders>
              <w:bottom w:val="single" w:sz="8" w:space="0" w:color="000000"/>
            </w:tcBorders>
          </w:tcPr>
          <w:p w:rsidR="007F62B5" w:rsidRPr="00C13463" w:rsidRDefault="007F62B5" w:rsidP="008F6AF6">
            <w:pPr>
              <w:pStyle w:val="ab"/>
              <w:jc w:val="left"/>
              <w:rPr>
                <w:rFonts w:ascii="Times New Roman" w:eastAsia="楷体_GB2312" w:hAnsi="Times New Roman"/>
                <w:sz w:val="21"/>
                <w:szCs w:val="21"/>
              </w:rPr>
            </w:pPr>
            <w:bookmarkStart w:id="12" w:name="_Toc494017107"/>
            <w:bookmarkStart w:id="13" w:name="_Toc494044061"/>
            <w:r w:rsidRPr="00C13463">
              <w:rPr>
                <w:rFonts w:ascii="Times New Roman" w:eastAsia="楷体_GB2312" w:hAnsi="Times New Roman" w:hint="eastAsia"/>
                <w:b/>
                <w:color w:val="17365D"/>
                <w:sz w:val="21"/>
                <w:szCs w:val="21"/>
              </w:rPr>
              <w:t>图表</w:t>
            </w:r>
            <w:r w:rsidRPr="009533D9">
              <w:rPr>
                <w:rFonts w:ascii="Times New Roman" w:eastAsia="楷体_GB2312" w:hAnsi="Times New Roman"/>
                <w:b/>
                <w:color w:val="17365D"/>
                <w:kern w:val="0"/>
                <w:sz w:val="21"/>
                <w:szCs w:val="21"/>
              </w:rPr>
              <w:fldChar w:fldCharType="begin"/>
            </w:r>
            <w:r w:rsidRPr="009533D9">
              <w:rPr>
                <w:rFonts w:ascii="Times New Roman" w:eastAsia="楷体_GB2312" w:hAnsi="Times New Roman"/>
                <w:b/>
                <w:color w:val="17365D"/>
                <w:kern w:val="0"/>
                <w:sz w:val="21"/>
                <w:szCs w:val="21"/>
              </w:rPr>
              <w:instrText xml:space="preserve"> </w:instrText>
            </w:r>
            <w:r w:rsidRPr="009533D9">
              <w:rPr>
                <w:rFonts w:ascii="Times New Roman" w:eastAsia="楷体_GB2312" w:hAnsi="Times New Roman" w:hint="eastAsia"/>
                <w:b/>
                <w:color w:val="17365D"/>
                <w:kern w:val="0"/>
                <w:sz w:val="21"/>
                <w:szCs w:val="21"/>
              </w:rPr>
              <w:instrText xml:space="preserve">SEQ </w:instrText>
            </w:r>
            <w:r w:rsidRPr="009533D9">
              <w:rPr>
                <w:rFonts w:ascii="Times New Roman" w:eastAsia="楷体_GB2312" w:hAnsi="Times New Roman" w:hint="eastAsia"/>
                <w:b/>
                <w:color w:val="17365D"/>
                <w:kern w:val="0"/>
                <w:sz w:val="21"/>
                <w:szCs w:val="21"/>
              </w:rPr>
              <w:instrText>图表</w:instrText>
            </w:r>
            <w:r w:rsidRPr="009533D9">
              <w:rPr>
                <w:rFonts w:ascii="Times New Roman" w:eastAsia="楷体_GB2312" w:hAnsi="Times New Roman" w:hint="eastAsia"/>
                <w:b/>
                <w:color w:val="17365D"/>
                <w:kern w:val="0"/>
                <w:sz w:val="21"/>
                <w:szCs w:val="21"/>
              </w:rPr>
              <w:instrText xml:space="preserve"> \* ARABIC</w:instrText>
            </w:r>
            <w:r w:rsidRPr="009533D9">
              <w:rPr>
                <w:rFonts w:ascii="Times New Roman" w:eastAsia="楷体_GB2312" w:hAnsi="Times New Roman"/>
                <w:b/>
                <w:color w:val="17365D"/>
                <w:kern w:val="0"/>
                <w:sz w:val="21"/>
                <w:szCs w:val="21"/>
              </w:rPr>
              <w:instrText xml:space="preserve"> </w:instrText>
            </w:r>
            <w:r w:rsidRPr="009533D9">
              <w:rPr>
                <w:rFonts w:ascii="Times New Roman" w:eastAsia="楷体_GB2312" w:hAnsi="Times New Roman"/>
                <w:b/>
                <w:color w:val="17365D"/>
                <w:kern w:val="0"/>
                <w:sz w:val="21"/>
                <w:szCs w:val="21"/>
              </w:rPr>
              <w:fldChar w:fldCharType="separate"/>
            </w:r>
            <w:r>
              <w:rPr>
                <w:rFonts w:ascii="Times New Roman" w:eastAsia="楷体_GB2312" w:hAnsi="Times New Roman"/>
                <w:b/>
                <w:noProof/>
                <w:color w:val="17365D"/>
                <w:kern w:val="0"/>
                <w:sz w:val="21"/>
                <w:szCs w:val="21"/>
              </w:rPr>
              <w:t>4</w:t>
            </w:r>
            <w:r w:rsidRPr="009533D9">
              <w:rPr>
                <w:rFonts w:ascii="Times New Roman" w:eastAsia="楷体_GB2312" w:hAnsi="Times New Roman"/>
                <w:b/>
                <w:color w:val="17365D"/>
                <w:kern w:val="0"/>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银行近五年理财规模及同比增速情况</w:t>
            </w:r>
            <w:bookmarkEnd w:id="12"/>
            <w:bookmarkEnd w:id="13"/>
          </w:p>
        </w:tc>
      </w:tr>
      <w:tr w:rsidR="007F62B5" w:rsidRPr="00C13463" w:rsidTr="008F6AF6">
        <w:trPr>
          <w:trHeight w:val="3456"/>
          <w:jc w:val="right"/>
        </w:trPr>
        <w:tc>
          <w:tcPr>
            <w:tcW w:w="6051" w:type="dxa"/>
            <w:tcBorders>
              <w:top w:val="single" w:sz="8" w:space="0" w:color="000000"/>
              <w:bottom w:val="single" w:sz="8" w:space="0" w:color="000000"/>
            </w:tcBorders>
          </w:tcPr>
          <w:p w:rsidR="007F62B5" w:rsidRPr="00C13463" w:rsidRDefault="007F62B5" w:rsidP="008F6AF6">
            <w:pPr>
              <w:snapToGrid w:val="0"/>
              <w:jc w:val="center"/>
              <w:rPr>
                <w:rFonts w:ascii="Times New Roman" w:eastAsia="楷体_GB2312" w:hAnsi="Times New Roman"/>
              </w:rPr>
            </w:pPr>
            <w:r>
              <w:rPr>
                <w:noProof/>
              </w:rPr>
              <w:drawing>
                <wp:inline distT="0" distB="0" distL="0" distR="0" wp14:anchorId="022B32B5" wp14:editId="4638232E">
                  <wp:extent cx="4572000" cy="2809875"/>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7F62B5" w:rsidRPr="00C13463" w:rsidTr="008F6AF6">
        <w:trPr>
          <w:jc w:val="right"/>
        </w:trPr>
        <w:tc>
          <w:tcPr>
            <w:tcW w:w="6051" w:type="dxa"/>
            <w:tcBorders>
              <w:top w:val="single" w:sz="8" w:space="0" w:color="000000"/>
              <w:bottom w:val="nil"/>
            </w:tcBorders>
          </w:tcPr>
          <w:p w:rsidR="007F62B5" w:rsidRPr="00C13463" w:rsidRDefault="007F62B5" w:rsidP="008F6AF6">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7F62B5" w:rsidRPr="007F62B5" w:rsidRDefault="007F62B5" w:rsidP="007F62B5">
      <w:pPr>
        <w:rPr>
          <w:b/>
        </w:rPr>
      </w:pPr>
    </w:p>
    <w:p w:rsidR="008D1A88" w:rsidRPr="008D1A88" w:rsidRDefault="00F942AF" w:rsidP="00AF7C82">
      <w:pPr>
        <w:pStyle w:val="2"/>
        <w:ind w:firstLine="1844"/>
      </w:pPr>
      <w:bookmarkStart w:id="14" w:name="_Toc494044217"/>
      <w:r>
        <w:rPr>
          <w:rFonts w:hint="eastAsia"/>
        </w:rPr>
        <w:t>金融监管仍在继续，</w:t>
      </w:r>
      <w:r w:rsidR="00DD1E83">
        <w:rPr>
          <w:rFonts w:hint="eastAsia"/>
        </w:rPr>
        <w:t>规范各项业务发展，落实穿透登记工作</w:t>
      </w:r>
      <w:bookmarkEnd w:id="14"/>
    </w:p>
    <w:p w:rsidR="00E17E19" w:rsidRDefault="00DD1E83" w:rsidP="008D1A88">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Cs/>
          <w:color w:val="000000"/>
          <w:szCs w:val="24"/>
        </w:rPr>
      </w:pPr>
      <w:r w:rsidRPr="00DD1E83">
        <w:rPr>
          <w:rFonts w:ascii="Times New Roman" w:eastAsia="楷体_GB2312" w:hAnsi="Times New Roman" w:hint="eastAsia"/>
          <w:b/>
          <w:bCs/>
          <w:color w:val="000000"/>
          <w:szCs w:val="24"/>
        </w:rPr>
        <w:t>未来银行业务操作更加规范</w:t>
      </w:r>
      <w:r w:rsidR="00E17E19">
        <w:rPr>
          <w:rFonts w:ascii="Times New Roman" w:eastAsia="楷体_GB2312" w:hAnsi="Times New Roman" w:hint="eastAsia"/>
          <w:b/>
          <w:bCs/>
          <w:color w:val="000000"/>
          <w:szCs w:val="24"/>
        </w:rPr>
        <w:t>，底层穿透势在必行</w:t>
      </w:r>
      <w:r>
        <w:rPr>
          <w:rFonts w:ascii="Times New Roman" w:eastAsia="楷体_GB2312" w:hAnsi="Times New Roman" w:hint="eastAsia"/>
          <w:bCs/>
          <w:color w:val="000000"/>
          <w:szCs w:val="24"/>
        </w:rPr>
        <w:t>。</w:t>
      </w:r>
      <w:r w:rsidRPr="00DD1E83">
        <w:rPr>
          <w:rFonts w:ascii="Times New Roman" w:eastAsia="楷体_GB2312" w:hAnsi="Times New Roman" w:hint="eastAsia"/>
          <w:bCs/>
          <w:color w:val="000000"/>
          <w:szCs w:val="24"/>
        </w:rPr>
        <w:t>自上半年银监会采取一</w:t>
      </w:r>
      <w:r>
        <w:rPr>
          <w:rFonts w:ascii="Times New Roman" w:eastAsia="楷体_GB2312" w:hAnsi="Times New Roman" w:hint="eastAsia"/>
          <w:bCs/>
          <w:color w:val="000000"/>
          <w:szCs w:val="24"/>
        </w:rPr>
        <w:t>系列整治市场乱象和弥补制度短板的政策措施以来，银行资金空转减少，金融监管取得一定成效。但金融去杠杆任重道远，除了</w:t>
      </w:r>
      <w:r w:rsidR="00E17E19">
        <w:rPr>
          <w:rFonts w:ascii="Times New Roman" w:eastAsia="楷体_GB2312" w:hAnsi="Times New Roman" w:hint="eastAsia"/>
          <w:bCs/>
          <w:color w:val="000000"/>
          <w:szCs w:val="24"/>
        </w:rPr>
        <w:t>相关业务</w:t>
      </w:r>
      <w:r>
        <w:rPr>
          <w:rFonts w:ascii="Times New Roman" w:eastAsia="楷体_GB2312" w:hAnsi="Times New Roman" w:hint="eastAsia"/>
          <w:bCs/>
          <w:color w:val="000000"/>
          <w:szCs w:val="24"/>
        </w:rPr>
        <w:t>规模上增长趋势放缓或下降之外，</w:t>
      </w:r>
      <w:r w:rsidR="00E17E19">
        <w:rPr>
          <w:rFonts w:ascii="Times New Roman" w:eastAsia="楷体_GB2312" w:hAnsi="Times New Roman" w:hint="eastAsia"/>
          <w:bCs/>
          <w:color w:val="000000"/>
          <w:szCs w:val="24"/>
        </w:rPr>
        <w:t>后期同业等相关业务整治仍将继续推进，</w:t>
      </w:r>
      <w:r>
        <w:rPr>
          <w:rFonts w:ascii="Times New Roman" w:eastAsia="楷体_GB2312" w:hAnsi="Times New Roman" w:hint="eastAsia"/>
          <w:bCs/>
          <w:color w:val="000000"/>
          <w:szCs w:val="24"/>
        </w:rPr>
        <w:t>业务操作上也会更加规范。比如，</w:t>
      </w:r>
      <w:r w:rsidR="00E17E19">
        <w:rPr>
          <w:rFonts w:ascii="Times New Roman" w:eastAsia="楷体_GB2312" w:hAnsi="Times New Roman" w:hint="eastAsia"/>
          <w:bCs/>
          <w:color w:val="000000"/>
          <w:szCs w:val="24"/>
        </w:rPr>
        <w:t>在“三套利”“四不当”颁布之后，管理层分别在</w:t>
      </w:r>
      <w:r w:rsidR="00E17E19">
        <w:rPr>
          <w:rFonts w:ascii="Times New Roman" w:eastAsia="楷体_GB2312" w:hAnsi="Times New Roman" w:hint="eastAsia"/>
          <w:bCs/>
          <w:color w:val="000000"/>
          <w:szCs w:val="24"/>
        </w:rPr>
        <w:t>5</w:t>
      </w:r>
      <w:r w:rsidR="00E17E19">
        <w:rPr>
          <w:rFonts w:ascii="Times New Roman" w:eastAsia="楷体_GB2312" w:hAnsi="Times New Roman" w:hint="eastAsia"/>
          <w:bCs/>
          <w:color w:val="000000"/>
          <w:szCs w:val="24"/>
        </w:rPr>
        <w:t>月和</w:t>
      </w:r>
      <w:r w:rsidR="00E17E19">
        <w:rPr>
          <w:rFonts w:ascii="Times New Roman" w:eastAsia="楷体_GB2312" w:hAnsi="Times New Roman" w:hint="eastAsia"/>
          <w:bCs/>
          <w:color w:val="000000"/>
          <w:szCs w:val="24"/>
        </w:rPr>
        <w:t>7</w:t>
      </w:r>
      <w:r w:rsidR="00E17E19">
        <w:rPr>
          <w:rFonts w:ascii="Times New Roman" w:eastAsia="楷体_GB2312" w:hAnsi="Times New Roman" w:hint="eastAsia"/>
          <w:bCs/>
          <w:color w:val="000000"/>
          <w:szCs w:val="24"/>
        </w:rPr>
        <w:t>月提及</w:t>
      </w:r>
      <w:r>
        <w:rPr>
          <w:rFonts w:ascii="Times New Roman" w:eastAsia="楷体_GB2312" w:hAnsi="Times New Roman" w:hint="eastAsia"/>
          <w:bCs/>
          <w:color w:val="000000"/>
          <w:szCs w:val="24"/>
        </w:rPr>
        <w:t>理财</w:t>
      </w:r>
      <w:r w:rsidR="00E17E19">
        <w:rPr>
          <w:rFonts w:ascii="Times New Roman" w:eastAsia="楷体_GB2312" w:hAnsi="Times New Roman" w:hint="eastAsia"/>
          <w:bCs/>
          <w:color w:val="000000"/>
          <w:szCs w:val="24"/>
        </w:rPr>
        <w:t>、资管</w:t>
      </w:r>
      <w:r>
        <w:rPr>
          <w:rFonts w:ascii="Times New Roman" w:eastAsia="楷体_GB2312" w:hAnsi="Times New Roman" w:hint="eastAsia"/>
          <w:bCs/>
          <w:color w:val="000000"/>
          <w:szCs w:val="24"/>
        </w:rPr>
        <w:t>等业务的底层穿透工作</w:t>
      </w:r>
      <w:r w:rsidR="00E17E19">
        <w:rPr>
          <w:rFonts w:ascii="Times New Roman" w:eastAsia="楷体_GB2312" w:hAnsi="Times New Roman" w:hint="eastAsia"/>
          <w:bCs/>
          <w:color w:val="000000"/>
          <w:szCs w:val="24"/>
        </w:rPr>
        <w:t>，值得关注。</w:t>
      </w:r>
    </w:p>
    <w:p w:rsidR="008D1A88" w:rsidRPr="008F6AF6" w:rsidRDefault="00DD1E83" w:rsidP="008F6AF6">
      <w:pPr>
        <w:tabs>
          <w:tab w:val="left" w:pos="1701"/>
          <w:tab w:val="left" w:pos="9214"/>
        </w:tabs>
        <w:snapToGrid w:val="0"/>
        <w:spacing w:beforeLines="50" w:before="156" w:line="288" w:lineRule="auto"/>
        <w:ind w:leftChars="810" w:left="1701" w:rightChars="19" w:right="40" w:firstLineChars="200" w:firstLine="420"/>
        <w:rPr>
          <w:rFonts w:eastAsia="楷体_GB2312"/>
          <w:bCs/>
          <w:szCs w:val="21"/>
          <w:u w:val="single"/>
        </w:rPr>
      </w:pPr>
      <w:r w:rsidRPr="00FC377C">
        <w:rPr>
          <w:rFonts w:ascii="Times New Roman" w:eastAsia="楷体_GB2312" w:hAnsi="Times New Roman"/>
          <w:szCs w:val="21"/>
        </w:rPr>
        <w:t>5</w:t>
      </w:r>
      <w:r w:rsidRPr="00FC377C">
        <w:rPr>
          <w:rFonts w:eastAsia="楷体_GB2312" w:hint="eastAsia"/>
          <w:bCs/>
          <w:szCs w:val="21"/>
        </w:rPr>
        <w:t>月</w:t>
      </w:r>
      <w:r w:rsidRPr="00FC377C">
        <w:rPr>
          <w:rFonts w:ascii="Times New Roman" w:eastAsia="楷体_GB2312" w:hAnsi="Times New Roman"/>
          <w:szCs w:val="21"/>
        </w:rPr>
        <w:t>15</w:t>
      </w:r>
      <w:r w:rsidRPr="00FC377C">
        <w:rPr>
          <w:rFonts w:eastAsia="楷体_GB2312" w:hint="eastAsia"/>
          <w:bCs/>
          <w:szCs w:val="21"/>
        </w:rPr>
        <w:t>日银行业理财登记托管中心发布《关于进一步规范银行理财产品穿透登记工作的通知》（理财中心发</w:t>
      </w:r>
      <w:r w:rsidRPr="00FC377C">
        <w:rPr>
          <w:rFonts w:ascii="Times New Roman" w:eastAsia="楷体_GB2312" w:hAnsi="Times New Roman"/>
          <w:szCs w:val="21"/>
        </w:rPr>
        <w:t>[2017]14</w:t>
      </w:r>
      <w:r w:rsidRPr="00FC377C">
        <w:rPr>
          <w:rFonts w:ascii="Times New Roman" w:eastAsia="楷体_GB2312" w:hAnsi="Times New Roman" w:hint="eastAsia"/>
          <w:szCs w:val="21"/>
        </w:rPr>
        <w:t>号</w:t>
      </w:r>
      <w:r w:rsidRPr="00FC377C">
        <w:rPr>
          <w:rFonts w:eastAsia="楷体_GB2312" w:hint="eastAsia"/>
          <w:bCs/>
          <w:szCs w:val="21"/>
        </w:rPr>
        <w:t>）</w:t>
      </w:r>
      <w:r>
        <w:rPr>
          <w:rFonts w:eastAsia="楷体_GB2312" w:hint="eastAsia"/>
          <w:bCs/>
          <w:szCs w:val="21"/>
        </w:rPr>
        <w:t>。</w:t>
      </w:r>
      <w:r w:rsidRPr="00FC377C">
        <w:rPr>
          <w:rFonts w:eastAsia="楷体_GB2312" w:hint="eastAsia"/>
          <w:bCs/>
          <w:szCs w:val="21"/>
        </w:rPr>
        <w:t>要求进一步规范银行理财产品的穿透登记工作，</w:t>
      </w:r>
      <w:r w:rsidRPr="00E17E19">
        <w:rPr>
          <w:rFonts w:eastAsia="楷体_GB2312" w:hint="eastAsia"/>
          <w:bCs/>
          <w:szCs w:val="21"/>
          <w:u w:val="single"/>
        </w:rPr>
        <w:t>要求银行理财资金购买各类资管计划、与其他金融机构签订委托投资协议方</w:t>
      </w:r>
      <w:r w:rsidR="00E17E19" w:rsidRPr="00E17E19">
        <w:rPr>
          <w:rFonts w:eastAsia="楷体_GB2312" w:hint="eastAsia"/>
          <w:bCs/>
          <w:szCs w:val="21"/>
          <w:u w:val="single"/>
        </w:rPr>
        <w:t>式投资的情况，必须通过理财登记系统对底层基础资产或负债进行登记。</w:t>
      </w:r>
      <w:r w:rsidR="008F6AF6" w:rsidRPr="008F6AF6">
        <w:rPr>
          <w:rFonts w:eastAsia="楷体_GB2312"/>
          <w:bCs/>
          <w:szCs w:val="21"/>
          <w:u w:val="single"/>
        </w:rPr>
        <w:t>对于多层嵌套情况，也须按照逐层穿透原则登记至最底层基础资产和负债信息。</w:t>
      </w:r>
    </w:p>
    <w:p w:rsidR="00E17E19" w:rsidRPr="00DD1E83" w:rsidRDefault="00E17E19" w:rsidP="008D1A88">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cs="楷体_GB2312" w:hint="eastAsia"/>
          <w:bCs/>
          <w:color w:val="000000"/>
          <w:kern w:val="0"/>
          <w:szCs w:val="21"/>
        </w:rPr>
        <w:t>7</w:t>
      </w:r>
      <w:r>
        <w:rPr>
          <w:rFonts w:ascii="Times New Roman" w:eastAsia="楷体_GB2312" w:hAnsi="Times New Roman" w:cs="楷体_GB2312" w:hint="eastAsia"/>
          <w:bCs/>
          <w:color w:val="000000"/>
          <w:kern w:val="0"/>
          <w:szCs w:val="21"/>
        </w:rPr>
        <w:t>月，央行发布</w:t>
      </w:r>
      <w:r w:rsidRPr="00E83DD7">
        <w:rPr>
          <w:rFonts w:ascii="Times New Roman" w:eastAsia="楷体_GB2312" w:hAnsi="Times New Roman" w:hint="eastAsia"/>
          <w:bCs/>
          <w:color w:val="000000" w:themeColor="text1"/>
          <w:szCs w:val="21"/>
        </w:rPr>
        <w:t>《中国金融稳定报告（</w:t>
      </w:r>
      <w:r w:rsidRPr="00E83DD7">
        <w:rPr>
          <w:rFonts w:ascii="Times New Roman" w:eastAsia="楷体_GB2312" w:hAnsi="Times New Roman" w:hint="eastAsia"/>
          <w:bCs/>
          <w:color w:val="000000" w:themeColor="text1"/>
          <w:szCs w:val="21"/>
        </w:rPr>
        <w:t>2017</w:t>
      </w:r>
      <w:r w:rsidRPr="00E83DD7">
        <w:rPr>
          <w:rFonts w:ascii="Times New Roman" w:eastAsia="楷体_GB2312" w:hAnsi="Times New Roman" w:hint="eastAsia"/>
          <w:bCs/>
          <w:color w:val="000000" w:themeColor="text1"/>
          <w:szCs w:val="21"/>
        </w:rPr>
        <w:t>）》</w:t>
      </w:r>
      <w:r>
        <w:rPr>
          <w:rFonts w:ascii="Times New Roman" w:eastAsia="楷体_GB2312" w:hAnsi="Times New Roman" w:hint="eastAsia"/>
          <w:bCs/>
          <w:color w:val="000000" w:themeColor="text1"/>
          <w:szCs w:val="21"/>
        </w:rPr>
        <w:t>中，</w:t>
      </w:r>
      <w:r w:rsidRPr="00E83DD7">
        <w:rPr>
          <w:rFonts w:ascii="Times New Roman" w:eastAsia="楷体_GB2312" w:hAnsi="Times New Roman" w:hint="eastAsia"/>
          <w:bCs/>
          <w:color w:val="000000" w:themeColor="text1"/>
          <w:szCs w:val="21"/>
        </w:rPr>
        <w:t>首次以专题研究的形式提出促进中国资产管理业务规范健康发展。梳理了当前我国资产管理业务的类型与主要合作模式，并指出我国资产管理业务当前存在资金池操作流动性风险、产品多层嵌套导致风险传递、影子银行监管不足、刚性兑付扭曲资源配置效率、部分非金融机构无序开展资产管理业务。提出了多条规范资产管理业务发展的要求，其中包括：</w:t>
      </w:r>
      <w:r w:rsidRPr="00E83DD7">
        <w:rPr>
          <w:rFonts w:ascii="Times New Roman" w:eastAsia="楷体_GB2312" w:hAnsi="Times New Roman" w:hint="eastAsia"/>
          <w:bCs/>
          <w:color w:val="000000" w:themeColor="text1"/>
          <w:szCs w:val="21"/>
          <w:u w:val="single"/>
        </w:rPr>
        <w:t>1.</w:t>
      </w:r>
      <w:r w:rsidRPr="00E83DD7">
        <w:rPr>
          <w:rFonts w:ascii="Times New Roman" w:eastAsia="楷体_GB2312" w:hAnsi="Times New Roman" w:hint="eastAsia"/>
          <w:bCs/>
          <w:color w:val="000000" w:themeColor="text1"/>
          <w:szCs w:val="21"/>
          <w:u w:val="single"/>
        </w:rPr>
        <w:t>分类统一标准规制，逐步消除套利空间；</w:t>
      </w:r>
      <w:r w:rsidRPr="00E83DD7">
        <w:rPr>
          <w:rFonts w:ascii="Times New Roman" w:eastAsia="楷体_GB2312" w:hAnsi="Times New Roman" w:hint="eastAsia"/>
          <w:bCs/>
          <w:color w:val="000000" w:themeColor="text1"/>
          <w:szCs w:val="21"/>
          <w:u w:val="single"/>
        </w:rPr>
        <w:t>2.</w:t>
      </w:r>
      <w:r w:rsidRPr="00E83DD7">
        <w:rPr>
          <w:rFonts w:ascii="Times New Roman" w:eastAsia="楷体_GB2312" w:hAnsi="Times New Roman" w:hint="eastAsia"/>
          <w:bCs/>
          <w:color w:val="000000" w:themeColor="text1"/>
          <w:szCs w:val="21"/>
          <w:u w:val="single"/>
        </w:rPr>
        <w:t>引导资管业务回归本源，有序打破刚性兑付；</w:t>
      </w:r>
      <w:r w:rsidRPr="00E83DD7">
        <w:rPr>
          <w:rFonts w:ascii="Times New Roman" w:eastAsia="楷体_GB2312" w:hAnsi="Times New Roman" w:hint="eastAsia"/>
          <w:bCs/>
          <w:color w:val="000000" w:themeColor="text1"/>
          <w:szCs w:val="21"/>
          <w:u w:val="single"/>
        </w:rPr>
        <w:t>3.</w:t>
      </w:r>
      <w:r w:rsidRPr="00E83DD7">
        <w:rPr>
          <w:rFonts w:ascii="Times New Roman" w:eastAsia="楷体_GB2312" w:hAnsi="Times New Roman" w:hint="eastAsia"/>
          <w:bCs/>
          <w:color w:val="000000" w:themeColor="text1"/>
          <w:szCs w:val="21"/>
          <w:u w:val="single"/>
        </w:rPr>
        <w:t>加强流动性风险管控，控制杠杆水平；</w:t>
      </w:r>
      <w:r w:rsidRPr="00E83DD7">
        <w:rPr>
          <w:rFonts w:ascii="Times New Roman" w:eastAsia="楷体_GB2312" w:hAnsi="Times New Roman" w:hint="eastAsia"/>
          <w:bCs/>
          <w:color w:val="000000" w:themeColor="text1"/>
          <w:szCs w:val="21"/>
          <w:u w:val="single"/>
        </w:rPr>
        <w:t>4.</w:t>
      </w:r>
      <w:r w:rsidRPr="00E83DD7">
        <w:rPr>
          <w:rFonts w:ascii="Times New Roman" w:eastAsia="楷体_GB2312" w:hAnsi="Times New Roman" w:hint="eastAsia"/>
          <w:bCs/>
          <w:color w:val="000000" w:themeColor="text1"/>
          <w:szCs w:val="21"/>
          <w:u w:val="single"/>
        </w:rPr>
        <w:t>消除多层嵌套，抑制通道业务；</w:t>
      </w:r>
      <w:r w:rsidRPr="00E83DD7">
        <w:rPr>
          <w:rFonts w:ascii="Times New Roman" w:eastAsia="楷体_GB2312" w:hAnsi="Times New Roman" w:hint="eastAsia"/>
          <w:bCs/>
          <w:color w:val="000000" w:themeColor="text1"/>
          <w:szCs w:val="21"/>
          <w:u w:val="single"/>
        </w:rPr>
        <w:t>5.</w:t>
      </w:r>
      <w:r w:rsidRPr="00E83DD7">
        <w:rPr>
          <w:rFonts w:ascii="Times New Roman" w:eastAsia="楷体_GB2312" w:hAnsi="Times New Roman" w:hint="eastAsia"/>
          <w:bCs/>
          <w:color w:val="000000" w:themeColor="text1"/>
          <w:szCs w:val="21"/>
          <w:u w:val="single"/>
        </w:rPr>
        <w:t>加强“非标”业务管理，防范影子银行风险；</w:t>
      </w:r>
      <w:r w:rsidRPr="00E83DD7">
        <w:rPr>
          <w:rFonts w:ascii="Times New Roman" w:eastAsia="楷体_GB2312" w:hAnsi="Times New Roman" w:hint="eastAsia"/>
          <w:bCs/>
          <w:color w:val="000000" w:themeColor="text1"/>
          <w:szCs w:val="21"/>
          <w:u w:val="single"/>
        </w:rPr>
        <w:t>6.</w:t>
      </w:r>
      <w:r w:rsidRPr="00E83DD7">
        <w:rPr>
          <w:rFonts w:ascii="Times New Roman" w:eastAsia="楷体_GB2312" w:hAnsi="Times New Roman" w:hint="eastAsia"/>
          <w:bCs/>
          <w:color w:val="000000" w:themeColor="text1"/>
          <w:szCs w:val="21"/>
          <w:u w:val="single"/>
        </w:rPr>
        <w:t>建立综合统计制度，为穿透式监管提供根本基础。预计后期相关配套政策将陆续出台，资管业务监管将逐步趋严，资产管理行业有望实现长期健康、有序、规范发展。</w:t>
      </w:r>
    </w:p>
    <w:p w:rsidR="003958C6" w:rsidRPr="00933F54" w:rsidRDefault="003958C6" w:rsidP="000039BB">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B96860" w:rsidRDefault="00B96860" w:rsidP="008F6AF6">
      <w:pPr>
        <w:rPr>
          <w:rFonts w:ascii="Times New Roman" w:eastAsia="楷体_GB2312" w:hAnsi="Times New Roman"/>
          <w:b/>
          <w:color w:val="000000"/>
          <w:szCs w:val="24"/>
        </w:rPr>
      </w:pPr>
    </w:p>
    <w:p w:rsidR="008F6AF6" w:rsidRPr="00E54603" w:rsidRDefault="008F6AF6" w:rsidP="008F6AF6">
      <w:pPr>
        <w:pStyle w:val="1"/>
        <w:rPr>
          <w:rFonts w:eastAsia="楷体_GB2312"/>
        </w:rPr>
      </w:pPr>
      <w:bookmarkStart w:id="15" w:name="_Toc494044218"/>
      <w:r>
        <w:rPr>
          <w:rFonts w:hint="eastAsia"/>
        </w:rPr>
        <w:t>非标投资中的</w:t>
      </w:r>
      <w:r w:rsidR="00213B77">
        <w:rPr>
          <w:rFonts w:hint="eastAsia"/>
        </w:rPr>
        <w:t>类信贷</w:t>
      </w:r>
      <w:r>
        <w:rPr>
          <w:rFonts w:hint="eastAsia"/>
        </w:rPr>
        <w:t>资产</w:t>
      </w:r>
      <w:r w:rsidR="003F53A5">
        <w:rPr>
          <w:rFonts w:hint="eastAsia"/>
        </w:rPr>
        <w:t>拨备</w:t>
      </w:r>
      <w:r>
        <w:rPr>
          <w:rFonts w:hint="eastAsia"/>
        </w:rPr>
        <w:t>计提测算：股份行敞口较大</w:t>
      </w:r>
      <w:bookmarkEnd w:id="15"/>
    </w:p>
    <w:p w:rsidR="008F6AF6" w:rsidRPr="0023321C"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b/>
          <w:color w:val="000000"/>
          <w:szCs w:val="24"/>
        </w:rPr>
      </w:pPr>
      <w:r>
        <w:rPr>
          <w:rFonts w:ascii="Times New Roman" w:eastAsia="楷体_GB2312" w:hAnsi="Times New Roman" w:hint="eastAsia"/>
          <w:color w:val="000000"/>
          <w:szCs w:val="24"/>
        </w:rPr>
        <w:t>随着理财、资管等业务底层穿透工作的推进，预计未来相关风险计提也会逐步规范。</w:t>
      </w:r>
      <w:r w:rsidRPr="00E80C41">
        <w:rPr>
          <w:rFonts w:ascii="Times New Roman" w:eastAsia="楷体_GB2312" w:hAnsi="Times New Roman" w:hint="eastAsia"/>
          <w:color w:val="000000"/>
          <w:szCs w:val="24"/>
        </w:rPr>
        <w:t>目前银监会对商业银行应收款项类投资中的</w:t>
      </w:r>
      <w:r w:rsidR="00213B77">
        <w:rPr>
          <w:rFonts w:ascii="Times New Roman" w:eastAsia="楷体_GB2312" w:hAnsi="Times New Roman" w:hint="eastAsia"/>
          <w:color w:val="000000"/>
          <w:szCs w:val="24"/>
        </w:rPr>
        <w:t>类信贷</w:t>
      </w:r>
      <w:r w:rsidRPr="00E80C41">
        <w:rPr>
          <w:rFonts w:ascii="Times New Roman" w:eastAsia="楷体_GB2312" w:hAnsi="Times New Roman" w:hint="eastAsia"/>
          <w:color w:val="000000"/>
          <w:szCs w:val="24"/>
        </w:rPr>
        <w:t>非标投资部分</w:t>
      </w:r>
      <w:r>
        <w:rPr>
          <w:rFonts w:ascii="Times New Roman" w:eastAsia="楷体_GB2312" w:hAnsi="Times New Roman" w:hint="eastAsia"/>
          <w:color w:val="000000"/>
          <w:szCs w:val="24"/>
        </w:rPr>
        <w:t>，</w:t>
      </w:r>
      <w:r w:rsidRPr="00E80C41">
        <w:rPr>
          <w:rFonts w:ascii="Times New Roman" w:eastAsia="楷体_GB2312" w:hAnsi="Times New Roman" w:hint="eastAsia"/>
          <w:color w:val="000000"/>
          <w:szCs w:val="24"/>
        </w:rPr>
        <w:t>计提减值准备未有明确规定，各家银行实际计提标准或有所差异，若未来制定统一计提</w:t>
      </w:r>
      <w:r>
        <w:rPr>
          <w:rFonts w:ascii="Times New Roman" w:eastAsia="楷体_GB2312" w:hAnsi="Times New Roman" w:hint="eastAsia"/>
          <w:color w:val="000000"/>
          <w:szCs w:val="24"/>
        </w:rPr>
        <w:t>规则可能</w:t>
      </w:r>
      <w:r w:rsidRPr="00E80C41">
        <w:rPr>
          <w:rFonts w:ascii="Times New Roman" w:eastAsia="楷体_GB2312" w:hAnsi="Times New Roman" w:hint="eastAsia"/>
          <w:color w:val="000000"/>
          <w:szCs w:val="24"/>
        </w:rPr>
        <w:t>会对不同银行的</w:t>
      </w:r>
      <w:r>
        <w:rPr>
          <w:rFonts w:ascii="Times New Roman" w:eastAsia="楷体_GB2312" w:hAnsi="Times New Roman" w:hint="eastAsia"/>
          <w:color w:val="000000"/>
          <w:szCs w:val="24"/>
        </w:rPr>
        <w:t>拨备</w:t>
      </w:r>
      <w:r w:rsidRPr="00E80C41">
        <w:rPr>
          <w:rFonts w:ascii="Times New Roman" w:eastAsia="楷体_GB2312" w:hAnsi="Times New Roman" w:hint="eastAsia"/>
          <w:color w:val="000000"/>
          <w:szCs w:val="24"/>
        </w:rPr>
        <w:t>计提与净利润带来不同程度的影响。</w:t>
      </w:r>
      <w:r w:rsidRPr="0023321C">
        <w:rPr>
          <w:rFonts w:ascii="Times New Roman" w:eastAsia="楷体_GB2312" w:hAnsi="Times New Roman" w:hint="eastAsia"/>
          <w:b/>
          <w:color w:val="000000"/>
          <w:szCs w:val="24"/>
        </w:rPr>
        <w:t>我们根据</w:t>
      </w:r>
      <w:r w:rsidRPr="0023321C">
        <w:rPr>
          <w:rFonts w:ascii="Times New Roman" w:eastAsia="楷体_GB2312" w:hAnsi="Times New Roman" w:hint="eastAsia"/>
          <w:b/>
          <w:color w:val="000000"/>
          <w:szCs w:val="24"/>
        </w:rPr>
        <w:t>25</w:t>
      </w:r>
      <w:r w:rsidRPr="0023321C">
        <w:rPr>
          <w:rFonts w:ascii="Times New Roman" w:eastAsia="楷体_GB2312" w:hAnsi="Times New Roman" w:hint="eastAsia"/>
          <w:b/>
          <w:color w:val="000000"/>
          <w:szCs w:val="24"/>
        </w:rPr>
        <w:t>家银行的</w:t>
      </w:r>
      <w:r w:rsidRPr="0023321C">
        <w:rPr>
          <w:rFonts w:ascii="Times New Roman" w:eastAsia="楷体_GB2312" w:hAnsi="Times New Roman" w:hint="eastAsia"/>
          <w:b/>
          <w:color w:val="000000"/>
          <w:szCs w:val="24"/>
        </w:rPr>
        <w:t>17</w:t>
      </w:r>
      <w:r w:rsidRPr="0023321C">
        <w:rPr>
          <w:rFonts w:ascii="Times New Roman" w:eastAsia="楷体_GB2312" w:hAnsi="Times New Roman" w:hint="eastAsia"/>
          <w:b/>
          <w:color w:val="000000"/>
          <w:szCs w:val="24"/>
        </w:rPr>
        <w:t>年中报数据，测算出：</w:t>
      </w:r>
      <w:r w:rsidRPr="0023321C">
        <w:rPr>
          <w:rFonts w:ascii="Times New Roman" w:eastAsia="楷体_GB2312" w:hAnsi="Times New Roman" w:hint="eastAsia"/>
          <w:b/>
          <w:color w:val="000000"/>
          <w:szCs w:val="24"/>
        </w:rPr>
        <w:t>1</w:t>
      </w:r>
      <w:r w:rsidRPr="0023321C">
        <w:rPr>
          <w:rFonts w:ascii="Times New Roman" w:eastAsia="楷体_GB2312" w:hAnsi="Times New Roman" w:hint="eastAsia"/>
          <w:b/>
          <w:color w:val="000000"/>
          <w:szCs w:val="24"/>
        </w:rPr>
        <w:t>）每一家银行应收款项类投资中</w:t>
      </w:r>
      <w:r w:rsidR="00213B77">
        <w:rPr>
          <w:rFonts w:ascii="Times New Roman" w:eastAsia="楷体_GB2312" w:hAnsi="Times New Roman" w:hint="eastAsia"/>
          <w:b/>
          <w:color w:val="000000"/>
          <w:szCs w:val="24"/>
        </w:rPr>
        <w:t>类信贷</w:t>
      </w:r>
      <w:r w:rsidRPr="0023321C">
        <w:rPr>
          <w:rFonts w:ascii="Times New Roman" w:eastAsia="楷体_GB2312" w:hAnsi="Times New Roman" w:hint="eastAsia"/>
          <w:b/>
          <w:color w:val="000000"/>
          <w:szCs w:val="24"/>
        </w:rPr>
        <w:t>资产规模：</w:t>
      </w:r>
      <w:r w:rsidRPr="0023321C">
        <w:rPr>
          <w:rFonts w:ascii="Times New Roman" w:eastAsia="楷体_GB2312" w:hAnsi="Times New Roman" w:hint="eastAsia"/>
          <w:b/>
          <w:color w:val="000000"/>
          <w:szCs w:val="24"/>
        </w:rPr>
        <w:t>2</w:t>
      </w:r>
      <w:r w:rsidR="009B16ED">
        <w:rPr>
          <w:rFonts w:ascii="Times New Roman" w:eastAsia="楷体_GB2312" w:hAnsi="Times New Roman" w:hint="eastAsia"/>
          <w:b/>
          <w:color w:val="000000"/>
          <w:szCs w:val="24"/>
        </w:rPr>
        <w:t>）假设按贷款五级分类比例计提相比目前已计提的应收款项类资产减值准备，所需额外</w:t>
      </w:r>
      <w:r w:rsidRPr="0023321C">
        <w:rPr>
          <w:rFonts w:ascii="Times New Roman" w:eastAsia="楷体_GB2312" w:hAnsi="Times New Roman" w:hint="eastAsia"/>
          <w:b/>
          <w:color w:val="000000"/>
          <w:szCs w:val="24"/>
        </w:rPr>
        <w:t>计提规模；</w:t>
      </w:r>
      <w:r w:rsidRPr="0023321C">
        <w:rPr>
          <w:rFonts w:ascii="Times New Roman" w:eastAsia="楷体_GB2312" w:hAnsi="Times New Roman" w:hint="eastAsia"/>
          <w:b/>
          <w:color w:val="000000"/>
          <w:szCs w:val="24"/>
        </w:rPr>
        <w:t>3</w:t>
      </w:r>
      <w:r w:rsidRPr="0023321C">
        <w:rPr>
          <w:rFonts w:ascii="Times New Roman" w:eastAsia="楷体_GB2312" w:hAnsi="Times New Roman" w:hint="eastAsia"/>
          <w:b/>
          <w:color w:val="000000"/>
          <w:szCs w:val="24"/>
        </w:rPr>
        <w:t>）以及相应对净利润的影响</w:t>
      </w:r>
      <w:r>
        <w:rPr>
          <w:rFonts w:ascii="Times New Roman" w:eastAsia="楷体_GB2312" w:hAnsi="Times New Roman" w:hint="eastAsia"/>
          <w:b/>
          <w:color w:val="000000"/>
          <w:szCs w:val="24"/>
        </w:rPr>
        <w:t>。</w:t>
      </w:r>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目前招商</w:t>
      </w:r>
      <w:r w:rsidRPr="00773E0A">
        <w:rPr>
          <w:rFonts w:ascii="Times New Roman" w:eastAsia="楷体_GB2312" w:hAnsi="Times New Roman" w:hint="eastAsia"/>
          <w:color w:val="000000"/>
          <w:szCs w:val="24"/>
        </w:rPr>
        <w:t>、中信、兴业</w:t>
      </w:r>
      <w:r>
        <w:rPr>
          <w:rFonts w:ascii="Times New Roman" w:eastAsia="楷体_GB2312" w:hAnsi="Times New Roman" w:hint="eastAsia"/>
          <w:color w:val="000000"/>
          <w:szCs w:val="24"/>
        </w:rPr>
        <w:t>三家股份制银行在半年报的应收款项类投资科目下，公布了</w:t>
      </w:r>
      <w:r w:rsidR="00445CDF">
        <w:rPr>
          <w:rFonts w:ascii="Times New Roman" w:eastAsia="楷体_GB2312" w:hAnsi="Times New Roman" w:hint="eastAsia"/>
          <w:color w:val="000000"/>
          <w:szCs w:val="24"/>
        </w:rPr>
        <w:t>具体的</w:t>
      </w:r>
      <w:r w:rsidR="00213B77">
        <w:rPr>
          <w:rFonts w:ascii="Times New Roman" w:eastAsia="楷体_GB2312" w:hAnsi="Times New Roman" w:hint="eastAsia"/>
          <w:color w:val="000000"/>
          <w:szCs w:val="24"/>
        </w:rPr>
        <w:t>类信贷</w:t>
      </w:r>
      <w:r>
        <w:rPr>
          <w:rFonts w:ascii="Times New Roman" w:eastAsia="楷体_GB2312" w:hAnsi="Times New Roman" w:hint="eastAsia"/>
          <w:color w:val="000000"/>
          <w:szCs w:val="24"/>
        </w:rPr>
        <w:t>资产余额，分别占信托、资管</w:t>
      </w:r>
      <w:r w:rsidRPr="00A54A29">
        <w:rPr>
          <w:rFonts w:ascii="Times New Roman" w:eastAsia="楷体_GB2312" w:hAnsi="Times New Roman" w:hint="eastAsia"/>
          <w:color w:val="000000"/>
          <w:szCs w:val="24"/>
        </w:rPr>
        <w:t>及其他类非标资产</w:t>
      </w:r>
      <w:r>
        <w:rPr>
          <w:rFonts w:ascii="Times New Roman" w:eastAsia="楷体_GB2312" w:hAnsi="Times New Roman" w:hint="eastAsia"/>
          <w:color w:val="000000"/>
          <w:szCs w:val="24"/>
        </w:rPr>
        <w:t>（即</w:t>
      </w:r>
      <w:r w:rsidR="00445CDF">
        <w:rPr>
          <w:rFonts w:ascii="Times New Roman" w:eastAsia="楷体_GB2312" w:hAnsi="Times New Roman" w:hint="eastAsia"/>
          <w:color w:val="000000"/>
          <w:szCs w:val="24"/>
        </w:rPr>
        <w:t>应收款项类投资中</w:t>
      </w:r>
      <w:r>
        <w:rPr>
          <w:rFonts w:ascii="Times New Roman" w:eastAsia="楷体_GB2312" w:hAnsi="Times New Roman" w:hint="eastAsia"/>
          <w:color w:val="000000"/>
          <w:szCs w:val="24"/>
        </w:rPr>
        <w:t>去除债权类、货币基金以及同业理财</w:t>
      </w:r>
      <w:r w:rsidR="00445CDF">
        <w:rPr>
          <w:rFonts w:ascii="Times New Roman" w:eastAsia="楷体_GB2312" w:hAnsi="Times New Roman" w:hint="eastAsia"/>
          <w:color w:val="000000"/>
          <w:szCs w:val="24"/>
        </w:rPr>
        <w:t>的部分</w:t>
      </w:r>
      <w:r>
        <w:rPr>
          <w:rFonts w:ascii="Times New Roman" w:eastAsia="楷体_GB2312" w:hAnsi="Times New Roman" w:hint="eastAsia"/>
          <w:color w:val="000000"/>
          <w:szCs w:val="24"/>
        </w:rPr>
        <w:t>）的</w:t>
      </w:r>
      <w:r>
        <w:rPr>
          <w:rFonts w:ascii="Times New Roman" w:eastAsia="楷体_GB2312" w:hAnsi="Times New Roman" w:hint="eastAsia"/>
          <w:color w:val="000000"/>
          <w:szCs w:val="24"/>
        </w:rPr>
        <w:t>50.3%</w:t>
      </w:r>
      <w:r>
        <w:rPr>
          <w:rFonts w:ascii="Times New Roman" w:eastAsia="楷体_GB2312" w:hAnsi="Times New Roman" w:hint="eastAsia"/>
          <w:color w:val="000000"/>
          <w:szCs w:val="24"/>
        </w:rPr>
        <w:t>，</w:t>
      </w:r>
      <w:r>
        <w:rPr>
          <w:rFonts w:ascii="Times New Roman" w:eastAsia="楷体_GB2312" w:hAnsi="Times New Roman" w:hint="eastAsia"/>
          <w:color w:val="000000"/>
          <w:szCs w:val="24"/>
        </w:rPr>
        <w:t>65.7%</w:t>
      </w:r>
      <w:r>
        <w:rPr>
          <w:rFonts w:ascii="Times New Roman" w:eastAsia="楷体_GB2312" w:hAnsi="Times New Roman" w:hint="eastAsia"/>
          <w:color w:val="000000"/>
          <w:szCs w:val="24"/>
        </w:rPr>
        <w:t>和</w:t>
      </w:r>
      <w:r>
        <w:rPr>
          <w:rFonts w:ascii="Times New Roman" w:eastAsia="楷体_GB2312" w:hAnsi="Times New Roman" w:hint="eastAsia"/>
          <w:color w:val="000000"/>
          <w:szCs w:val="24"/>
        </w:rPr>
        <w:t>65.8%</w:t>
      </w:r>
      <w:r>
        <w:rPr>
          <w:rFonts w:ascii="Times New Roman" w:eastAsia="楷体_GB2312" w:hAnsi="Times New Roman" w:hint="eastAsia"/>
          <w:color w:val="000000"/>
          <w:szCs w:val="24"/>
        </w:rPr>
        <w:t>。在此基础上我们假设其他股份行</w:t>
      </w:r>
      <w:r w:rsidR="00213B77">
        <w:rPr>
          <w:rFonts w:ascii="Times New Roman" w:eastAsia="楷体_GB2312" w:hAnsi="Times New Roman" w:hint="eastAsia"/>
          <w:color w:val="000000"/>
          <w:szCs w:val="24"/>
        </w:rPr>
        <w:t>类信贷</w:t>
      </w:r>
      <w:r>
        <w:rPr>
          <w:rFonts w:ascii="Times New Roman" w:eastAsia="楷体_GB2312" w:hAnsi="Times New Roman" w:hint="eastAsia"/>
          <w:color w:val="000000"/>
          <w:szCs w:val="24"/>
        </w:rPr>
        <w:t>资产余额占</w:t>
      </w:r>
      <w:r w:rsidRPr="00B37631">
        <w:rPr>
          <w:rFonts w:ascii="Times New Roman" w:eastAsia="楷体_GB2312" w:hAnsi="Times New Roman" w:hint="eastAsia"/>
          <w:color w:val="000000"/>
          <w:szCs w:val="24"/>
        </w:rPr>
        <w:t>信托、资管及其他类非标资产</w:t>
      </w:r>
      <w:r>
        <w:rPr>
          <w:rFonts w:ascii="Times New Roman" w:eastAsia="楷体_GB2312" w:hAnsi="Times New Roman" w:hint="eastAsia"/>
          <w:color w:val="000000"/>
          <w:szCs w:val="24"/>
        </w:rPr>
        <w:t>的比重为</w:t>
      </w:r>
      <w:r>
        <w:rPr>
          <w:rFonts w:ascii="Times New Roman" w:eastAsia="楷体_GB2312" w:hAnsi="Times New Roman" w:hint="eastAsia"/>
          <w:color w:val="000000"/>
          <w:szCs w:val="24"/>
        </w:rPr>
        <w:t>65%</w:t>
      </w:r>
      <w:r>
        <w:rPr>
          <w:rFonts w:ascii="Times New Roman" w:eastAsia="楷体_GB2312" w:hAnsi="Times New Roman" w:hint="eastAsia"/>
          <w:color w:val="000000"/>
          <w:szCs w:val="24"/>
        </w:rPr>
        <w:t>，农商行与城商行为</w:t>
      </w:r>
      <w:r>
        <w:rPr>
          <w:rFonts w:ascii="Times New Roman" w:eastAsia="楷体_GB2312" w:hAnsi="Times New Roman" w:hint="eastAsia"/>
          <w:color w:val="000000"/>
          <w:szCs w:val="24"/>
        </w:rPr>
        <w:t>40%</w:t>
      </w:r>
      <w:r>
        <w:rPr>
          <w:rFonts w:ascii="Times New Roman" w:eastAsia="楷体_GB2312" w:hAnsi="Times New Roman" w:hint="eastAsia"/>
          <w:color w:val="000000"/>
          <w:szCs w:val="24"/>
        </w:rPr>
        <w:t>，国有行为</w:t>
      </w:r>
      <w:r>
        <w:rPr>
          <w:rFonts w:ascii="Times New Roman" w:eastAsia="楷体_GB2312" w:hAnsi="Times New Roman" w:hint="eastAsia"/>
          <w:color w:val="000000"/>
          <w:szCs w:val="24"/>
        </w:rPr>
        <w:t>20%</w:t>
      </w:r>
      <w:r>
        <w:rPr>
          <w:rFonts w:ascii="Times New Roman" w:eastAsia="楷体_GB2312" w:hAnsi="Times New Roman" w:hint="eastAsia"/>
          <w:color w:val="000000"/>
          <w:szCs w:val="24"/>
        </w:rPr>
        <w:t>。</w:t>
      </w:r>
    </w:p>
    <w:p w:rsidR="008F6AF6" w:rsidRDefault="00445CDF"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随后按照每家银行中报数据的五级贷款比例去测算其</w:t>
      </w:r>
      <w:r w:rsidR="00213B77">
        <w:rPr>
          <w:rFonts w:ascii="Times New Roman" w:eastAsia="楷体_GB2312" w:hAnsi="Times New Roman" w:hint="eastAsia"/>
          <w:color w:val="000000"/>
          <w:szCs w:val="24"/>
        </w:rPr>
        <w:t>类信贷</w:t>
      </w:r>
      <w:r>
        <w:rPr>
          <w:rFonts w:ascii="Times New Roman" w:eastAsia="楷体_GB2312" w:hAnsi="Times New Roman" w:hint="eastAsia"/>
          <w:color w:val="000000"/>
          <w:szCs w:val="24"/>
        </w:rPr>
        <w:t>非标投资资产</w:t>
      </w:r>
      <w:r w:rsidR="008F6AF6">
        <w:rPr>
          <w:rFonts w:ascii="Times New Roman" w:eastAsia="楷体_GB2312" w:hAnsi="Times New Roman" w:hint="eastAsia"/>
          <w:color w:val="000000"/>
          <w:szCs w:val="24"/>
        </w:rPr>
        <w:t>按贷款五级分类</w:t>
      </w:r>
      <w:r>
        <w:rPr>
          <w:rFonts w:ascii="Times New Roman" w:eastAsia="楷体_GB2312" w:hAnsi="Times New Roman" w:hint="eastAsia"/>
          <w:color w:val="000000"/>
          <w:szCs w:val="24"/>
        </w:rPr>
        <w:t>后的</w:t>
      </w:r>
      <w:r w:rsidR="00F0515A">
        <w:rPr>
          <w:rFonts w:ascii="Times New Roman" w:eastAsia="楷体_GB2312" w:hAnsi="Times New Roman" w:hint="eastAsia"/>
          <w:color w:val="000000"/>
          <w:szCs w:val="24"/>
        </w:rPr>
        <w:t>各级</w:t>
      </w:r>
      <w:r>
        <w:rPr>
          <w:rFonts w:ascii="Times New Roman" w:eastAsia="楷体_GB2312" w:hAnsi="Times New Roman" w:hint="eastAsia"/>
          <w:color w:val="000000"/>
          <w:szCs w:val="24"/>
        </w:rPr>
        <w:t>余额</w:t>
      </w:r>
      <w:r w:rsidR="008F6AF6">
        <w:rPr>
          <w:rFonts w:ascii="Times New Roman" w:eastAsia="楷体_GB2312" w:hAnsi="Times New Roman" w:hint="eastAsia"/>
          <w:color w:val="000000"/>
          <w:szCs w:val="24"/>
        </w:rPr>
        <w:t>，</w:t>
      </w:r>
      <w:r>
        <w:rPr>
          <w:rFonts w:ascii="Times New Roman" w:eastAsia="楷体_GB2312" w:hAnsi="Times New Roman" w:hint="eastAsia"/>
          <w:color w:val="000000"/>
          <w:szCs w:val="24"/>
        </w:rPr>
        <w:t>对应</w:t>
      </w:r>
      <w:r w:rsidR="008F6AF6">
        <w:rPr>
          <w:rFonts w:ascii="Times New Roman" w:eastAsia="楷体_GB2312" w:hAnsi="Times New Roman" w:hint="eastAsia"/>
          <w:color w:val="000000"/>
          <w:szCs w:val="24"/>
        </w:rPr>
        <w:t>每一级</w:t>
      </w:r>
      <w:r w:rsidR="00F0515A">
        <w:rPr>
          <w:rFonts w:ascii="Times New Roman" w:eastAsia="楷体_GB2312" w:hAnsi="Times New Roman" w:hint="eastAsia"/>
          <w:color w:val="000000"/>
          <w:szCs w:val="24"/>
        </w:rPr>
        <w:t>乘以</w:t>
      </w:r>
      <w:r>
        <w:rPr>
          <w:rFonts w:ascii="Times New Roman" w:eastAsia="楷体_GB2312" w:hAnsi="Times New Roman" w:hint="eastAsia"/>
          <w:color w:val="000000"/>
          <w:szCs w:val="24"/>
        </w:rPr>
        <w:t>相应</w:t>
      </w:r>
      <w:r w:rsidR="008F6AF6">
        <w:rPr>
          <w:rFonts w:ascii="Times New Roman" w:eastAsia="楷体_GB2312" w:hAnsi="Times New Roman" w:hint="eastAsia"/>
          <w:color w:val="000000"/>
          <w:szCs w:val="24"/>
        </w:rPr>
        <w:t>的计</w:t>
      </w:r>
      <w:r w:rsidR="00DB07BC">
        <w:rPr>
          <w:rFonts w:ascii="Times New Roman" w:eastAsia="楷体_GB2312" w:hAnsi="Times New Roman" w:hint="eastAsia"/>
          <w:color w:val="000000"/>
          <w:szCs w:val="24"/>
        </w:rPr>
        <w:t>提</w:t>
      </w:r>
      <w:r>
        <w:rPr>
          <w:rFonts w:ascii="Times New Roman" w:eastAsia="楷体_GB2312" w:hAnsi="Times New Roman" w:hint="eastAsia"/>
          <w:color w:val="000000"/>
          <w:szCs w:val="24"/>
        </w:rPr>
        <w:t>比例</w:t>
      </w:r>
      <w:r w:rsidR="00F0515A">
        <w:rPr>
          <w:rFonts w:ascii="Times New Roman" w:eastAsia="楷体_GB2312" w:hAnsi="Times New Roman" w:hint="eastAsia"/>
          <w:color w:val="000000"/>
          <w:szCs w:val="24"/>
        </w:rPr>
        <w:t>（参照银监会的五级贷款指导标准）</w:t>
      </w:r>
      <w:r w:rsidR="008F6AF6">
        <w:rPr>
          <w:rFonts w:ascii="Times New Roman" w:eastAsia="楷体_GB2312" w:hAnsi="Times New Roman" w:hint="eastAsia"/>
          <w:color w:val="000000"/>
          <w:szCs w:val="24"/>
        </w:rPr>
        <w:t>，</w:t>
      </w:r>
      <w:r>
        <w:rPr>
          <w:rFonts w:ascii="Times New Roman" w:eastAsia="楷体_GB2312" w:hAnsi="Times New Roman" w:hint="eastAsia"/>
          <w:color w:val="000000"/>
          <w:szCs w:val="24"/>
        </w:rPr>
        <w:t>汇总</w:t>
      </w:r>
      <w:r w:rsidR="00F0515A">
        <w:rPr>
          <w:rFonts w:ascii="Times New Roman" w:eastAsia="楷体_GB2312" w:hAnsi="Times New Roman" w:hint="eastAsia"/>
          <w:color w:val="000000"/>
          <w:szCs w:val="24"/>
        </w:rPr>
        <w:t>得到</w:t>
      </w:r>
      <w:r w:rsidR="008F6AF6">
        <w:rPr>
          <w:rFonts w:ascii="Times New Roman" w:eastAsia="楷体_GB2312" w:hAnsi="Times New Roman" w:hint="eastAsia"/>
          <w:color w:val="000000"/>
          <w:szCs w:val="24"/>
        </w:rPr>
        <w:t>按照贷款五级分类</w:t>
      </w:r>
      <w:r>
        <w:rPr>
          <w:rFonts w:ascii="Times New Roman" w:eastAsia="楷体_GB2312" w:hAnsi="Times New Roman" w:hint="eastAsia"/>
          <w:color w:val="000000"/>
          <w:szCs w:val="24"/>
        </w:rPr>
        <w:t>后</w:t>
      </w:r>
      <w:r w:rsidR="00213B77">
        <w:rPr>
          <w:rFonts w:ascii="Times New Roman" w:eastAsia="楷体_GB2312" w:hAnsi="Times New Roman" w:hint="eastAsia"/>
          <w:color w:val="000000"/>
          <w:szCs w:val="24"/>
        </w:rPr>
        <w:t>类信贷</w:t>
      </w:r>
      <w:r>
        <w:rPr>
          <w:rFonts w:ascii="Times New Roman" w:eastAsia="楷体_GB2312" w:hAnsi="Times New Roman" w:hint="eastAsia"/>
          <w:color w:val="000000"/>
          <w:szCs w:val="24"/>
        </w:rPr>
        <w:t>非标投资所需计提规模，以及</w:t>
      </w:r>
      <w:r w:rsidR="009B16ED">
        <w:rPr>
          <w:rFonts w:ascii="Times New Roman" w:eastAsia="楷体_GB2312" w:hAnsi="Times New Roman" w:hint="eastAsia"/>
          <w:color w:val="000000"/>
          <w:szCs w:val="24"/>
        </w:rPr>
        <w:t>与目前各银行实际计提的应收款项类减值准备</w:t>
      </w:r>
      <w:r>
        <w:rPr>
          <w:rFonts w:ascii="Times New Roman" w:eastAsia="楷体_GB2312" w:hAnsi="Times New Roman"/>
          <w:color w:val="000000"/>
          <w:szCs w:val="24"/>
        </w:rPr>
        <w:t>比较后需要增加计提的部分</w:t>
      </w:r>
      <w:r>
        <w:rPr>
          <w:rFonts w:ascii="Times New Roman" w:eastAsia="楷体_GB2312" w:hAnsi="Times New Roman" w:hint="eastAsia"/>
          <w:color w:val="000000"/>
          <w:szCs w:val="24"/>
        </w:rPr>
        <w:t>。</w:t>
      </w:r>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p>
    <w:tbl>
      <w:tblPr>
        <w:tblW w:w="9639" w:type="dxa"/>
        <w:jc w:val="center"/>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9"/>
      </w:tblGrid>
      <w:tr w:rsidR="008F6AF6" w:rsidRPr="00750071" w:rsidTr="008F6AF6">
        <w:trPr>
          <w:jc w:val="center"/>
        </w:trPr>
        <w:tc>
          <w:tcPr>
            <w:tcW w:w="9639" w:type="dxa"/>
            <w:tcBorders>
              <w:top w:val="nil"/>
              <w:bottom w:val="single" w:sz="8" w:space="0" w:color="000000"/>
            </w:tcBorders>
          </w:tcPr>
          <w:p w:rsidR="008F6AF6" w:rsidRPr="00C13463" w:rsidRDefault="008F6AF6" w:rsidP="008F6AF6">
            <w:pPr>
              <w:pStyle w:val="ab"/>
              <w:ind w:leftChars="16" w:left="34" w:rightChars="83" w:right="174"/>
              <w:jc w:val="left"/>
              <w:rPr>
                <w:rFonts w:ascii="Times New Roman" w:eastAsia="楷体_GB2312" w:hAnsi="Times New Roman"/>
                <w:sz w:val="21"/>
                <w:szCs w:val="21"/>
              </w:rPr>
            </w:pPr>
            <w:bookmarkStart w:id="16" w:name="_Toc494044062"/>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445CDF">
              <w:rPr>
                <w:rFonts w:ascii="Times New Roman" w:eastAsia="楷体_GB2312" w:hAnsi="Times New Roman" w:cs="Times New Roman"/>
                <w:b/>
                <w:noProof/>
                <w:color w:val="17365D"/>
                <w:sz w:val="21"/>
                <w:szCs w:val="21"/>
              </w:rPr>
              <w:t>5</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银监会</w:t>
            </w:r>
            <w:r w:rsidRPr="00773E0A">
              <w:rPr>
                <w:rFonts w:ascii="Times New Roman" w:eastAsia="楷体_GB2312" w:hAnsi="Times New Roman"/>
                <w:b/>
                <w:bCs/>
                <w:color w:val="17365D"/>
                <w:sz w:val="21"/>
                <w:szCs w:val="21"/>
              </w:rPr>
              <w:t>5</w:t>
            </w:r>
            <w:r w:rsidRPr="00773E0A">
              <w:rPr>
                <w:rFonts w:ascii="Times New Roman" w:eastAsia="楷体_GB2312" w:hAnsi="Times New Roman" w:hint="eastAsia"/>
                <w:b/>
                <w:bCs/>
                <w:color w:val="17365D"/>
                <w:sz w:val="21"/>
                <w:szCs w:val="21"/>
              </w:rPr>
              <w:t>级贷款划分标准</w:t>
            </w:r>
            <w:bookmarkEnd w:id="16"/>
            <w:r w:rsidRPr="00C13463">
              <w:rPr>
                <w:rFonts w:ascii="Times New Roman" w:eastAsia="楷体_GB2312" w:hAnsi="Times New Roman"/>
                <w:sz w:val="21"/>
                <w:szCs w:val="21"/>
              </w:rPr>
              <w:t xml:space="preserve"> </w:t>
            </w:r>
          </w:p>
        </w:tc>
      </w:tr>
      <w:tr w:rsidR="008F6AF6" w:rsidRPr="00520DC6" w:rsidTr="008F6AF6">
        <w:trPr>
          <w:trHeight w:val="264"/>
          <w:jc w:val="center"/>
        </w:trPr>
        <w:tc>
          <w:tcPr>
            <w:tcW w:w="9639" w:type="dxa"/>
            <w:tcBorders>
              <w:top w:val="single" w:sz="8" w:space="0" w:color="000000"/>
              <w:bottom w:val="single" w:sz="4" w:space="0" w:color="auto"/>
            </w:tcBorders>
          </w:tcPr>
          <w:tbl>
            <w:tblPr>
              <w:tblW w:w="9247" w:type="dxa"/>
              <w:tblLayout w:type="fixed"/>
              <w:tblLook w:val="04A0" w:firstRow="1" w:lastRow="0" w:firstColumn="1" w:lastColumn="0" w:noHBand="0" w:noVBand="1"/>
            </w:tblPr>
            <w:tblGrid>
              <w:gridCol w:w="1443"/>
              <w:gridCol w:w="5961"/>
              <w:gridCol w:w="1843"/>
            </w:tblGrid>
            <w:tr w:rsidR="008F6AF6" w:rsidRPr="00665191" w:rsidTr="008F6AF6">
              <w:trPr>
                <w:trHeight w:val="20"/>
              </w:trPr>
              <w:tc>
                <w:tcPr>
                  <w:tcW w:w="1443" w:type="dxa"/>
                  <w:tcBorders>
                    <w:bottom w:val="single" w:sz="4" w:space="0" w:color="auto"/>
                    <w:right w:val="single" w:sz="4" w:space="0" w:color="auto"/>
                  </w:tcBorders>
                  <w:shd w:val="clear" w:color="auto" w:fill="1F4E79"/>
                  <w:vAlign w:val="center"/>
                </w:tcPr>
                <w:p w:rsidR="008F6AF6" w:rsidRPr="00225A8C" w:rsidRDefault="008F6AF6" w:rsidP="008F6AF6">
                  <w:pPr>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分类</w:t>
                  </w:r>
                </w:p>
              </w:tc>
              <w:tc>
                <w:tcPr>
                  <w:tcW w:w="5961" w:type="dxa"/>
                  <w:tcBorders>
                    <w:bottom w:val="single" w:sz="4" w:space="0" w:color="auto"/>
                    <w:right w:val="single" w:sz="4" w:space="0" w:color="auto"/>
                  </w:tcBorders>
                  <w:shd w:val="clear" w:color="auto" w:fill="1F4E79"/>
                  <w:vAlign w:val="center"/>
                </w:tcPr>
                <w:p w:rsidR="008F6AF6" w:rsidRPr="00225A8C" w:rsidRDefault="008F6AF6" w:rsidP="008F6AF6">
                  <w:pPr>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银监会分类标准</w:t>
                  </w:r>
                </w:p>
              </w:tc>
              <w:tc>
                <w:tcPr>
                  <w:tcW w:w="1843" w:type="dxa"/>
                  <w:tcBorders>
                    <w:left w:val="single" w:sz="4" w:space="0" w:color="auto"/>
                    <w:bottom w:val="single" w:sz="4" w:space="0" w:color="auto"/>
                  </w:tcBorders>
                  <w:shd w:val="clear" w:color="auto" w:fill="1F4E79"/>
                  <w:vAlign w:val="center"/>
                </w:tcPr>
                <w:p w:rsidR="008F6AF6" w:rsidRPr="00225A8C" w:rsidRDefault="008F6AF6" w:rsidP="008F6AF6">
                  <w:pPr>
                    <w:ind w:rightChars="14" w:right="29"/>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不良贷款拨备计提指导标准</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正常</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借款人能够履行合同，没有足够的理由怀疑贷款本息不能按时偿还</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1.50%</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关注</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尽管借款人目前有能力偿还贷款本息，但存在一些可能对偿还产生不利影响的因素</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3%</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次级</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借款人的还款能力出现明显问题，完全依靠其正常的营业收入已无法保证足额偿还本息，即使执行担保，也可能会造成一定的损失</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30%</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可疑</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借款人无法足额偿还贷款本息，即使执行担保也肯定要造成较大损失</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60%</w:t>
                  </w:r>
                </w:p>
              </w:tc>
            </w:tr>
            <w:tr w:rsidR="008F6AF6" w:rsidRPr="00665191" w:rsidTr="008F6AF6">
              <w:trPr>
                <w:trHeight w:val="20"/>
              </w:trPr>
              <w:tc>
                <w:tcPr>
                  <w:tcW w:w="1443" w:type="dxa"/>
                  <w:tcBorders>
                    <w:top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损失</w:t>
                  </w:r>
                </w:p>
              </w:tc>
              <w:tc>
                <w:tcPr>
                  <w:tcW w:w="5961" w:type="dxa"/>
                  <w:tcBorders>
                    <w:top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在采取所有可能的措施或一切必要的法律程序之后，本息仍然无法收回，或只能收回极少的部分</w:t>
                  </w:r>
                </w:p>
              </w:tc>
              <w:tc>
                <w:tcPr>
                  <w:tcW w:w="1843" w:type="dxa"/>
                  <w:tcBorders>
                    <w:top w:val="single" w:sz="4" w:space="0" w:color="auto"/>
                    <w:left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100%</w:t>
                  </w:r>
                </w:p>
              </w:tc>
            </w:tr>
          </w:tbl>
          <w:p w:rsidR="008F6AF6" w:rsidRPr="00520DC6" w:rsidRDefault="008F6AF6" w:rsidP="008F6AF6">
            <w:pPr>
              <w:snapToGrid w:val="0"/>
              <w:jc w:val="center"/>
              <w:rPr>
                <w:rFonts w:ascii="Times New Roman" w:eastAsia="楷体_GB2312" w:hAnsi="Times New Roman"/>
                <w:b/>
              </w:rPr>
            </w:pPr>
          </w:p>
        </w:tc>
      </w:tr>
      <w:tr w:rsidR="008F6AF6" w:rsidRPr="00C13463" w:rsidTr="008F6AF6">
        <w:trPr>
          <w:jc w:val="center"/>
        </w:trPr>
        <w:tc>
          <w:tcPr>
            <w:tcW w:w="9639" w:type="dxa"/>
            <w:tcBorders>
              <w:top w:val="single" w:sz="4" w:space="0" w:color="auto"/>
              <w:bottom w:val="nil"/>
            </w:tcBorders>
          </w:tcPr>
          <w:p w:rsidR="008F6AF6" w:rsidRPr="006665C3" w:rsidRDefault="008F6AF6"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Pr>
                <w:rFonts w:ascii="Times New Roman" w:eastAsia="楷体_GB2312" w:hAnsi="Times New Roman" w:cs="楷体_GB2312" w:hint="eastAsia"/>
                <w:bCs/>
                <w:kern w:val="0"/>
                <w:szCs w:val="21"/>
              </w:rPr>
              <w:t>银监会</w:t>
            </w:r>
            <w:r w:rsidRPr="00E54603">
              <w:rPr>
                <w:rFonts w:ascii="Times New Roman" w:eastAsia="楷体_GB2312" w:hAnsi="Times New Roman"/>
                <w:bCs/>
                <w:kern w:val="0"/>
                <w:szCs w:val="21"/>
              </w:rPr>
              <w:t>，东吴证券研究所</w:t>
            </w:r>
          </w:p>
        </w:tc>
      </w:tr>
    </w:tbl>
    <w:p w:rsidR="008F6AF6" w:rsidRPr="00773E0A" w:rsidRDefault="008F6AF6" w:rsidP="008F6AF6">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491A2B" w:rsidRDefault="008F6AF6" w:rsidP="00491A2B">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sidRPr="00445CDF">
        <w:rPr>
          <w:rFonts w:ascii="Times New Roman" w:eastAsia="楷体_GB2312" w:hAnsi="Times New Roman"/>
          <w:b/>
          <w:color w:val="000000"/>
          <w:szCs w:val="24"/>
        </w:rPr>
        <w:t>测算结果上看，股份行</w:t>
      </w:r>
      <w:r w:rsidR="00E51F07">
        <w:rPr>
          <w:rFonts w:ascii="Times New Roman" w:eastAsia="楷体_GB2312" w:hAnsi="Times New Roman" w:hint="eastAsia"/>
          <w:b/>
          <w:color w:val="000000"/>
          <w:szCs w:val="24"/>
        </w:rPr>
        <w:t>需</w:t>
      </w:r>
      <w:r w:rsidR="00445CDF">
        <w:rPr>
          <w:rFonts w:ascii="Times New Roman" w:eastAsia="楷体_GB2312" w:hAnsi="Times New Roman" w:hint="eastAsia"/>
          <w:b/>
          <w:color w:val="000000"/>
          <w:szCs w:val="24"/>
        </w:rPr>
        <w:t>增加</w:t>
      </w:r>
      <w:r w:rsidRPr="00445CDF">
        <w:rPr>
          <w:rFonts w:ascii="Times New Roman" w:eastAsia="楷体_GB2312" w:hAnsi="Times New Roman"/>
          <w:b/>
          <w:color w:val="000000"/>
          <w:szCs w:val="24"/>
        </w:rPr>
        <w:t>计提规模显著高于其他银行。</w:t>
      </w:r>
      <w:r w:rsidRPr="00445CDF">
        <w:rPr>
          <w:rFonts w:ascii="Times New Roman" w:eastAsia="楷体_GB2312" w:hAnsi="Times New Roman"/>
          <w:color w:val="000000"/>
          <w:szCs w:val="24"/>
        </w:rPr>
        <w:t>17H</w:t>
      </w:r>
      <w:r w:rsidRPr="00445CDF">
        <w:rPr>
          <w:rFonts w:ascii="Times New Roman" w:eastAsia="楷体_GB2312" w:hAnsi="Times New Roman"/>
          <w:color w:val="000000"/>
          <w:szCs w:val="24"/>
        </w:rPr>
        <w:t>上市银行中，兴业银行测算的</w:t>
      </w:r>
      <w:r w:rsidR="00213B77">
        <w:rPr>
          <w:rFonts w:ascii="Times New Roman" w:eastAsia="楷体_GB2312" w:hAnsi="Times New Roman"/>
          <w:color w:val="000000"/>
          <w:szCs w:val="24"/>
        </w:rPr>
        <w:t>类信贷</w:t>
      </w:r>
      <w:r w:rsidRPr="00445CDF">
        <w:rPr>
          <w:rFonts w:ascii="Times New Roman" w:eastAsia="楷体_GB2312" w:hAnsi="Times New Roman"/>
          <w:color w:val="000000"/>
          <w:szCs w:val="24"/>
        </w:rPr>
        <w:t>非标投资资产余额最高，达</w:t>
      </w:r>
      <w:r w:rsidRPr="00445CDF">
        <w:rPr>
          <w:rFonts w:ascii="Times New Roman" w:eastAsia="楷体_GB2312" w:hAnsi="Times New Roman"/>
          <w:color w:val="000000"/>
          <w:szCs w:val="24"/>
        </w:rPr>
        <w:t>9212.05</w:t>
      </w:r>
      <w:r w:rsidRPr="00445CDF">
        <w:rPr>
          <w:rFonts w:ascii="Times New Roman" w:eastAsia="楷体_GB2312" w:hAnsi="Times New Roman"/>
          <w:color w:val="000000"/>
          <w:szCs w:val="24"/>
        </w:rPr>
        <w:t>亿元，对应五级分类测算下应计提减值准备达到</w:t>
      </w:r>
      <w:r w:rsidRPr="00445CDF">
        <w:rPr>
          <w:rFonts w:ascii="Times New Roman" w:eastAsia="楷体_GB2312" w:hAnsi="Times New Roman"/>
          <w:color w:val="000000"/>
          <w:szCs w:val="24"/>
        </w:rPr>
        <w:t>222.23</w:t>
      </w:r>
      <w:r w:rsidRPr="00445CDF">
        <w:rPr>
          <w:rFonts w:ascii="Times New Roman" w:eastAsia="楷体_GB2312" w:hAnsi="Times New Roman"/>
          <w:color w:val="000000"/>
          <w:szCs w:val="24"/>
        </w:rPr>
        <w:t>亿元。国有行中，交通银行</w:t>
      </w:r>
      <w:r w:rsidR="00213B77">
        <w:rPr>
          <w:rFonts w:ascii="Times New Roman" w:eastAsia="楷体_GB2312" w:hAnsi="Times New Roman"/>
          <w:color w:val="000000"/>
          <w:szCs w:val="24"/>
        </w:rPr>
        <w:t>类信贷</w:t>
      </w:r>
      <w:r w:rsidRPr="00445CDF">
        <w:rPr>
          <w:rFonts w:ascii="Times New Roman" w:eastAsia="楷体_GB2312" w:hAnsi="Times New Roman"/>
          <w:color w:val="000000"/>
          <w:szCs w:val="24"/>
        </w:rPr>
        <w:t>非标投资资产余额为</w:t>
      </w:r>
      <w:r w:rsidRPr="00445CDF">
        <w:rPr>
          <w:rFonts w:ascii="Times New Roman" w:eastAsia="楷体_GB2312" w:hAnsi="Times New Roman"/>
          <w:color w:val="000000"/>
          <w:szCs w:val="24"/>
        </w:rPr>
        <w:t>557.43</w:t>
      </w:r>
      <w:r w:rsidRPr="00445CDF">
        <w:rPr>
          <w:rFonts w:ascii="Times New Roman" w:eastAsia="楷体_GB2312" w:hAnsi="Times New Roman"/>
          <w:color w:val="000000"/>
          <w:szCs w:val="24"/>
        </w:rPr>
        <w:t>亿元，对应计提减值准备达到</w:t>
      </w:r>
      <w:r w:rsidRPr="00445CDF">
        <w:rPr>
          <w:rFonts w:ascii="Times New Roman" w:eastAsia="楷体_GB2312" w:hAnsi="Times New Roman"/>
          <w:color w:val="000000"/>
          <w:szCs w:val="24"/>
        </w:rPr>
        <w:t>13.92</w:t>
      </w:r>
      <w:r w:rsidRPr="00445CDF">
        <w:rPr>
          <w:rFonts w:ascii="Times New Roman" w:eastAsia="楷体_GB2312" w:hAnsi="Times New Roman"/>
          <w:color w:val="000000"/>
          <w:szCs w:val="24"/>
        </w:rPr>
        <w:t>亿元，为国有行最高，而中国银行由于</w:t>
      </w:r>
      <w:r w:rsidR="00213B77">
        <w:rPr>
          <w:rFonts w:ascii="Times New Roman" w:eastAsia="楷体_GB2312" w:hAnsi="Times New Roman"/>
          <w:color w:val="000000"/>
          <w:szCs w:val="24"/>
        </w:rPr>
        <w:t>类信贷</w:t>
      </w:r>
      <w:r w:rsidRPr="00445CDF">
        <w:rPr>
          <w:rFonts w:ascii="Times New Roman" w:eastAsia="楷体_GB2312" w:hAnsi="Times New Roman"/>
          <w:color w:val="000000"/>
          <w:szCs w:val="24"/>
        </w:rPr>
        <w:t>资产持有较少，没有太大影响。</w:t>
      </w:r>
      <w:r w:rsidR="00F0515A">
        <w:rPr>
          <w:rFonts w:ascii="Times New Roman" w:eastAsia="楷体_GB2312" w:hAnsi="Times New Roman"/>
          <w:color w:val="000000"/>
          <w:szCs w:val="24"/>
        </w:rPr>
        <w:t>这与各家银行</w:t>
      </w:r>
      <w:r w:rsidR="00445CDF">
        <w:rPr>
          <w:rFonts w:ascii="Times New Roman" w:eastAsia="楷体_GB2312" w:hAnsi="Times New Roman"/>
          <w:color w:val="000000"/>
          <w:szCs w:val="24"/>
        </w:rPr>
        <w:t>投资类资产中非标投资规</w:t>
      </w:r>
      <w:r w:rsidR="00445CDF">
        <w:rPr>
          <w:rFonts w:ascii="Times New Roman" w:eastAsia="楷体_GB2312" w:hAnsi="Times New Roman"/>
          <w:color w:val="000000"/>
          <w:szCs w:val="24"/>
        </w:rPr>
        <w:lastRenderedPageBreak/>
        <w:t>模密切相关</w:t>
      </w:r>
      <w:r w:rsidR="00445CDF">
        <w:rPr>
          <w:rFonts w:ascii="Times New Roman" w:eastAsia="楷体_GB2312" w:hAnsi="Times New Roman" w:hint="eastAsia"/>
          <w:color w:val="000000"/>
          <w:szCs w:val="24"/>
        </w:rPr>
        <w:t>，一般来说，非标投资规模越大的银行受到的影响也越大。</w:t>
      </w:r>
      <w:r w:rsidR="005841D9">
        <w:rPr>
          <w:rFonts w:ascii="Times New Roman" w:eastAsia="楷体_GB2312" w:hAnsi="Times New Roman"/>
          <w:color w:val="000000"/>
          <w:szCs w:val="24"/>
        </w:rPr>
        <w:t>整体看，股份行五级分类测算下</w:t>
      </w:r>
      <w:r w:rsidR="005841D9">
        <w:rPr>
          <w:rFonts w:ascii="Times New Roman" w:eastAsia="楷体_GB2312" w:hAnsi="Times New Roman" w:hint="eastAsia"/>
          <w:color w:val="000000"/>
          <w:szCs w:val="24"/>
        </w:rPr>
        <w:t>需</w:t>
      </w:r>
      <w:r w:rsidRPr="00445CDF">
        <w:rPr>
          <w:rFonts w:ascii="Times New Roman" w:eastAsia="楷体_GB2312" w:hAnsi="Times New Roman"/>
          <w:color w:val="000000"/>
          <w:szCs w:val="24"/>
        </w:rPr>
        <w:t>计提减值准备显著高于其他银行，未来若</w:t>
      </w:r>
      <w:r w:rsidRPr="00445CDF">
        <w:rPr>
          <w:rFonts w:ascii="Times New Roman" w:eastAsia="楷体_GB2312" w:hAnsi="Times New Roman"/>
          <w:noProof/>
        </w:rPr>
        <w:t>统一计提准则，可能会造成一定影响。</w:t>
      </w:r>
    </w:p>
    <w:p w:rsidR="006B1D65" w:rsidRPr="00F37EDD" w:rsidRDefault="006B1D65" w:rsidP="00491A2B">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Pr>
          <w:rFonts w:ascii="Times New Roman" w:eastAsia="楷体_GB2312" w:hAnsi="Times New Roman" w:hint="eastAsia"/>
          <w:b/>
          <w:color w:val="000000"/>
          <w:szCs w:val="24"/>
        </w:rPr>
        <w:t>就现有计提准备的情况来看，股份行计提力度明显不足。</w:t>
      </w:r>
      <w:r w:rsidRPr="006B1D65">
        <w:rPr>
          <w:rFonts w:ascii="Times New Roman" w:eastAsia="楷体_GB2312" w:hAnsi="Times New Roman"/>
          <w:color w:val="000000"/>
          <w:szCs w:val="24"/>
        </w:rPr>
        <w:t>目前大多数银行并未公布非标资产具体计提准则，假如以</w:t>
      </w:r>
      <w:r w:rsidRPr="006B1D65">
        <w:rPr>
          <w:rFonts w:ascii="Times New Roman" w:eastAsia="楷体_GB2312" w:hAnsi="Times New Roman" w:hint="eastAsia"/>
          <w:color w:val="000000"/>
          <w:szCs w:val="24"/>
        </w:rPr>
        <w:t>银行目前</w:t>
      </w:r>
      <w:r w:rsidRPr="006B1D65">
        <w:rPr>
          <w:rFonts w:ascii="Times New Roman" w:eastAsia="楷体_GB2312" w:hAnsi="Times New Roman"/>
          <w:color w:val="000000"/>
          <w:szCs w:val="24"/>
        </w:rPr>
        <w:t>应收款项类</w:t>
      </w:r>
      <w:r w:rsidRPr="006B1D65">
        <w:rPr>
          <w:rFonts w:ascii="Times New Roman" w:eastAsia="楷体_GB2312" w:hAnsi="Times New Roman" w:hint="eastAsia"/>
          <w:color w:val="000000"/>
          <w:szCs w:val="24"/>
        </w:rPr>
        <w:t>投资减值准备代表非标</w:t>
      </w:r>
      <w:r w:rsidR="00213B77">
        <w:rPr>
          <w:rFonts w:ascii="Times New Roman" w:eastAsia="楷体_GB2312" w:hAnsi="Times New Roman" w:hint="eastAsia"/>
          <w:color w:val="000000"/>
          <w:szCs w:val="24"/>
        </w:rPr>
        <w:t>类信贷</w:t>
      </w:r>
      <w:r w:rsidRPr="006B1D65">
        <w:rPr>
          <w:rFonts w:ascii="Times New Roman" w:eastAsia="楷体_GB2312" w:hAnsi="Times New Roman" w:hint="eastAsia"/>
          <w:color w:val="000000"/>
          <w:szCs w:val="24"/>
        </w:rPr>
        <w:t>投资现有计提水平，</w:t>
      </w:r>
      <w:r>
        <w:rPr>
          <w:rFonts w:ascii="Times New Roman" w:eastAsia="楷体_GB2312" w:hAnsi="Times New Roman" w:hint="eastAsia"/>
          <w:color w:val="000000"/>
          <w:szCs w:val="24"/>
        </w:rPr>
        <w:t>股份</w:t>
      </w:r>
      <w:r>
        <w:rPr>
          <w:rFonts w:ascii="Times New Roman" w:eastAsia="楷体_GB2312" w:hAnsi="Times New Roman"/>
          <w:color w:val="000000"/>
          <w:szCs w:val="24"/>
        </w:rPr>
        <w:t>银行计提明显偏低</w:t>
      </w:r>
      <w:r w:rsidR="005841D9" w:rsidRPr="005841D9">
        <w:rPr>
          <w:rFonts w:ascii="Times New Roman" w:eastAsia="楷体_GB2312" w:hAnsi="Times New Roman" w:hint="eastAsia"/>
          <w:color w:val="000000"/>
          <w:szCs w:val="24"/>
        </w:rPr>
        <w:t>（由于应收款项类投资其他科目也需要计提减值准备，银行实际为类信贷非标投资计提水平可能更低）</w:t>
      </w:r>
      <w:r>
        <w:rPr>
          <w:rFonts w:ascii="Times New Roman" w:eastAsia="楷体_GB2312" w:hAnsi="Times New Roman" w:hint="eastAsia"/>
          <w:color w:val="000000"/>
          <w:szCs w:val="24"/>
        </w:rPr>
        <w:t>。</w:t>
      </w:r>
      <w:r w:rsidR="00F37EDD">
        <w:rPr>
          <w:rFonts w:ascii="Times New Roman" w:eastAsia="楷体_GB2312" w:hAnsi="Times New Roman" w:hint="eastAsia"/>
          <w:color w:val="000000"/>
          <w:szCs w:val="24"/>
        </w:rPr>
        <w:t>类信贷业务由于涉及多层法律主体并且现阶段相关法律监</w:t>
      </w:r>
      <w:r w:rsidR="005841D9">
        <w:rPr>
          <w:rFonts w:ascii="Times New Roman" w:eastAsia="楷体_GB2312" w:hAnsi="Times New Roman" w:hint="eastAsia"/>
          <w:color w:val="000000"/>
          <w:szCs w:val="24"/>
        </w:rPr>
        <w:t>管较少，风险程度应该较传统类信贷业务更大</w:t>
      </w:r>
      <w:r w:rsidR="00F37EDD">
        <w:rPr>
          <w:rFonts w:ascii="Times New Roman" w:eastAsia="楷体_GB2312" w:hAnsi="Times New Roman" w:hint="eastAsia"/>
          <w:color w:val="000000"/>
          <w:szCs w:val="24"/>
        </w:rPr>
        <w:t>，但从拨备计提角度看，股份行对类信贷资产的计提比例均远低于传统信贷的拨贷比，其中</w:t>
      </w:r>
      <w:r w:rsidRPr="006B1D65">
        <w:rPr>
          <w:rFonts w:ascii="Times New Roman" w:eastAsia="楷体_GB2312" w:hAnsi="Times New Roman" w:hint="eastAsia"/>
          <w:color w:val="000000"/>
          <w:szCs w:val="24"/>
        </w:rPr>
        <w:t>民生和光大计提拨备仅占测算的</w:t>
      </w:r>
      <w:r w:rsidR="00213B77">
        <w:rPr>
          <w:rFonts w:ascii="Times New Roman" w:eastAsia="楷体_GB2312" w:hAnsi="Times New Roman" w:hint="eastAsia"/>
          <w:color w:val="000000"/>
          <w:szCs w:val="24"/>
        </w:rPr>
        <w:t>类信贷</w:t>
      </w:r>
      <w:r w:rsidRPr="006B1D65">
        <w:rPr>
          <w:rFonts w:ascii="Times New Roman" w:eastAsia="楷体_GB2312" w:hAnsi="Times New Roman" w:hint="eastAsia"/>
          <w:color w:val="000000"/>
          <w:szCs w:val="24"/>
        </w:rPr>
        <w:t>非标投资资产的</w:t>
      </w:r>
      <w:r w:rsidRPr="006B1D65">
        <w:rPr>
          <w:rFonts w:ascii="Times New Roman" w:eastAsia="楷体_GB2312" w:hAnsi="Times New Roman" w:hint="eastAsia"/>
          <w:color w:val="000000"/>
          <w:szCs w:val="24"/>
        </w:rPr>
        <w:t>0.34%</w:t>
      </w:r>
      <w:r w:rsidRPr="006B1D65">
        <w:rPr>
          <w:rFonts w:ascii="Times New Roman" w:eastAsia="楷体_GB2312" w:hAnsi="Times New Roman" w:hint="eastAsia"/>
          <w:color w:val="000000"/>
          <w:szCs w:val="24"/>
        </w:rPr>
        <w:t>和</w:t>
      </w:r>
      <w:r w:rsidRPr="006B1D65">
        <w:rPr>
          <w:rFonts w:ascii="Times New Roman" w:eastAsia="楷体_GB2312" w:hAnsi="Times New Roman" w:hint="eastAsia"/>
          <w:color w:val="000000"/>
          <w:szCs w:val="24"/>
        </w:rPr>
        <w:t>0.65%</w:t>
      </w:r>
      <w:r w:rsidR="005841D9">
        <w:rPr>
          <w:rFonts w:ascii="Times New Roman" w:eastAsia="楷体_GB2312" w:hAnsi="Times New Roman" w:hint="eastAsia"/>
          <w:color w:val="000000"/>
          <w:szCs w:val="24"/>
        </w:rPr>
        <w:t>，且大多数银行拨备计提力度</w:t>
      </w:r>
      <w:r w:rsidR="00F37EDD">
        <w:rPr>
          <w:rFonts w:ascii="Times New Roman" w:eastAsia="楷体_GB2312" w:hAnsi="Times New Roman" w:hint="eastAsia"/>
          <w:color w:val="000000"/>
          <w:szCs w:val="24"/>
        </w:rPr>
        <w:t>低于正常类贷款的</w:t>
      </w:r>
      <w:r w:rsidR="00F37EDD">
        <w:rPr>
          <w:rFonts w:ascii="Times New Roman" w:eastAsia="楷体_GB2312" w:hAnsi="Times New Roman" w:hint="eastAsia"/>
          <w:color w:val="000000"/>
          <w:szCs w:val="24"/>
        </w:rPr>
        <w:t>1.5%</w:t>
      </w:r>
      <w:r w:rsidR="00F37EDD">
        <w:rPr>
          <w:rFonts w:ascii="Times New Roman" w:eastAsia="楷体_GB2312" w:hAnsi="Times New Roman" w:hint="eastAsia"/>
          <w:color w:val="000000"/>
          <w:szCs w:val="24"/>
        </w:rPr>
        <w:t>。城商行中</w:t>
      </w:r>
      <w:r w:rsidR="005841D9">
        <w:rPr>
          <w:rFonts w:ascii="Times New Roman" w:eastAsia="楷体_GB2312" w:hAnsi="Times New Roman" w:hint="eastAsia"/>
          <w:color w:val="000000"/>
          <w:szCs w:val="24"/>
        </w:rPr>
        <w:t>，宁波银行和杭州银行计提力度偏</w:t>
      </w:r>
      <w:r w:rsidR="00F37EDD">
        <w:rPr>
          <w:rFonts w:ascii="Times New Roman" w:eastAsia="楷体_GB2312" w:hAnsi="Times New Roman" w:hint="eastAsia"/>
          <w:color w:val="000000"/>
          <w:szCs w:val="24"/>
        </w:rPr>
        <w:t>低，仅为</w:t>
      </w:r>
      <w:r w:rsidR="00F37EDD">
        <w:rPr>
          <w:rFonts w:ascii="Times New Roman" w:eastAsia="楷体_GB2312" w:hAnsi="Times New Roman" w:hint="eastAsia"/>
          <w:color w:val="000000"/>
          <w:szCs w:val="24"/>
        </w:rPr>
        <w:t>0.59%</w:t>
      </w:r>
      <w:r w:rsidR="00F37EDD">
        <w:rPr>
          <w:rFonts w:ascii="Times New Roman" w:eastAsia="楷体_GB2312" w:hAnsi="Times New Roman" w:hint="eastAsia"/>
          <w:color w:val="000000"/>
          <w:szCs w:val="24"/>
        </w:rPr>
        <w:t>和</w:t>
      </w:r>
      <w:r w:rsidR="00F37EDD">
        <w:rPr>
          <w:rFonts w:ascii="Times New Roman" w:eastAsia="楷体_GB2312" w:hAnsi="Times New Roman" w:hint="eastAsia"/>
          <w:color w:val="000000"/>
          <w:szCs w:val="24"/>
        </w:rPr>
        <w:t>0.83</w:t>
      </w:r>
      <w:r w:rsidR="005841D9">
        <w:rPr>
          <w:rFonts w:ascii="Times New Roman" w:eastAsia="楷体_GB2312" w:hAnsi="Times New Roman"/>
          <w:color w:val="000000"/>
          <w:szCs w:val="24"/>
        </w:rPr>
        <w:t>%</w:t>
      </w:r>
      <w:r w:rsidR="005841D9">
        <w:rPr>
          <w:rFonts w:ascii="Times New Roman" w:eastAsia="楷体_GB2312" w:hAnsi="Times New Roman" w:hint="eastAsia"/>
          <w:color w:val="000000"/>
          <w:szCs w:val="24"/>
        </w:rPr>
        <w:t>。</w:t>
      </w:r>
      <w:r w:rsidR="00F37EDD">
        <w:rPr>
          <w:rFonts w:ascii="Times New Roman" w:eastAsia="楷体_GB2312" w:hAnsi="Times New Roman" w:hint="eastAsia"/>
          <w:color w:val="000000"/>
          <w:szCs w:val="24"/>
        </w:rPr>
        <w:t>国有行和农商行整体计提力度则较为充分。</w:t>
      </w:r>
    </w:p>
    <w:p w:rsidR="00F0515A" w:rsidRDefault="00F0515A" w:rsidP="00F0515A">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sidRPr="00F0515A">
        <w:rPr>
          <w:rFonts w:ascii="Times New Roman" w:eastAsia="楷体_GB2312" w:hAnsi="Times New Roman"/>
          <w:b/>
          <w:noProof/>
        </w:rPr>
        <w:t>若未来以五级贷款分类计提，股份行受到影响最大。</w:t>
      </w:r>
      <w:r w:rsidRPr="00F0515A">
        <w:rPr>
          <w:rFonts w:ascii="Times New Roman" w:eastAsia="楷体_GB2312" w:hAnsi="Times New Roman" w:hint="eastAsia"/>
          <w:noProof/>
        </w:rPr>
        <w:t>若</w:t>
      </w:r>
      <w:r w:rsidRPr="00F0515A">
        <w:rPr>
          <w:rFonts w:ascii="Times New Roman" w:eastAsia="楷体_GB2312" w:hAnsi="Times New Roman"/>
          <w:noProof/>
        </w:rPr>
        <w:t>未来转变为按五级贷款要求计提比例计提减值准备，</w:t>
      </w:r>
      <w:r w:rsidRPr="00F0515A">
        <w:rPr>
          <w:rFonts w:ascii="Times New Roman" w:eastAsia="楷体_GB2312" w:hAnsi="Times New Roman" w:hint="eastAsia"/>
          <w:noProof/>
        </w:rPr>
        <w:t>部分银行势必需补充计提减值准备，因而会对净利润造成一定影响</w:t>
      </w:r>
      <w:r w:rsidRPr="00F0515A">
        <w:rPr>
          <w:rFonts w:ascii="Times New Roman" w:eastAsia="楷体_GB2312" w:hAnsi="Times New Roman"/>
          <w:noProof/>
        </w:rPr>
        <w:t>。从测算结果看，股份行受此影响较大，所有股份行现阶段计提</w:t>
      </w:r>
      <w:r w:rsidRPr="00F0515A">
        <w:rPr>
          <w:rFonts w:ascii="Times New Roman" w:eastAsia="楷体_GB2312" w:hAnsi="Times New Roman" w:hint="eastAsia"/>
          <w:noProof/>
        </w:rPr>
        <w:t>水平</w:t>
      </w:r>
      <w:r w:rsidR="008C76FE">
        <w:rPr>
          <w:rFonts w:ascii="Times New Roman" w:eastAsia="楷体_GB2312" w:hAnsi="Times New Roman" w:hint="eastAsia"/>
          <w:noProof/>
        </w:rPr>
        <w:t>均</w:t>
      </w:r>
      <w:r w:rsidRPr="00F0515A">
        <w:rPr>
          <w:rFonts w:ascii="Times New Roman" w:eastAsia="楷体_GB2312" w:hAnsi="Times New Roman" w:hint="eastAsia"/>
          <w:noProof/>
        </w:rPr>
        <w:t>不充分，需补充计提，大部分银行</w:t>
      </w:r>
      <w:r w:rsidRPr="00F0515A">
        <w:rPr>
          <w:rFonts w:ascii="Times New Roman" w:eastAsia="楷体_GB2312" w:hAnsi="Times New Roman"/>
          <w:noProof/>
        </w:rPr>
        <w:t>将冲减</w:t>
      </w:r>
      <w:r w:rsidRPr="00F0515A">
        <w:rPr>
          <w:rFonts w:ascii="Times New Roman" w:eastAsia="楷体_GB2312" w:hAnsi="Times New Roman" w:hint="eastAsia"/>
          <w:noProof/>
        </w:rPr>
        <w:t>10%</w:t>
      </w:r>
      <w:r w:rsidRPr="00F0515A">
        <w:rPr>
          <w:rFonts w:ascii="Times New Roman" w:eastAsia="楷体_GB2312" w:hAnsi="Times New Roman" w:hint="eastAsia"/>
          <w:noProof/>
        </w:rPr>
        <w:t>左右的净利润，其中民生银行对利润冲减达</w:t>
      </w:r>
      <w:r w:rsidRPr="00F0515A">
        <w:rPr>
          <w:rFonts w:ascii="Times New Roman" w:eastAsia="楷体_GB2312" w:hAnsi="Times New Roman" w:hint="eastAsia"/>
          <w:noProof/>
        </w:rPr>
        <w:t>22.6%</w:t>
      </w:r>
      <w:r w:rsidRPr="00F0515A">
        <w:rPr>
          <w:rFonts w:ascii="Times New Roman" w:eastAsia="楷体_GB2312" w:hAnsi="Times New Roman" w:hint="eastAsia"/>
          <w:noProof/>
        </w:rPr>
        <w:t>，即使是冲减程度最小的招商银行也有</w:t>
      </w:r>
      <w:r w:rsidRPr="00F0515A">
        <w:rPr>
          <w:rFonts w:ascii="Times New Roman" w:eastAsia="楷体_GB2312" w:hAnsi="Times New Roman" w:hint="eastAsia"/>
          <w:noProof/>
        </w:rPr>
        <w:t>3.61%</w:t>
      </w:r>
      <w:r w:rsidRPr="00F0515A">
        <w:rPr>
          <w:rFonts w:ascii="Times New Roman" w:eastAsia="楷体_GB2312" w:hAnsi="Times New Roman" w:hint="eastAsia"/>
          <w:noProof/>
        </w:rPr>
        <w:t>的负面影响</w:t>
      </w:r>
      <w:r w:rsidRPr="00F0515A">
        <w:rPr>
          <w:rFonts w:ascii="Times New Roman" w:eastAsia="楷体_GB2312" w:hAnsi="Times New Roman"/>
          <w:noProof/>
        </w:rPr>
        <w:t>。国有大行和农商行</w:t>
      </w:r>
      <w:r w:rsidRPr="00F0515A">
        <w:rPr>
          <w:rFonts w:ascii="Times New Roman" w:eastAsia="楷体_GB2312" w:hAnsi="Times New Roman" w:hint="eastAsia"/>
          <w:noProof/>
        </w:rPr>
        <w:t>计提充足</w:t>
      </w:r>
      <w:r w:rsidRPr="00F0515A">
        <w:rPr>
          <w:rFonts w:ascii="Times New Roman" w:eastAsia="楷体_GB2312" w:hAnsi="Times New Roman"/>
          <w:noProof/>
        </w:rPr>
        <w:t>受影响则较小，除工行冲减</w:t>
      </w:r>
      <w:r w:rsidRPr="00F0515A">
        <w:rPr>
          <w:rFonts w:ascii="Times New Roman" w:eastAsia="楷体_GB2312" w:hAnsi="Times New Roman" w:hint="eastAsia"/>
          <w:noProof/>
        </w:rPr>
        <w:t>0.25%</w:t>
      </w:r>
      <w:r w:rsidRPr="00F0515A">
        <w:rPr>
          <w:rFonts w:ascii="Times New Roman" w:eastAsia="楷体_GB2312" w:hAnsi="Times New Roman" w:hint="eastAsia"/>
          <w:noProof/>
        </w:rPr>
        <w:t>外其余为</w:t>
      </w:r>
      <w:r w:rsidRPr="00F0515A">
        <w:rPr>
          <w:rFonts w:ascii="Times New Roman" w:eastAsia="楷体_GB2312" w:hAnsi="Times New Roman" w:hint="eastAsia"/>
          <w:noProof/>
        </w:rPr>
        <w:t>0</w:t>
      </w:r>
      <w:r w:rsidRPr="00F0515A">
        <w:rPr>
          <w:rFonts w:ascii="Times New Roman" w:eastAsia="楷体_GB2312" w:hAnsi="Times New Roman"/>
          <w:noProof/>
        </w:rPr>
        <w:t>，城商行中杭州和宁波银行受影响较大，其余银行没有影响</w:t>
      </w:r>
      <w:r>
        <w:rPr>
          <w:rFonts w:ascii="Times New Roman" w:eastAsia="楷体_GB2312" w:hAnsi="Times New Roman" w:hint="eastAsia"/>
          <w:noProof/>
        </w:rPr>
        <w:t>。</w:t>
      </w:r>
    </w:p>
    <w:p w:rsidR="00F0515A" w:rsidRDefault="00F0515A" w:rsidP="00F0515A">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noProof/>
        </w:rPr>
      </w:pPr>
    </w:p>
    <w:tbl>
      <w:tblPr>
        <w:tblW w:w="10632"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32"/>
      </w:tblGrid>
      <w:tr w:rsidR="00491A2B" w:rsidRPr="00750071" w:rsidTr="00F0515A">
        <w:tc>
          <w:tcPr>
            <w:tcW w:w="10632" w:type="dxa"/>
            <w:tcBorders>
              <w:top w:val="nil"/>
              <w:bottom w:val="single" w:sz="8" w:space="0" w:color="000000"/>
            </w:tcBorders>
          </w:tcPr>
          <w:p w:rsidR="00491A2B" w:rsidRPr="00C13463" w:rsidRDefault="00491A2B" w:rsidP="00F0515A">
            <w:pPr>
              <w:pStyle w:val="ab"/>
              <w:ind w:leftChars="16" w:left="34" w:rightChars="15" w:right="31"/>
              <w:jc w:val="left"/>
              <w:rPr>
                <w:rFonts w:ascii="Times New Roman" w:eastAsia="楷体_GB2312" w:hAnsi="Times New Roman"/>
                <w:sz w:val="21"/>
                <w:szCs w:val="21"/>
              </w:rPr>
            </w:pPr>
            <w:bookmarkStart w:id="17" w:name="_Toc494044063"/>
            <w:bookmarkStart w:id="18" w:name="_Hlk494127583"/>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Pr>
                <w:rFonts w:ascii="Times New Roman" w:eastAsia="楷体_GB2312" w:hAnsi="Times New Roman" w:cs="Times New Roman"/>
                <w:b/>
                <w:noProof/>
                <w:color w:val="17365D"/>
                <w:sz w:val="21"/>
                <w:szCs w:val="21"/>
              </w:rPr>
              <w:t>6</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Pr>
                <w:rFonts w:ascii="Times New Roman" w:eastAsia="楷体_GB2312" w:hAnsi="Times New Roman" w:hint="eastAsia"/>
                <w:b/>
                <w:color w:val="17365D"/>
                <w:sz w:val="21"/>
                <w:szCs w:val="21"/>
              </w:rPr>
              <w:t>上市银行应收款项类投资中</w:t>
            </w:r>
            <w:r w:rsidR="00213B77">
              <w:rPr>
                <w:rFonts w:ascii="Times New Roman" w:eastAsia="楷体_GB2312" w:hAnsi="Times New Roman" w:hint="eastAsia"/>
                <w:b/>
                <w:color w:val="17365D"/>
                <w:sz w:val="21"/>
                <w:szCs w:val="21"/>
              </w:rPr>
              <w:t>类信贷</w:t>
            </w:r>
            <w:r>
              <w:rPr>
                <w:rFonts w:ascii="Times New Roman" w:eastAsia="楷体_GB2312" w:hAnsi="Times New Roman" w:hint="eastAsia"/>
                <w:b/>
                <w:color w:val="17365D"/>
                <w:sz w:val="21"/>
                <w:szCs w:val="21"/>
              </w:rPr>
              <w:t>资产计提测算（单位：亿元）</w:t>
            </w:r>
            <w:bookmarkEnd w:id="17"/>
          </w:p>
        </w:tc>
      </w:tr>
      <w:tr w:rsidR="00491A2B" w:rsidRPr="00520DC6" w:rsidTr="00F0515A">
        <w:trPr>
          <w:trHeight w:val="264"/>
        </w:trPr>
        <w:tc>
          <w:tcPr>
            <w:tcW w:w="10632" w:type="dxa"/>
            <w:tcBorders>
              <w:top w:val="single" w:sz="8" w:space="0" w:color="000000"/>
              <w:bottom w:val="single" w:sz="4" w:space="0" w:color="auto"/>
            </w:tcBorders>
          </w:tcPr>
          <w:tbl>
            <w:tblPr>
              <w:tblW w:w="10343" w:type="dxa"/>
              <w:tblInd w:w="38" w:type="dxa"/>
              <w:tblLayout w:type="fixed"/>
              <w:tblLook w:val="04A0" w:firstRow="1" w:lastRow="0" w:firstColumn="1" w:lastColumn="0" w:noHBand="0" w:noVBand="1"/>
            </w:tblPr>
            <w:tblGrid>
              <w:gridCol w:w="1442"/>
              <w:gridCol w:w="1431"/>
              <w:gridCol w:w="1701"/>
              <w:gridCol w:w="1521"/>
              <w:gridCol w:w="1134"/>
              <w:gridCol w:w="851"/>
              <w:gridCol w:w="992"/>
              <w:gridCol w:w="1271"/>
            </w:tblGrid>
            <w:tr w:rsidR="00E51F07" w:rsidRPr="00A73F5B" w:rsidTr="00E51F07">
              <w:trPr>
                <w:trHeight w:val="20"/>
              </w:trPr>
              <w:tc>
                <w:tcPr>
                  <w:tcW w:w="1442" w:type="dxa"/>
                  <w:tcBorders>
                    <w:bottom w:val="single" w:sz="4" w:space="0" w:color="auto"/>
                    <w:right w:val="single" w:sz="4" w:space="0" w:color="auto"/>
                  </w:tcBorders>
                  <w:shd w:val="clear" w:color="auto" w:fill="1F4E79"/>
                  <w:vAlign w:val="center"/>
                </w:tcPr>
                <w:p w:rsidR="00E51F07" w:rsidRPr="00A73F5B" w:rsidRDefault="00E51F07" w:rsidP="00F0515A">
                  <w:pPr>
                    <w:jc w:val="center"/>
                    <w:rPr>
                      <w:rFonts w:ascii="楷体_GB2312" w:eastAsia="楷体_GB2312"/>
                      <w:b/>
                      <w:color w:val="FFFFFF" w:themeColor="background1"/>
                    </w:rPr>
                  </w:pPr>
                  <w:r w:rsidRPr="00A73F5B">
                    <w:rPr>
                      <w:rFonts w:ascii="楷体_GB2312" w:eastAsia="楷体_GB2312" w:hAnsi="Times New Roman" w:hint="eastAsia"/>
                      <w:b/>
                      <w:bCs/>
                      <w:color w:val="FFFFFF" w:themeColor="background1"/>
                      <w:kern w:val="24"/>
                      <w:sz w:val="22"/>
                    </w:rPr>
                    <w:t>银行</w:t>
                  </w:r>
                </w:p>
              </w:tc>
              <w:tc>
                <w:tcPr>
                  <w:tcW w:w="1431"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类信贷资产E</w:t>
                  </w:r>
                </w:p>
              </w:tc>
              <w:tc>
                <w:tcPr>
                  <w:tcW w:w="1701"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类信贷非标投资测算计提加总</w:t>
                  </w:r>
                </w:p>
              </w:tc>
              <w:tc>
                <w:tcPr>
                  <w:tcW w:w="1521"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Pr>
                      <w:rFonts w:ascii="楷体_GB2312" w:eastAsia="楷体_GB2312" w:hint="eastAsia"/>
                      <w:b/>
                      <w:color w:val="FFFFFF" w:themeColor="background1"/>
                    </w:rPr>
                    <w:t>应收款项类</w:t>
                  </w:r>
                  <w:r w:rsidRPr="003A578F">
                    <w:rPr>
                      <w:rFonts w:ascii="楷体_GB2312" w:eastAsia="楷体_GB2312" w:hint="eastAsia"/>
                      <w:b/>
                      <w:color w:val="FFFFFF" w:themeColor="background1"/>
                    </w:rPr>
                    <w:t>实际减值准备</w:t>
                  </w:r>
                </w:p>
              </w:tc>
              <w:tc>
                <w:tcPr>
                  <w:tcW w:w="1134"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实际计提比例测算</w:t>
                  </w:r>
                </w:p>
              </w:tc>
              <w:tc>
                <w:tcPr>
                  <w:tcW w:w="851" w:type="dxa"/>
                  <w:tcBorders>
                    <w:bottom w:val="single" w:sz="4" w:space="0" w:color="auto"/>
                  </w:tcBorders>
                  <w:shd w:val="clear" w:color="auto" w:fill="1F4E79"/>
                  <w:vAlign w:val="center"/>
                </w:tcPr>
                <w:p w:rsidR="00E51F07" w:rsidRPr="003A578F" w:rsidRDefault="00E51F07" w:rsidP="00E51F07">
                  <w:pPr>
                    <w:jc w:val="center"/>
                    <w:rPr>
                      <w:rFonts w:ascii="楷体_GB2312" w:eastAsia="楷体_GB2312"/>
                      <w:b/>
                      <w:color w:val="FFFFFF" w:themeColor="background1"/>
                    </w:rPr>
                  </w:pPr>
                  <w:r>
                    <w:rPr>
                      <w:rFonts w:ascii="楷体_GB2312" w:eastAsia="楷体_GB2312" w:hint="eastAsia"/>
                      <w:b/>
                      <w:color w:val="FFFFFF" w:themeColor="background1"/>
                    </w:rPr>
                    <w:t>拨贷比</w:t>
                  </w:r>
                </w:p>
              </w:tc>
              <w:tc>
                <w:tcPr>
                  <w:tcW w:w="992"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需补提部分</w:t>
                  </w:r>
                </w:p>
              </w:tc>
              <w:tc>
                <w:tcPr>
                  <w:tcW w:w="1271"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对年度净利润的影响</w:t>
                  </w:r>
                </w:p>
              </w:tc>
            </w:tr>
            <w:tr w:rsidR="00E51F07" w:rsidRPr="00A73F5B" w:rsidTr="00E51F07">
              <w:trPr>
                <w:trHeight w:val="20"/>
              </w:trPr>
              <w:tc>
                <w:tcPr>
                  <w:tcW w:w="1442" w:type="dxa"/>
                  <w:tcBorders>
                    <w:top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工商银行</w:t>
                  </w:r>
                </w:p>
              </w:tc>
              <w:tc>
                <w:tcPr>
                  <w:tcW w:w="143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329.15 </w:t>
                  </w:r>
                </w:p>
              </w:tc>
              <w:tc>
                <w:tcPr>
                  <w:tcW w:w="170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7.58 </w:t>
                  </w:r>
                </w:p>
              </w:tc>
              <w:tc>
                <w:tcPr>
                  <w:tcW w:w="152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134"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0.00%</w:t>
                  </w:r>
                </w:p>
              </w:tc>
              <w:tc>
                <w:tcPr>
                  <w:tcW w:w="851" w:type="dxa"/>
                  <w:tcBorders>
                    <w:top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2.28%</w:t>
                  </w:r>
                </w:p>
              </w:tc>
              <w:tc>
                <w:tcPr>
                  <w:tcW w:w="992"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7.58 </w:t>
                  </w:r>
                </w:p>
              </w:tc>
              <w:tc>
                <w:tcPr>
                  <w:tcW w:w="1271" w:type="dxa"/>
                  <w:tcBorders>
                    <w:top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-0.25%</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建设银行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111.31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2.57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17.06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15.33%</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2.42%</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农业银行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110.08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3.10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48.90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44.42%</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3.99%</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中国银行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19.95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0.47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24.59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123.23%</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2.10%</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bottom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交通银行</w:t>
                  </w:r>
                </w:p>
              </w:tc>
              <w:tc>
                <w:tcPr>
                  <w:tcW w:w="143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557.43 </w:t>
                  </w:r>
                </w:p>
              </w:tc>
              <w:tc>
                <w:tcPr>
                  <w:tcW w:w="170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13.92 </w:t>
                  </w:r>
                </w:p>
              </w:tc>
              <w:tc>
                <w:tcPr>
                  <w:tcW w:w="152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26.55 </w:t>
                  </w:r>
                </w:p>
              </w:tc>
              <w:tc>
                <w:tcPr>
                  <w:tcW w:w="1134"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4.76%</w:t>
                  </w:r>
                </w:p>
              </w:tc>
              <w:tc>
                <w:tcPr>
                  <w:tcW w:w="851" w:type="dxa"/>
                  <w:tcBorders>
                    <w:bottom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2.28%</w:t>
                  </w:r>
                </w:p>
              </w:tc>
              <w:tc>
                <w:tcPr>
                  <w:tcW w:w="992"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Borders>
                    <w:bottom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top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招商银行</w:t>
                  </w:r>
                </w:p>
              </w:tc>
              <w:tc>
                <w:tcPr>
                  <w:tcW w:w="143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2838.41</w:t>
                  </w:r>
                  <w:r>
                    <w:rPr>
                      <w:rFonts w:ascii="Times New Roman" w:hAnsi="Times New Roman" w:hint="eastAsia"/>
                    </w:rPr>
                    <w:t>*</w:t>
                  </w:r>
                  <w:r w:rsidRPr="00A73F5B">
                    <w:rPr>
                      <w:rFonts w:ascii="Times New Roman" w:hAnsi="Times New Roman"/>
                    </w:rPr>
                    <w:t xml:space="preserve"> </w:t>
                  </w:r>
                </w:p>
              </w:tc>
              <w:tc>
                <w:tcPr>
                  <w:tcW w:w="170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71.42 </w:t>
                  </w:r>
                </w:p>
              </w:tc>
              <w:tc>
                <w:tcPr>
                  <w:tcW w:w="152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43.06 </w:t>
                  </w:r>
                </w:p>
              </w:tc>
              <w:tc>
                <w:tcPr>
                  <w:tcW w:w="1134"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1.52%</w:t>
                  </w:r>
                </w:p>
              </w:tc>
              <w:tc>
                <w:tcPr>
                  <w:tcW w:w="851" w:type="dxa"/>
                  <w:tcBorders>
                    <w:top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3.84%</w:t>
                  </w:r>
                </w:p>
              </w:tc>
              <w:tc>
                <w:tcPr>
                  <w:tcW w:w="992"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28.36 </w:t>
                  </w:r>
                </w:p>
              </w:tc>
              <w:tc>
                <w:tcPr>
                  <w:tcW w:w="1271" w:type="dxa"/>
                  <w:tcBorders>
                    <w:top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-3.61%</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中信银行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3028.13</w:t>
                  </w:r>
                  <w:r>
                    <w:rPr>
                      <w:rFonts w:ascii="Times New Roman" w:hAnsi="Times New Roman" w:hint="eastAsia"/>
                    </w:rPr>
                    <w:t>*</w:t>
                  </w:r>
                  <w:r w:rsidRPr="00A73F5B">
                    <w:rPr>
                      <w:rFonts w:ascii="Times New Roman" w:hAnsi="Times New Roman"/>
                    </w:rPr>
                    <w:t xml:space="preserve">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69.18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25.36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0.84%</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2.53%</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43.82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-9.12%</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浦发银行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4302.81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115.91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65.20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1.52%</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3.23%</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50.71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-9.00%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民生银行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5937.33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147.30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20.32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0.34%</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2.58%</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126.98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-22.60%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兴业银行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9212.05</w:t>
                  </w:r>
                  <w:r>
                    <w:rPr>
                      <w:rFonts w:ascii="Times New Roman" w:hAnsi="Times New Roman" w:hint="eastAsia"/>
                    </w:rPr>
                    <w:t>*</w:t>
                  </w:r>
                  <w:r w:rsidRPr="00A73F5B">
                    <w:rPr>
                      <w:rFonts w:ascii="Times New Roman" w:hAnsi="Times New Roman"/>
                    </w:rPr>
                    <w:t xml:space="preserve">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222.23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159.46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1.73%</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3.57%</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62.77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-9.93%</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光大银行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3200.33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77.08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20.92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0.65%</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2.41%</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56.16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-16.58%</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华夏银行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1131.86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27.93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14.73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1.30%</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2.65%</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13.20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-6.71%</w:t>
                  </w:r>
                </w:p>
              </w:tc>
            </w:tr>
            <w:tr w:rsidR="00E51F07" w:rsidRPr="00A73F5B" w:rsidTr="00E51F07">
              <w:trPr>
                <w:trHeight w:val="20"/>
              </w:trPr>
              <w:tc>
                <w:tcPr>
                  <w:tcW w:w="1442" w:type="dxa"/>
                  <w:tcBorders>
                    <w:bottom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平安银行</w:t>
                  </w:r>
                </w:p>
              </w:tc>
              <w:tc>
                <w:tcPr>
                  <w:tcW w:w="143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2378.92 </w:t>
                  </w:r>
                </w:p>
              </w:tc>
              <w:tc>
                <w:tcPr>
                  <w:tcW w:w="170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61.03 </w:t>
                  </w:r>
                </w:p>
              </w:tc>
              <w:tc>
                <w:tcPr>
                  <w:tcW w:w="152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23.55 </w:t>
                  </w:r>
                </w:p>
              </w:tc>
              <w:tc>
                <w:tcPr>
                  <w:tcW w:w="1134"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0.99%</w:t>
                  </w:r>
                </w:p>
              </w:tc>
              <w:tc>
                <w:tcPr>
                  <w:tcW w:w="851" w:type="dxa"/>
                  <w:tcBorders>
                    <w:bottom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2.84%</w:t>
                  </w:r>
                </w:p>
              </w:tc>
              <w:tc>
                <w:tcPr>
                  <w:tcW w:w="992"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37.48 </w:t>
                  </w:r>
                </w:p>
              </w:tc>
              <w:tc>
                <w:tcPr>
                  <w:tcW w:w="1271" w:type="dxa"/>
                  <w:tcBorders>
                    <w:bottom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-14.93%</w:t>
                  </w:r>
                </w:p>
              </w:tc>
            </w:tr>
            <w:tr w:rsidR="00E51F07" w:rsidRPr="00A73F5B" w:rsidTr="00E51F07">
              <w:trPr>
                <w:trHeight w:val="20"/>
              </w:trPr>
              <w:tc>
                <w:tcPr>
                  <w:tcW w:w="1442" w:type="dxa"/>
                  <w:tcBorders>
                    <w:top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北京银行</w:t>
                  </w:r>
                </w:p>
              </w:tc>
              <w:tc>
                <w:tcPr>
                  <w:tcW w:w="143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1328.21 </w:t>
                  </w:r>
                </w:p>
              </w:tc>
              <w:tc>
                <w:tcPr>
                  <w:tcW w:w="170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26.67 </w:t>
                  </w:r>
                </w:p>
              </w:tc>
              <w:tc>
                <w:tcPr>
                  <w:tcW w:w="152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97.36 </w:t>
                  </w:r>
                </w:p>
              </w:tc>
              <w:tc>
                <w:tcPr>
                  <w:tcW w:w="1134"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7.33%</w:t>
                  </w:r>
                </w:p>
              </w:tc>
              <w:tc>
                <w:tcPr>
                  <w:tcW w:w="851" w:type="dxa"/>
                  <w:tcBorders>
                    <w:top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3.03%</w:t>
                  </w:r>
                </w:p>
              </w:tc>
              <w:tc>
                <w:tcPr>
                  <w:tcW w:w="992"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Borders>
                    <w:top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南京银行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951.85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17.94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24.13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2.54%</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3.89%</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宁波银行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409.67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7.80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2.40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0.59%</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3.62%</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5.40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-5.67%</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上海银行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579.48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12.61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67.71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11.68%</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3.01%</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贵阳银行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305.40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7.13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14.41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4.72%</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3.67%</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lastRenderedPageBreak/>
                    <w:t>杭州银行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284.75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7.32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2.35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0.83%</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2.98%</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4.97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-9.82%</w:t>
                  </w:r>
                </w:p>
              </w:tc>
            </w:tr>
            <w:tr w:rsidR="00E51F07" w:rsidRPr="00A73F5B" w:rsidTr="00E51F07">
              <w:trPr>
                <w:trHeight w:val="20"/>
              </w:trPr>
              <w:tc>
                <w:tcPr>
                  <w:tcW w:w="1442" w:type="dxa"/>
                  <w:tcBorders>
                    <w:bottom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江苏银行</w:t>
                  </w:r>
                </w:p>
              </w:tc>
              <w:tc>
                <w:tcPr>
                  <w:tcW w:w="143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70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52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24.38 </w:t>
                  </w:r>
                </w:p>
              </w:tc>
              <w:tc>
                <w:tcPr>
                  <w:tcW w:w="1134"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w:t>
                  </w:r>
                </w:p>
              </w:tc>
              <w:tc>
                <w:tcPr>
                  <w:tcW w:w="851" w:type="dxa"/>
                  <w:tcBorders>
                    <w:bottom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2.60%</w:t>
                  </w:r>
                </w:p>
              </w:tc>
              <w:tc>
                <w:tcPr>
                  <w:tcW w:w="992"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Borders>
                    <w:bottom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top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无锡银行</w:t>
                  </w:r>
                </w:p>
              </w:tc>
              <w:tc>
                <w:tcPr>
                  <w:tcW w:w="143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31.59 </w:t>
                  </w:r>
                </w:p>
              </w:tc>
              <w:tc>
                <w:tcPr>
                  <w:tcW w:w="170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0.62 </w:t>
                  </w:r>
                </w:p>
              </w:tc>
              <w:tc>
                <w:tcPr>
                  <w:tcW w:w="152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1.21 </w:t>
                  </w:r>
                </w:p>
              </w:tc>
              <w:tc>
                <w:tcPr>
                  <w:tcW w:w="1134"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3.81%</w:t>
                  </w:r>
                </w:p>
              </w:tc>
              <w:tc>
                <w:tcPr>
                  <w:tcW w:w="851" w:type="dxa"/>
                  <w:tcBorders>
                    <w:top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2.79%</w:t>
                  </w:r>
                </w:p>
              </w:tc>
              <w:tc>
                <w:tcPr>
                  <w:tcW w:w="992"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Borders>
                    <w:top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常熟银行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57.10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1.10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2.46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4.31%</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3.44%</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江阴银行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4.32%</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吴江银行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3.14%</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张家港行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5.71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7.58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0.00%</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3.66%</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7.58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bl>
          <w:p w:rsidR="00491A2B" w:rsidRPr="00A73F5B" w:rsidRDefault="00491A2B" w:rsidP="00F0515A">
            <w:pPr>
              <w:snapToGrid w:val="0"/>
              <w:jc w:val="center"/>
              <w:rPr>
                <w:rFonts w:ascii="Times New Roman" w:eastAsia="楷体_GB2312" w:hAnsi="Times New Roman"/>
              </w:rPr>
            </w:pPr>
          </w:p>
        </w:tc>
      </w:tr>
      <w:tr w:rsidR="00491A2B" w:rsidRPr="00C13463" w:rsidTr="00F0515A">
        <w:tc>
          <w:tcPr>
            <w:tcW w:w="10632" w:type="dxa"/>
            <w:tcBorders>
              <w:top w:val="single" w:sz="4" w:space="0" w:color="auto"/>
              <w:bottom w:val="nil"/>
            </w:tcBorders>
          </w:tcPr>
          <w:p w:rsidR="00491A2B" w:rsidRDefault="00491A2B" w:rsidP="00F0515A">
            <w:pPr>
              <w:snapToGrid w:val="0"/>
              <w:jc w:val="left"/>
              <w:rPr>
                <w:rFonts w:ascii="Times New Roman" w:eastAsia="楷体_GB2312" w:hAnsi="Times New Roman"/>
                <w:bCs/>
                <w:kern w:val="0"/>
                <w:szCs w:val="21"/>
              </w:rPr>
            </w:pPr>
            <w:r w:rsidRPr="00C13463">
              <w:rPr>
                <w:rFonts w:ascii="Times New Roman" w:eastAsia="楷体_GB2312" w:hAnsi="Times New Roman" w:cs="楷体_GB2312" w:hint="eastAsia"/>
                <w:bCs/>
                <w:kern w:val="0"/>
                <w:szCs w:val="21"/>
              </w:rPr>
              <w:lastRenderedPageBreak/>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假设：</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1</w:t>
            </w:r>
            <w:r w:rsidRPr="00DB07BC">
              <w:rPr>
                <w:rFonts w:ascii="Times New Roman" w:eastAsia="楷体_GB2312" w:hAnsi="Times New Roman" w:hint="eastAsia"/>
                <w:bCs/>
                <w:kern w:val="0"/>
                <w:szCs w:val="21"/>
              </w:rPr>
              <w:t>）类信贷非标资产中，</w:t>
            </w:r>
            <w:r w:rsidRPr="00DB07BC">
              <w:rPr>
                <w:rFonts w:ascii="Times New Roman" w:eastAsia="楷体_GB2312" w:hAnsi="Times New Roman" w:hint="eastAsia"/>
                <w:bCs/>
                <w:kern w:val="0"/>
                <w:szCs w:val="21"/>
              </w:rPr>
              <w:t>5</w:t>
            </w:r>
            <w:r w:rsidRPr="00DB07BC">
              <w:rPr>
                <w:rFonts w:ascii="Times New Roman" w:eastAsia="楷体_GB2312" w:hAnsi="Times New Roman" w:hint="eastAsia"/>
                <w:bCs/>
                <w:kern w:val="0"/>
                <w:szCs w:val="21"/>
              </w:rPr>
              <w:t>级分类占比与中报贷款的占比一致；</w:t>
            </w:r>
            <w:r w:rsidRPr="00DB07BC">
              <w:rPr>
                <w:rFonts w:ascii="Times New Roman" w:eastAsia="楷体_GB2312" w:hAnsi="Times New Roman" w:hint="eastAsia"/>
                <w:bCs/>
                <w:kern w:val="0"/>
                <w:szCs w:val="21"/>
              </w:rPr>
              <w:t xml:space="preserve"> </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2</w:t>
            </w:r>
            <w:r w:rsidRPr="00DB07BC">
              <w:rPr>
                <w:rFonts w:ascii="Times New Roman" w:eastAsia="楷体_GB2312" w:hAnsi="Times New Roman" w:hint="eastAsia"/>
                <w:bCs/>
                <w:kern w:val="0"/>
                <w:szCs w:val="21"/>
              </w:rPr>
              <w:t>）剔除应收款项类投资中的债券、理财等标准化资产之后，假设“类信贷资产”的占比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3</w:t>
            </w:r>
            <w:r w:rsidRPr="00DB07BC">
              <w:rPr>
                <w:rFonts w:ascii="Times New Roman" w:eastAsia="楷体_GB2312" w:hAnsi="Times New Roman" w:hint="eastAsia"/>
                <w:bCs/>
                <w:kern w:val="0"/>
                <w:szCs w:val="21"/>
              </w:rPr>
              <w:t>）不同类型银行的“占比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”如下：国有大行</w:t>
            </w:r>
            <w:r w:rsidRPr="00DB07BC">
              <w:rPr>
                <w:rFonts w:ascii="Times New Roman" w:eastAsia="楷体_GB2312" w:hAnsi="Times New Roman" w:hint="eastAsia"/>
                <w:bCs/>
                <w:kern w:val="0"/>
                <w:szCs w:val="21"/>
              </w:rPr>
              <w:t>20%</w:t>
            </w:r>
            <w:r w:rsidRPr="00DB07BC">
              <w:rPr>
                <w:rFonts w:ascii="Times New Roman" w:eastAsia="楷体_GB2312" w:hAnsi="Times New Roman" w:hint="eastAsia"/>
                <w:bCs/>
                <w:kern w:val="0"/>
                <w:szCs w:val="21"/>
              </w:rPr>
              <w:t>；股份行</w:t>
            </w:r>
            <w:r w:rsidRPr="00DB07BC">
              <w:rPr>
                <w:rFonts w:ascii="Times New Roman" w:eastAsia="楷体_GB2312" w:hAnsi="Times New Roman" w:hint="eastAsia"/>
                <w:bCs/>
                <w:kern w:val="0"/>
                <w:szCs w:val="21"/>
              </w:rPr>
              <w:t>65%</w:t>
            </w:r>
            <w:r w:rsidRPr="00DB07BC">
              <w:rPr>
                <w:rFonts w:ascii="Times New Roman" w:eastAsia="楷体_GB2312" w:hAnsi="Times New Roman" w:hint="eastAsia"/>
                <w:bCs/>
                <w:kern w:val="0"/>
                <w:szCs w:val="21"/>
              </w:rPr>
              <w:t>；城商行</w:t>
            </w:r>
            <w:r w:rsidRPr="00DB07BC">
              <w:rPr>
                <w:rFonts w:ascii="Times New Roman" w:eastAsia="楷体_GB2312" w:hAnsi="Times New Roman" w:hint="eastAsia"/>
                <w:bCs/>
                <w:kern w:val="0"/>
                <w:szCs w:val="21"/>
              </w:rPr>
              <w:t>40%</w:t>
            </w:r>
            <w:r w:rsidRPr="00DB07BC">
              <w:rPr>
                <w:rFonts w:ascii="Times New Roman" w:eastAsia="楷体_GB2312" w:hAnsi="Times New Roman" w:hint="eastAsia"/>
                <w:bCs/>
                <w:kern w:val="0"/>
                <w:szCs w:val="21"/>
              </w:rPr>
              <w:t>；农商行</w:t>
            </w:r>
            <w:r w:rsidRPr="00DB07BC">
              <w:rPr>
                <w:rFonts w:ascii="Times New Roman" w:eastAsia="楷体_GB2312" w:hAnsi="Times New Roman" w:hint="eastAsia"/>
                <w:bCs/>
                <w:kern w:val="0"/>
                <w:szCs w:val="21"/>
              </w:rPr>
              <w:t>40%</w:t>
            </w:r>
            <w:r w:rsidRPr="00DB07BC">
              <w:rPr>
                <w:rFonts w:ascii="Times New Roman" w:eastAsia="楷体_GB2312" w:hAnsi="Times New Roman" w:hint="eastAsia"/>
                <w:bCs/>
                <w:kern w:val="0"/>
                <w:szCs w:val="21"/>
              </w:rPr>
              <w:t>。</w:t>
            </w:r>
          </w:p>
          <w:p w:rsidR="00491A2B" w:rsidRDefault="00491A2B" w:rsidP="00F0515A">
            <w:pPr>
              <w:snapToGrid w:val="0"/>
              <w:jc w:val="left"/>
              <w:rPr>
                <w:rFonts w:ascii="Times New Roman" w:eastAsia="楷体_GB2312" w:hAnsi="Times New Roman" w:cs="楷体_GB2312"/>
                <w:bCs/>
                <w:kern w:val="0"/>
                <w:szCs w:val="21"/>
              </w:rPr>
            </w:pPr>
            <w:r w:rsidRPr="00491A2B">
              <w:rPr>
                <w:rFonts w:ascii="Times New Roman" w:eastAsia="楷体_GB2312" w:hAnsi="Times New Roman" w:cs="楷体_GB2312" w:hint="eastAsia"/>
                <w:bCs/>
                <w:kern w:val="0"/>
                <w:szCs w:val="21"/>
              </w:rPr>
              <w:t>注</w:t>
            </w:r>
            <w:r w:rsidRPr="00491A2B">
              <w:rPr>
                <w:rFonts w:ascii="Times New Roman" w:eastAsia="楷体_GB2312" w:hAnsi="Times New Roman" w:cs="楷体_GB2312" w:hint="eastAsia"/>
                <w:bCs/>
                <w:kern w:val="0"/>
                <w:szCs w:val="21"/>
              </w:rPr>
              <w:t>1</w:t>
            </w:r>
            <w:r w:rsidRPr="00491A2B">
              <w:rPr>
                <w:rFonts w:ascii="Times New Roman" w:eastAsia="楷体_GB2312" w:hAnsi="Times New Roman" w:cs="楷体_GB2312" w:hint="eastAsia"/>
                <w:bCs/>
                <w:kern w:val="0"/>
                <w:szCs w:val="21"/>
              </w:rPr>
              <w:t>：此测算结果基于多个假设，实际情况与此有出入，仅供参考</w:t>
            </w:r>
            <w:r w:rsidR="0077331F">
              <w:rPr>
                <w:rFonts w:ascii="Times New Roman" w:eastAsia="楷体_GB2312" w:hAnsi="Times New Roman" w:cs="楷体_GB2312" w:hint="eastAsia"/>
                <w:bCs/>
                <w:kern w:val="0"/>
                <w:szCs w:val="21"/>
              </w:rPr>
              <w:t>；</w:t>
            </w:r>
          </w:p>
          <w:p w:rsidR="0077331F" w:rsidRPr="00491A2B" w:rsidRDefault="0077331F" w:rsidP="00F0515A">
            <w:pPr>
              <w:snapToGrid w:val="0"/>
              <w:jc w:val="left"/>
              <w:rPr>
                <w:rFonts w:ascii="Times New Roman" w:eastAsia="楷体_GB2312" w:hAnsi="Times New Roman" w:cs="楷体_GB2312"/>
                <w:bCs/>
                <w:kern w:val="0"/>
                <w:szCs w:val="21"/>
              </w:rPr>
            </w:pPr>
            <w:r>
              <w:rPr>
                <w:rFonts w:ascii="Times New Roman" w:eastAsia="楷体_GB2312" w:hAnsi="Times New Roman" w:cs="楷体_GB2312" w:hint="eastAsia"/>
                <w:bCs/>
                <w:kern w:val="0"/>
                <w:szCs w:val="21"/>
              </w:rPr>
              <w:t>注</w:t>
            </w:r>
            <w:r>
              <w:rPr>
                <w:rFonts w:ascii="Times New Roman" w:eastAsia="楷体_GB2312" w:hAnsi="Times New Roman" w:cs="楷体_GB2312" w:hint="eastAsia"/>
                <w:bCs/>
                <w:kern w:val="0"/>
                <w:szCs w:val="21"/>
              </w:rPr>
              <w:t>2</w:t>
            </w:r>
            <w:r>
              <w:rPr>
                <w:rFonts w:ascii="Times New Roman" w:eastAsia="楷体_GB2312" w:hAnsi="Times New Roman" w:cs="楷体_GB2312" w:hint="eastAsia"/>
                <w:bCs/>
                <w:kern w:val="0"/>
                <w:szCs w:val="21"/>
              </w:rPr>
              <w:t>：</w:t>
            </w:r>
            <w:r>
              <w:rPr>
                <w:rFonts w:ascii="Times New Roman" w:eastAsia="楷体_GB2312" w:hAnsi="Times New Roman" w:cs="楷体_GB2312" w:hint="eastAsia"/>
                <w:bCs/>
                <w:kern w:val="0"/>
                <w:szCs w:val="21"/>
              </w:rPr>
              <w:t>*</w:t>
            </w:r>
            <w:r>
              <w:rPr>
                <w:rFonts w:ascii="Times New Roman" w:eastAsia="楷体_GB2312" w:hAnsi="Times New Roman" w:cs="楷体_GB2312" w:hint="eastAsia"/>
                <w:bCs/>
                <w:kern w:val="0"/>
                <w:szCs w:val="21"/>
              </w:rPr>
              <w:t>招行、中信、兴业银行中报已披露类信贷投资资产的具体余额，因此在此表中直接使用；</w:t>
            </w:r>
          </w:p>
          <w:p w:rsidR="00491A2B" w:rsidRPr="00491A2B" w:rsidRDefault="00491A2B" w:rsidP="00F0515A">
            <w:pPr>
              <w:snapToGrid w:val="0"/>
              <w:jc w:val="left"/>
              <w:rPr>
                <w:rFonts w:ascii="Times New Roman" w:eastAsia="楷体_GB2312" w:hAnsi="Times New Roman" w:cs="楷体_GB2312"/>
                <w:bCs/>
                <w:kern w:val="0"/>
                <w:szCs w:val="21"/>
              </w:rPr>
            </w:pPr>
            <w:r w:rsidRPr="00491A2B">
              <w:rPr>
                <w:rFonts w:ascii="Times New Roman" w:eastAsia="楷体_GB2312" w:hAnsi="Times New Roman" w:cs="楷体_GB2312" w:hint="eastAsia"/>
                <w:bCs/>
                <w:kern w:val="0"/>
                <w:szCs w:val="21"/>
              </w:rPr>
              <w:t>注</w:t>
            </w:r>
            <w:r w:rsidR="0077331F">
              <w:rPr>
                <w:rFonts w:ascii="Times New Roman" w:eastAsia="楷体_GB2312" w:hAnsi="Times New Roman" w:cs="楷体_GB2312" w:hint="eastAsia"/>
                <w:bCs/>
                <w:kern w:val="0"/>
                <w:szCs w:val="21"/>
              </w:rPr>
              <w:t>3</w:t>
            </w:r>
            <w:r w:rsidRPr="00491A2B">
              <w:rPr>
                <w:rFonts w:ascii="Times New Roman" w:eastAsia="楷体_GB2312" w:hAnsi="Times New Roman" w:cs="楷体_GB2312" w:hint="eastAsia"/>
                <w:bCs/>
                <w:kern w:val="0"/>
                <w:szCs w:val="21"/>
              </w:rPr>
              <w:t>：各银行实际情况与其风控机制、业务开展原则相关，部分银行非常规范，实际受影响程度较弱；</w:t>
            </w:r>
          </w:p>
          <w:p w:rsidR="00491A2B" w:rsidRPr="00491A2B" w:rsidRDefault="00491A2B" w:rsidP="00F0515A">
            <w:pPr>
              <w:snapToGrid w:val="0"/>
              <w:jc w:val="left"/>
              <w:rPr>
                <w:rFonts w:ascii="Times New Roman" w:eastAsia="楷体_GB2312" w:hAnsi="Times New Roman" w:cs="楷体_GB2312"/>
                <w:bCs/>
                <w:kern w:val="0"/>
                <w:szCs w:val="21"/>
              </w:rPr>
            </w:pPr>
            <w:r w:rsidRPr="00491A2B">
              <w:rPr>
                <w:rFonts w:ascii="Times New Roman" w:eastAsia="楷体_GB2312" w:hAnsi="Times New Roman" w:cs="楷体_GB2312" w:hint="eastAsia"/>
                <w:bCs/>
                <w:kern w:val="0"/>
                <w:szCs w:val="21"/>
              </w:rPr>
              <w:t>注</w:t>
            </w:r>
            <w:r w:rsidR="0077331F">
              <w:rPr>
                <w:rFonts w:ascii="Times New Roman" w:eastAsia="楷体_GB2312" w:hAnsi="Times New Roman" w:cs="楷体_GB2312" w:hint="eastAsia"/>
                <w:bCs/>
                <w:kern w:val="0"/>
                <w:szCs w:val="21"/>
              </w:rPr>
              <w:t>4</w:t>
            </w:r>
            <w:r w:rsidRPr="00491A2B">
              <w:rPr>
                <w:rFonts w:ascii="Times New Roman" w:eastAsia="楷体_GB2312" w:hAnsi="Times New Roman" w:cs="楷体_GB2312" w:hint="eastAsia"/>
                <w:bCs/>
                <w:kern w:val="0"/>
                <w:szCs w:val="21"/>
              </w:rPr>
              <w:t>：兴业银行在业务开展伊始，即严格按照</w:t>
            </w:r>
            <w:r w:rsidRPr="00491A2B">
              <w:rPr>
                <w:rFonts w:ascii="Times New Roman" w:eastAsia="楷体_GB2312" w:hAnsi="Times New Roman" w:cs="楷体_GB2312" w:hint="eastAsia"/>
                <w:bCs/>
                <w:kern w:val="0"/>
                <w:szCs w:val="21"/>
              </w:rPr>
              <w:t>5</w:t>
            </w:r>
            <w:r w:rsidRPr="00491A2B">
              <w:rPr>
                <w:rFonts w:ascii="Times New Roman" w:eastAsia="楷体_GB2312" w:hAnsi="Times New Roman" w:cs="楷体_GB2312" w:hint="eastAsia"/>
                <w:bCs/>
                <w:kern w:val="0"/>
                <w:szCs w:val="21"/>
              </w:rPr>
              <w:t>级分类计提减值准备，实际无调整压力；此结果为统一假设下估算数据，仅供参考</w:t>
            </w:r>
          </w:p>
        </w:tc>
      </w:tr>
    </w:tbl>
    <w:bookmarkEnd w:id="18"/>
    <w:p w:rsidR="00491A2B" w:rsidRPr="00491A2B" w:rsidRDefault="0077331F" w:rsidP="00491A2B">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sidRPr="008A6330">
        <w:rPr>
          <w:rFonts w:ascii="Times New Roman" w:eastAsia="楷体_GB2312" w:hAnsi="Times New Roman" w:hint="eastAsia"/>
          <w:b/>
          <w:noProof/>
        </w:rPr>
        <w:t>从敏感性分析角度看，多数股份行大概率需要新增计提，冲减净利润。</w:t>
      </w:r>
      <w:r>
        <w:rPr>
          <w:rFonts w:ascii="Times New Roman" w:eastAsia="楷体_GB2312" w:hAnsi="Times New Roman" w:hint="eastAsia"/>
          <w:noProof/>
        </w:rPr>
        <w:t>除</w:t>
      </w:r>
      <w:r w:rsidR="008A6330">
        <w:rPr>
          <w:rFonts w:ascii="Times New Roman" w:eastAsia="楷体_GB2312" w:hAnsi="Times New Roman" w:hint="eastAsia"/>
          <w:noProof/>
        </w:rPr>
        <w:t>了</w:t>
      </w:r>
      <w:r w:rsidR="008A6330" w:rsidRPr="008A6330">
        <w:rPr>
          <w:rFonts w:ascii="Times New Roman" w:eastAsia="楷体_GB2312" w:hAnsi="Times New Roman" w:hint="eastAsia"/>
          <w:bCs/>
          <w:noProof/>
        </w:rPr>
        <w:t>招行、中信、兴业银行中报已披露类信贷投资资产的具体余额</w:t>
      </w:r>
      <w:r w:rsidR="008A6330">
        <w:rPr>
          <w:rFonts w:ascii="Times New Roman" w:eastAsia="楷体_GB2312" w:hAnsi="Times New Roman" w:hint="eastAsia"/>
          <w:bCs/>
          <w:noProof/>
        </w:rPr>
        <w:t>外，其他银行在测算中都假定类信贷资产占整个应收款项</w:t>
      </w:r>
      <w:r w:rsidR="008A6330" w:rsidRPr="00953A7D">
        <w:rPr>
          <w:rFonts w:ascii="Times New Roman" w:eastAsia="楷体_GB2312" w:hAnsi="Times New Roman" w:hint="eastAsia"/>
          <w:bCs/>
          <w:noProof/>
        </w:rPr>
        <w:t>类投资的</w:t>
      </w:r>
      <w:r w:rsidR="008A6330" w:rsidRPr="00953A7D">
        <w:rPr>
          <w:rFonts w:ascii="Times New Roman" w:eastAsia="楷体_GB2312" w:hAnsi="Times New Roman" w:hint="eastAsia"/>
          <w:bCs/>
          <w:noProof/>
        </w:rPr>
        <w:t>65%</w:t>
      </w:r>
      <w:r w:rsidR="00953A7D" w:rsidRPr="00953A7D">
        <w:rPr>
          <w:rFonts w:ascii="Times New Roman" w:eastAsia="楷体_GB2312" w:hAnsi="Times New Roman" w:hint="eastAsia"/>
          <w:bCs/>
          <w:noProof/>
        </w:rPr>
        <w:t>，可能存在误差。但是就敏感性分析结果看，只要银行类信贷资产占信托、资管等及其他类非标资产</w:t>
      </w:r>
      <w:r w:rsidR="00953A7D">
        <w:rPr>
          <w:rFonts w:ascii="Times New Roman" w:eastAsia="楷体_GB2312" w:hAnsi="Times New Roman" w:hint="eastAsia"/>
          <w:bCs/>
          <w:noProof/>
        </w:rPr>
        <w:t>（除去债权类、</w:t>
      </w:r>
      <w:r w:rsidR="00953A7D" w:rsidRPr="00953A7D">
        <w:rPr>
          <w:rFonts w:ascii="Times New Roman" w:eastAsia="楷体_GB2312" w:hAnsi="Times New Roman" w:hint="eastAsia"/>
          <w:bCs/>
          <w:noProof/>
        </w:rPr>
        <w:t>货币基金以及同业理财部分</w:t>
      </w:r>
      <w:r w:rsidR="00953A7D">
        <w:rPr>
          <w:rFonts w:ascii="Times New Roman" w:eastAsia="楷体_GB2312" w:hAnsi="Times New Roman" w:hint="eastAsia"/>
          <w:bCs/>
          <w:noProof/>
        </w:rPr>
        <w:t>的应收款项类投资）</w:t>
      </w:r>
      <w:r w:rsidR="00953A7D" w:rsidRPr="00953A7D">
        <w:rPr>
          <w:rFonts w:ascii="Times New Roman" w:eastAsia="楷体_GB2312" w:hAnsi="Times New Roman" w:hint="eastAsia"/>
          <w:bCs/>
          <w:noProof/>
        </w:rPr>
        <w:t>所占比例</w:t>
      </w:r>
      <w:r w:rsidR="00953A7D">
        <w:rPr>
          <w:rFonts w:ascii="Times New Roman" w:eastAsia="楷体_GB2312" w:hAnsi="Times New Roman" w:hint="eastAsia"/>
          <w:bCs/>
          <w:noProof/>
        </w:rPr>
        <w:t>超过</w:t>
      </w:r>
      <w:r w:rsidR="00953A7D">
        <w:rPr>
          <w:rFonts w:ascii="Times New Roman" w:eastAsia="楷体_GB2312" w:hAnsi="Times New Roman" w:hint="eastAsia"/>
          <w:bCs/>
          <w:noProof/>
        </w:rPr>
        <w:t>40%</w:t>
      </w:r>
      <w:r w:rsidR="00953A7D">
        <w:rPr>
          <w:rFonts w:ascii="Times New Roman" w:eastAsia="楷体_GB2312" w:hAnsi="Times New Roman" w:hint="eastAsia"/>
          <w:bCs/>
          <w:noProof/>
        </w:rPr>
        <w:t>，银行就需要增加计提减值准备</w:t>
      </w:r>
      <w:r w:rsidR="00E51F07">
        <w:rPr>
          <w:rFonts w:ascii="Times New Roman" w:eastAsia="楷体_GB2312" w:hAnsi="Times New Roman" w:hint="eastAsia"/>
          <w:bCs/>
          <w:noProof/>
        </w:rPr>
        <w:t>，</w:t>
      </w:r>
      <w:r w:rsidR="00953A7D">
        <w:rPr>
          <w:rFonts w:ascii="Times New Roman" w:eastAsia="楷体_GB2312" w:hAnsi="Times New Roman" w:hint="eastAsia"/>
          <w:bCs/>
          <w:noProof/>
        </w:rPr>
        <w:t>冲减净利润。其中，民生银行和光大银行需要新增计提减值准备的可能性可能性较高，比例分别只要达到</w:t>
      </w:r>
      <w:r w:rsidR="00953A7D">
        <w:rPr>
          <w:rFonts w:ascii="Times New Roman" w:eastAsia="楷体_GB2312" w:hAnsi="Times New Roman" w:hint="eastAsia"/>
          <w:bCs/>
          <w:noProof/>
        </w:rPr>
        <w:t>10%</w:t>
      </w:r>
      <w:r w:rsidR="00953A7D">
        <w:rPr>
          <w:rFonts w:ascii="Times New Roman" w:eastAsia="楷体_GB2312" w:hAnsi="Times New Roman" w:hint="eastAsia"/>
          <w:bCs/>
          <w:noProof/>
        </w:rPr>
        <w:t>与</w:t>
      </w:r>
      <w:r w:rsidR="00953A7D">
        <w:rPr>
          <w:rFonts w:ascii="Times New Roman" w:eastAsia="楷体_GB2312" w:hAnsi="Times New Roman" w:hint="eastAsia"/>
          <w:bCs/>
          <w:noProof/>
        </w:rPr>
        <w:t>20%</w:t>
      </w:r>
      <w:r w:rsidR="00953A7D">
        <w:rPr>
          <w:rFonts w:ascii="Times New Roman" w:eastAsia="楷体_GB2312" w:hAnsi="Times New Roman" w:hint="eastAsia"/>
          <w:bCs/>
          <w:noProof/>
        </w:rPr>
        <w:t>即会冲减净利润。</w:t>
      </w:r>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楷体_GB2312" w:eastAsia="楷体_GB2312"/>
          <w:noProof/>
        </w:rPr>
      </w:pPr>
    </w:p>
    <w:tbl>
      <w:tblPr>
        <w:tblW w:w="10632"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10632"/>
      </w:tblGrid>
      <w:tr w:rsidR="008B6C22" w:rsidRPr="0075019D" w:rsidTr="0075019D">
        <w:tc>
          <w:tcPr>
            <w:tcW w:w="10632" w:type="dxa"/>
            <w:tcBorders>
              <w:top w:val="nil"/>
              <w:bottom w:val="single" w:sz="8" w:space="0" w:color="000000"/>
            </w:tcBorders>
          </w:tcPr>
          <w:p w:rsidR="008B6C22" w:rsidRPr="00C13463" w:rsidRDefault="008B6C22" w:rsidP="008B6C22">
            <w:pPr>
              <w:pStyle w:val="ab"/>
              <w:ind w:leftChars="16" w:left="34" w:rightChars="15" w:right="31"/>
              <w:jc w:val="left"/>
              <w:rPr>
                <w:rFonts w:ascii="Times New Roman" w:eastAsia="楷体_GB2312" w:hAnsi="Times New Roman"/>
                <w:sz w:val="21"/>
                <w:szCs w:val="21"/>
              </w:rPr>
            </w:pPr>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75019D">
              <w:rPr>
                <w:rFonts w:ascii="Times New Roman" w:eastAsia="楷体_GB2312" w:hAnsi="Times New Roman" w:cs="Times New Roman"/>
                <w:b/>
                <w:noProof/>
                <w:color w:val="17365D"/>
                <w:sz w:val="21"/>
                <w:szCs w:val="21"/>
              </w:rPr>
              <w:t>7</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sidR="0075019D">
              <w:rPr>
                <w:rFonts w:ascii="Times New Roman" w:eastAsia="楷体_GB2312" w:hAnsi="Times New Roman" w:hint="eastAsia"/>
                <w:b/>
                <w:color w:val="17365D"/>
                <w:sz w:val="21"/>
                <w:szCs w:val="21"/>
              </w:rPr>
              <w:t>股份行所需增加计提对净利润的影响的敏感性分析</w:t>
            </w:r>
          </w:p>
        </w:tc>
      </w:tr>
      <w:tr w:rsidR="008B6C22" w:rsidRPr="00520DC6" w:rsidTr="0075019D">
        <w:trPr>
          <w:trHeight w:val="264"/>
        </w:trPr>
        <w:tc>
          <w:tcPr>
            <w:tcW w:w="10632" w:type="dxa"/>
            <w:tcBorders>
              <w:top w:val="single" w:sz="8" w:space="0" w:color="000000"/>
              <w:bottom w:val="single" w:sz="4" w:space="0" w:color="auto"/>
            </w:tcBorders>
          </w:tcPr>
          <w:tbl>
            <w:tblPr>
              <w:tblW w:w="5000" w:type="pct"/>
              <w:tblLook w:val="04A0" w:firstRow="1" w:lastRow="0" w:firstColumn="1" w:lastColumn="0" w:noHBand="0" w:noVBand="1"/>
            </w:tblPr>
            <w:tblGrid>
              <w:gridCol w:w="1096"/>
              <w:gridCol w:w="1345"/>
              <w:gridCol w:w="825"/>
              <w:gridCol w:w="929"/>
              <w:gridCol w:w="929"/>
              <w:gridCol w:w="929"/>
              <w:gridCol w:w="1085"/>
              <w:gridCol w:w="1085"/>
              <w:gridCol w:w="1085"/>
              <w:gridCol w:w="1088"/>
            </w:tblGrid>
            <w:tr w:rsidR="0075019D" w:rsidRPr="0075019D" w:rsidTr="0075019D">
              <w:trPr>
                <w:trHeight w:val="420"/>
              </w:trPr>
              <w:tc>
                <w:tcPr>
                  <w:tcW w:w="418" w:type="pct"/>
                  <w:vMerge w:val="restart"/>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center"/>
                    <w:rPr>
                      <w:rFonts w:ascii="楷体" w:eastAsia="楷体" w:hAnsi="楷体" w:cs="宋体"/>
                      <w:b/>
                      <w:color w:val="FFFFFF" w:themeColor="background1"/>
                      <w:kern w:val="0"/>
                      <w:sz w:val="22"/>
                    </w:rPr>
                  </w:pPr>
                  <w:r w:rsidRPr="0075019D">
                    <w:rPr>
                      <w:rFonts w:ascii="楷体" w:eastAsia="楷体" w:hAnsi="楷体" w:cs="宋体" w:hint="eastAsia"/>
                      <w:b/>
                      <w:color w:val="FFFFFF" w:themeColor="background1"/>
                      <w:kern w:val="0"/>
                      <w:sz w:val="22"/>
                    </w:rPr>
                    <w:t>银行</w:t>
                  </w:r>
                </w:p>
              </w:tc>
              <w:tc>
                <w:tcPr>
                  <w:tcW w:w="659" w:type="pct"/>
                  <w:vMerge w:val="restart"/>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center"/>
                    <w:rPr>
                      <w:rFonts w:ascii="Times New Roman" w:eastAsia="等线" w:hAnsi="Times New Roman"/>
                      <w:b/>
                      <w:color w:val="FFFFFF" w:themeColor="background1"/>
                      <w:kern w:val="0"/>
                      <w:sz w:val="22"/>
                    </w:rPr>
                  </w:pPr>
                  <w:r w:rsidRPr="0075019D">
                    <w:rPr>
                      <w:rFonts w:ascii="楷体" w:eastAsia="楷体" w:hAnsi="楷体" w:hint="eastAsia"/>
                      <w:b/>
                      <w:color w:val="FFFFFF" w:themeColor="background1"/>
                      <w:kern w:val="0"/>
                      <w:sz w:val="22"/>
                    </w:rPr>
                    <w:t>按</w:t>
                  </w:r>
                  <w:r w:rsidRPr="0075019D">
                    <w:rPr>
                      <w:rFonts w:ascii="Times New Roman" w:eastAsia="等线" w:hAnsi="Times New Roman"/>
                      <w:b/>
                      <w:color w:val="FFFFFF" w:themeColor="background1"/>
                      <w:kern w:val="0"/>
                      <w:sz w:val="22"/>
                    </w:rPr>
                    <w:t>65%</w:t>
                  </w:r>
                  <w:r w:rsidRPr="0075019D">
                    <w:rPr>
                      <w:rFonts w:ascii="楷体" w:eastAsia="楷体" w:hAnsi="楷体" w:hint="eastAsia"/>
                      <w:b/>
                      <w:color w:val="FFFFFF" w:themeColor="background1"/>
                      <w:kern w:val="0"/>
                      <w:sz w:val="22"/>
                    </w:rPr>
                    <w:t>比例测算对净利润影响</w:t>
                  </w:r>
                </w:p>
              </w:tc>
              <w:tc>
                <w:tcPr>
                  <w:tcW w:w="3923" w:type="pct"/>
                  <w:gridSpan w:val="8"/>
                  <w:tcBorders>
                    <w:top w:val="single" w:sz="8" w:space="0" w:color="auto"/>
                    <w:left w:val="nil"/>
                    <w:bottom w:val="single" w:sz="8" w:space="0" w:color="auto"/>
                    <w:right w:val="single" w:sz="8" w:space="0" w:color="000000"/>
                  </w:tcBorders>
                  <w:shd w:val="clear" w:color="auto" w:fill="2F5496" w:themeFill="accent5" w:themeFillShade="BF"/>
                  <w:noWrap/>
                  <w:vAlign w:val="bottom"/>
                  <w:hideMark/>
                </w:tcPr>
                <w:p w:rsidR="0075019D" w:rsidRPr="0075019D" w:rsidRDefault="0075019D" w:rsidP="0075019D">
                  <w:pPr>
                    <w:widowControl/>
                    <w:jc w:val="center"/>
                    <w:rPr>
                      <w:rFonts w:ascii="楷体" w:eastAsia="楷体" w:hAnsi="楷体" w:cs="宋体"/>
                      <w:b/>
                      <w:color w:val="FFFFFF" w:themeColor="background1"/>
                      <w:kern w:val="0"/>
                      <w:sz w:val="22"/>
                    </w:rPr>
                  </w:pPr>
                  <w:r>
                    <w:rPr>
                      <w:rFonts w:ascii="楷体" w:eastAsia="楷体" w:hAnsi="楷体" w:cs="宋体" w:hint="eastAsia"/>
                      <w:b/>
                      <w:color w:val="FFFFFF" w:themeColor="background1"/>
                      <w:kern w:val="0"/>
                      <w:sz w:val="22"/>
                    </w:rPr>
                    <w:t>假设：</w:t>
                  </w:r>
                  <w:r w:rsidR="00213B77">
                    <w:rPr>
                      <w:rFonts w:ascii="楷体" w:eastAsia="楷体" w:hAnsi="楷体" w:cs="宋体" w:hint="eastAsia"/>
                      <w:b/>
                      <w:color w:val="FFFFFF" w:themeColor="background1"/>
                      <w:kern w:val="0"/>
                      <w:sz w:val="22"/>
                    </w:rPr>
                    <w:t>类信贷</w:t>
                  </w:r>
                  <w:r w:rsidRPr="0075019D">
                    <w:rPr>
                      <w:rFonts w:ascii="楷体" w:eastAsia="楷体" w:hAnsi="楷体" w:cs="宋体" w:hint="eastAsia"/>
                      <w:b/>
                      <w:color w:val="FFFFFF" w:themeColor="background1"/>
                      <w:kern w:val="0"/>
                      <w:sz w:val="22"/>
                    </w:rPr>
                    <w:t>资产在信托、资管等及其他类非标资产所占比例</w:t>
                  </w:r>
                </w:p>
              </w:tc>
            </w:tr>
            <w:tr w:rsidR="0075019D" w:rsidRPr="0075019D" w:rsidTr="0075019D">
              <w:trPr>
                <w:trHeight w:val="293"/>
              </w:trPr>
              <w:tc>
                <w:tcPr>
                  <w:tcW w:w="418" w:type="pct"/>
                  <w:vMerge/>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left"/>
                    <w:rPr>
                      <w:rFonts w:ascii="楷体" w:eastAsia="楷体" w:hAnsi="楷体" w:cs="宋体"/>
                      <w:b/>
                      <w:color w:val="FFFFFF" w:themeColor="background1"/>
                      <w:kern w:val="0"/>
                      <w:sz w:val="22"/>
                    </w:rPr>
                  </w:pPr>
                </w:p>
              </w:tc>
              <w:tc>
                <w:tcPr>
                  <w:tcW w:w="659" w:type="pct"/>
                  <w:vMerge/>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left"/>
                    <w:rPr>
                      <w:rFonts w:ascii="Times New Roman" w:eastAsia="等线" w:hAnsi="Times New Roman"/>
                      <w:b/>
                      <w:color w:val="FFFFFF" w:themeColor="background1"/>
                      <w:kern w:val="0"/>
                      <w:sz w:val="22"/>
                    </w:rPr>
                  </w:pPr>
                </w:p>
              </w:tc>
              <w:tc>
                <w:tcPr>
                  <w:tcW w:w="40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5%</w:t>
                  </w:r>
                </w:p>
              </w:tc>
              <w:tc>
                <w:tcPr>
                  <w:tcW w:w="45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10%</w:t>
                  </w:r>
                </w:p>
              </w:tc>
              <w:tc>
                <w:tcPr>
                  <w:tcW w:w="45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20%</w:t>
                  </w:r>
                </w:p>
              </w:tc>
              <w:tc>
                <w:tcPr>
                  <w:tcW w:w="45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30%</w:t>
                  </w:r>
                </w:p>
              </w:tc>
              <w:tc>
                <w:tcPr>
                  <w:tcW w:w="534"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40%</w:t>
                  </w:r>
                </w:p>
              </w:tc>
              <w:tc>
                <w:tcPr>
                  <w:tcW w:w="534"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50%</w:t>
                  </w:r>
                </w:p>
              </w:tc>
              <w:tc>
                <w:tcPr>
                  <w:tcW w:w="534"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60%</w:t>
                  </w:r>
                </w:p>
              </w:tc>
              <w:tc>
                <w:tcPr>
                  <w:tcW w:w="534" w:type="pct"/>
                  <w:tcBorders>
                    <w:top w:val="nil"/>
                    <w:left w:val="nil"/>
                    <w:bottom w:val="single" w:sz="8" w:space="0" w:color="auto"/>
                    <w:right w:val="single" w:sz="8" w:space="0" w:color="auto"/>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65%</w:t>
                  </w:r>
                </w:p>
              </w:tc>
            </w:tr>
            <w:tr w:rsidR="0075019D" w:rsidRPr="0075019D" w:rsidTr="0075019D">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民生银行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-22.60%</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-0.42%</w:t>
                  </w:r>
                </w:p>
              </w:tc>
              <w:tc>
                <w:tcPr>
                  <w:tcW w:w="459"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-4.45%</w:t>
                  </w:r>
                </w:p>
              </w:tc>
              <w:tc>
                <w:tcPr>
                  <w:tcW w:w="459"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-8.48%</w:t>
                  </w:r>
                </w:p>
              </w:tc>
              <w:tc>
                <w:tcPr>
                  <w:tcW w:w="534"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-12.52%</w:t>
                  </w:r>
                </w:p>
              </w:tc>
              <w:tc>
                <w:tcPr>
                  <w:tcW w:w="534"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-16.55%</w:t>
                  </w:r>
                </w:p>
              </w:tc>
              <w:tc>
                <w:tcPr>
                  <w:tcW w:w="534"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-20.59%</w:t>
                  </w:r>
                </w:p>
              </w:tc>
              <w:tc>
                <w:tcPr>
                  <w:tcW w:w="534" w:type="pct"/>
                  <w:tcBorders>
                    <w:top w:val="single" w:sz="8" w:space="0" w:color="auto"/>
                    <w:left w:val="nil"/>
                    <w:bottom w:val="nil"/>
                    <w:right w:val="single" w:sz="8" w:space="0" w:color="auto"/>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-22.60%</w:t>
                  </w:r>
                </w:p>
              </w:tc>
            </w:tr>
            <w:tr w:rsidR="0075019D" w:rsidRPr="0075019D" w:rsidTr="0075019D">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光大银行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-16.58%</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-0.83%</w:t>
                  </w:r>
                </w:p>
              </w:tc>
              <w:tc>
                <w:tcPr>
                  <w:tcW w:w="459"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-4.33%</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-7.83%</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-11.33%</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-14.83%</w:t>
                  </w:r>
                </w:p>
              </w:tc>
              <w:tc>
                <w:tcPr>
                  <w:tcW w:w="534" w:type="pct"/>
                  <w:tcBorders>
                    <w:top w:val="nil"/>
                    <w:left w:val="nil"/>
                    <w:bottom w:val="nil"/>
                    <w:right w:val="single" w:sz="8" w:space="0" w:color="auto"/>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-16.58%</w:t>
                  </w:r>
                </w:p>
              </w:tc>
            </w:tr>
            <w:tr w:rsidR="0075019D" w:rsidRPr="0075019D" w:rsidTr="0075019D">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平安银行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-14.93%</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-1.84%</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-5.58%</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-9.32%</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-13.06%</w:t>
                  </w:r>
                </w:p>
              </w:tc>
              <w:tc>
                <w:tcPr>
                  <w:tcW w:w="534" w:type="pct"/>
                  <w:tcBorders>
                    <w:top w:val="nil"/>
                    <w:left w:val="nil"/>
                    <w:bottom w:val="nil"/>
                    <w:right w:val="single" w:sz="8" w:space="0" w:color="auto"/>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-14.93%</w:t>
                  </w:r>
                </w:p>
              </w:tc>
            </w:tr>
            <w:tr w:rsidR="0075019D" w:rsidRPr="0075019D" w:rsidTr="0075019D">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浦发银行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-9.00%</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-1.09%</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-4.25%</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-7.42%</w:t>
                  </w:r>
                </w:p>
              </w:tc>
              <w:tc>
                <w:tcPr>
                  <w:tcW w:w="534" w:type="pct"/>
                  <w:tcBorders>
                    <w:top w:val="nil"/>
                    <w:left w:val="nil"/>
                    <w:bottom w:val="nil"/>
                    <w:right w:val="single" w:sz="8" w:space="0" w:color="auto"/>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-9.00%</w:t>
                  </w:r>
                </w:p>
              </w:tc>
            </w:tr>
            <w:tr w:rsidR="0075019D" w:rsidRPr="0075019D" w:rsidTr="0075019D">
              <w:trPr>
                <w:trHeight w:val="293"/>
              </w:trPr>
              <w:tc>
                <w:tcPr>
                  <w:tcW w:w="418" w:type="pct"/>
                  <w:tcBorders>
                    <w:top w:val="nil"/>
                    <w:left w:val="single" w:sz="8" w:space="0" w:color="auto"/>
                    <w:bottom w:val="single" w:sz="8" w:space="0" w:color="auto"/>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华夏银行</w:t>
                  </w:r>
                </w:p>
              </w:tc>
              <w:tc>
                <w:tcPr>
                  <w:tcW w:w="659" w:type="pct"/>
                  <w:tcBorders>
                    <w:top w:val="nil"/>
                    <w:left w:val="nil"/>
                    <w:bottom w:val="single" w:sz="8" w:space="0" w:color="auto"/>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-6.71%</w:t>
                  </w:r>
                </w:p>
              </w:tc>
              <w:tc>
                <w:tcPr>
                  <w:tcW w:w="40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534" w:type="pct"/>
                  <w:tcBorders>
                    <w:top w:val="nil"/>
                    <w:left w:val="nil"/>
                    <w:bottom w:val="single" w:sz="8" w:space="0" w:color="auto"/>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-1.25%</w:t>
                  </w:r>
                </w:p>
              </w:tc>
              <w:tc>
                <w:tcPr>
                  <w:tcW w:w="534" w:type="pct"/>
                  <w:tcBorders>
                    <w:top w:val="nil"/>
                    <w:left w:val="nil"/>
                    <w:bottom w:val="single" w:sz="8" w:space="0" w:color="auto"/>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-3.43%</w:t>
                  </w:r>
                </w:p>
              </w:tc>
              <w:tc>
                <w:tcPr>
                  <w:tcW w:w="534" w:type="pct"/>
                  <w:tcBorders>
                    <w:top w:val="nil"/>
                    <w:left w:val="nil"/>
                    <w:bottom w:val="single" w:sz="8" w:space="0" w:color="auto"/>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-5.62%</w:t>
                  </w:r>
                </w:p>
              </w:tc>
              <w:tc>
                <w:tcPr>
                  <w:tcW w:w="534" w:type="pct"/>
                  <w:tcBorders>
                    <w:top w:val="nil"/>
                    <w:left w:val="nil"/>
                    <w:bottom w:val="single" w:sz="8" w:space="0" w:color="auto"/>
                    <w:right w:val="single" w:sz="8" w:space="0" w:color="auto"/>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-6.71%</w:t>
                  </w:r>
                </w:p>
              </w:tc>
            </w:tr>
          </w:tbl>
          <w:p w:rsidR="008B6C22" w:rsidRPr="00A73F5B" w:rsidRDefault="008B6C22" w:rsidP="008B6C22">
            <w:pPr>
              <w:snapToGrid w:val="0"/>
              <w:jc w:val="center"/>
              <w:rPr>
                <w:rFonts w:ascii="Times New Roman" w:eastAsia="楷体_GB2312" w:hAnsi="Times New Roman"/>
              </w:rPr>
            </w:pPr>
          </w:p>
        </w:tc>
      </w:tr>
      <w:tr w:rsidR="008B6C22" w:rsidRPr="00C13463" w:rsidTr="0075019D">
        <w:tc>
          <w:tcPr>
            <w:tcW w:w="10632" w:type="dxa"/>
            <w:tcBorders>
              <w:top w:val="single" w:sz="4" w:space="0" w:color="auto"/>
              <w:bottom w:val="nil"/>
            </w:tcBorders>
          </w:tcPr>
          <w:p w:rsidR="008B6C22" w:rsidRDefault="008B6C22" w:rsidP="008B6C22">
            <w:pPr>
              <w:snapToGrid w:val="0"/>
              <w:jc w:val="left"/>
              <w:rPr>
                <w:rFonts w:ascii="Times New Roman" w:eastAsia="楷体_GB2312" w:hAnsi="Times New Roman"/>
                <w:bCs/>
                <w:kern w:val="0"/>
                <w:szCs w:val="21"/>
              </w:rPr>
            </w:pPr>
            <w:r w:rsidRPr="00C13463">
              <w:rPr>
                <w:rFonts w:ascii="Times New Roman" w:eastAsia="楷体_GB2312" w:hAnsi="Times New Roman" w:cs="楷体_GB2312" w:hint="eastAsia"/>
                <w:bCs/>
                <w:kern w:val="0"/>
                <w:szCs w:val="21"/>
              </w:rPr>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p w:rsidR="008B6C22" w:rsidRPr="00DB07BC" w:rsidRDefault="008B6C22" w:rsidP="008B6C22">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假设：类信贷非标资产中，</w:t>
            </w:r>
            <w:r w:rsidRPr="00DB07BC">
              <w:rPr>
                <w:rFonts w:ascii="Times New Roman" w:eastAsia="楷体_GB2312" w:hAnsi="Times New Roman" w:hint="eastAsia"/>
                <w:bCs/>
                <w:kern w:val="0"/>
                <w:szCs w:val="21"/>
              </w:rPr>
              <w:t>5</w:t>
            </w:r>
            <w:r w:rsidRPr="00DB07BC">
              <w:rPr>
                <w:rFonts w:ascii="Times New Roman" w:eastAsia="楷体_GB2312" w:hAnsi="Times New Roman" w:hint="eastAsia"/>
                <w:bCs/>
                <w:kern w:val="0"/>
                <w:szCs w:val="21"/>
              </w:rPr>
              <w:t>级分类占比与中报贷款的占比一致；</w:t>
            </w:r>
            <w:r w:rsidRPr="00DB07BC">
              <w:rPr>
                <w:rFonts w:ascii="Times New Roman" w:eastAsia="楷体_GB2312" w:hAnsi="Times New Roman" w:hint="eastAsia"/>
                <w:bCs/>
                <w:kern w:val="0"/>
                <w:szCs w:val="21"/>
              </w:rPr>
              <w:t xml:space="preserve"> </w:t>
            </w:r>
          </w:p>
          <w:p w:rsidR="008B6C22" w:rsidRPr="00491A2B" w:rsidRDefault="008B6C22" w:rsidP="008B6C22">
            <w:pPr>
              <w:snapToGrid w:val="0"/>
              <w:jc w:val="left"/>
              <w:rPr>
                <w:rFonts w:ascii="Times New Roman" w:eastAsia="楷体_GB2312" w:hAnsi="Times New Roman" w:cs="楷体_GB2312"/>
                <w:bCs/>
                <w:kern w:val="0"/>
                <w:szCs w:val="21"/>
              </w:rPr>
            </w:pPr>
          </w:p>
        </w:tc>
      </w:tr>
    </w:tbl>
    <w:p w:rsidR="003021A7" w:rsidRPr="0075019D" w:rsidRDefault="003021A7" w:rsidP="00830849">
      <w:pPr>
        <w:ind w:leftChars="810" w:left="1701"/>
        <w:rPr>
          <w:rFonts w:ascii="Times New Roman" w:eastAsia="楷体_GB2312" w:hAnsi="Times New Roman"/>
          <w:color w:val="000000"/>
          <w:szCs w:val="24"/>
        </w:rPr>
      </w:pPr>
    </w:p>
    <w:p w:rsidR="003021A7" w:rsidRDefault="003021A7" w:rsidP="00830849">
      <w:pPr>
        <w:ind w:leftChars="810" w:left="1701"/>
        <w:rPr>
          <w:rFonts w:ascii="Times New Roman" w:eastAsia="楷体_GB2312" w:hAnsi="Times New Roman"/>
          <w:color w:val="000000"/>
          <w:szCs w:val="24"/>
        </w:rPr>
      </w:pPr>
    </w:p>
    <w:p w:rsidR="003021A7" w:rsidRDefault="003021A7" w:rsidP="003021A7">
      <w:pPr>
        <w:pStyle w:val="1"/>
        <w:rPr>
          <w:rFonts w:eastAsia="楷体_GB2312"/>
          <w:bCs/>
          <w:kern w:val="0"/>
          <w:szCs w:val="21"/>
        </w:rPr>
      </w:pPr>
      <w:bookmarkStart w:id="19" w:name="_Toc486629400"/>
      <w:bookmarkStart w:id="20" w:name="_Toc490669646"/>
      <w:bookmarkStart w:id="21" w:name="_Toc491114817"/>
      <w:bookmarkStart w:id="22" w:name="_Toc491114822"/>
      <w:bookmarkStart w:id="23" w:name="_Toc494044219"/>
      <w:r w:rsidRPr="00684166">
        <w:rPr>
          <w:rFonts w:eastAsia="楷体_GB2312"/>
          <w:bCs/>
          <w:kern w:val="0"/>
          <w:szCs w:val="21"/>
        </w:rPr>
        <w:t>风险提示：</w:t>
      </w:r>
      <w:bookmarkEnd w:id="19"/>
      <w:bookmarkEnd w:id="20"/>
      <w:bookmarkEnd w:id="21"/>
      <w:bookmarkEnd w:id="22"/>
      <w:bookmarkEnd w:id="23"/>
    </w:p>
    <w:p w:rsidR="003021A7" w:rsidRPr="00AF22B3" w:rsidRDefault="003021A7" w:rsidP="003021A7"/>
    <w:p w:rsidR="003021A7" w:rsidRPr="00BC696B" w:rsidRDefault="003021A7" w:rsidP="003021A7">
      <w:pPr>
        <w:pStyle w:val="af0"/>
        <w:tabs>
          <w:tab w:val="left" w:pos="1701"/>
          <w:tab w:val="left" w:pos="9214"/>
        </w:tabs>
        <w:snapToGrid w:val="0"/>
        <w:spacing w:line="288" w:lineRule="auto"/>
        <w:ind w:left="1701" w:rightChars="471" w:right="989" w:firstLineChars="0" w:firstLine="0"/>
        <w:rPr>
          <w:rFonts w:ascii="Times New Roman" w:eastAsia="楷体_GB2312" w:hAnsi="Times New Roman"/>
          <w:color w:val="000000"/>
          <w:szCs w:val="24"/>
        </w:rPr>
      </w:pPr>
      <w:r>
        <w:rPr>
          <w:rFonts w:ascii="Times New Roman" w:eastAsia="楷体_GB2312" w:hAnsi="Times New Roman" w:hint="eastAsia"/>
          <w:bCs/>
          <w:color w:val="000000"/>
          <w:szCs w:val="24"/>
        </w:rPr>
        <w:t>1</w:t>
      </w:r>
      <w:r>
        <w:rPr>
          <w:rFonts w:ascii="Times New Roman" w:eastAsia="楷体_GB2312" w:hAnsi="Times New Roman" w:hint="eastAsia"/>
          <w:bCs/>
          <w:color w:val="000000"/>
          <w:szCs w:val="24"/>
        </w:rPr>
        <w:t>）</w:t>
      </w:r>
      <w:r w:rsidRPr="00BC696B">
        <w:rPr>
          <w:rFonts w:ascii="Times New Roman" w:eastAsia="楷体_GB2312" w:hAnsi="Times New Roman" w:hint="eastAsia"/>
          <w:bCs/>
          <w:color w:val="000000"/>
          <w:szCs w:val="24"/>
        </w:rPr>
        <w:t>宏观经济下滑压力加大</w:t>
      </w:r>
      <w:r w:rsidRPr="00BC696B">
        <w:rPr>
          <w:rFonts w:ascii="Times New Roman" w:eastAsia="楷体_GB2312" w:hAnsi="Times New Roman" w:hint="eastAsia"/>
          <w:color w:val="000000"/>
          <w:szCs w:val="24"/>
        </w:rPr>
        <w:t>，</w:t>
      </w:r>
      <w:r>
        <w:rPr>
          <w:rFonts w:ascii="Times New Roman" w:eastAsia="楷体_GB2312" w:hAnsi="Times New Roman" w:hint="eastAsia"/>
          <w:color w:val="000000"/>
          <w:szCs w:val="24"/>
        </w:rPr>
        <w:t>资产质量加速恶化</w:t>
      </w:r>
      <w:r w:rsidRPr="00BC696B">
        <w:rPr>
          <w:rFonts w:ascii="Times New Roman" w:eastAsia="楷体_GB2312" w:hAnsi="Times New Roman" w:hint="eastAsia"/>
          <w:color w:val="000000"/>
          <w:szCs w:val="24"/>
        </w:rPr>
        <w:t>；</w:t>
      </w:r>
    </w:p>
    <w:p w:rsidR="007F1CAB" w:rsidRPr="003021A7" w:rsidRDefault="003021A7" w:rsidP="008F6AF6">
      <w:pPr>
        <w:pStyle w:val="af0"/>
        <w:tabs>
          <w:tab w:val="left" w:pos="1701"/>
          <w:tab w:val="left" w:pos="9214"/>
        </w:tabs>
        <w:snapToGrid w:val="0"/>
        <w:spacing w:line="288" w:lineRule="auto"/>
        <w:ind w:left="1701" w:rightChars="19" w:right="40" w:firstLineChars="0" w:firstLine="0"/>
        <w:rPr>
          <w:rFonts w:ascii="Times New Roman" w:eastAsia="楷体_GB2312" w:hAnsi="Times New Roman"/>
          <w:color w:val="000000"/>
          <w:szCs w:val="24"/>
        </w:rPr>
      </w:pPr>
      <w:r>
        <w:rPr>
          <w:rFonts w:ascii="Times New Roman" w:eastAsia="楷体_GB2312" w:hAnsi="Times New Roman"/>
          <w:bCs/>
          <w:color w:val="000000"/>
          <w:szCs w:val="24"/>
        </w:rPr>
        <w:t>2</w:t>
      </w:r>
      <w:r>
        <w:rPr>
          <w:rFonts w:ascii="Times New Roman" w:eastAsia="楷体_GB2312" w:hAnsi="Times New Roman" w:hint="eastAsia"/>
          <w:bCs/>
          <w:color w:val="000000"/>
          <w:szCs w:val="24"/>
        </w:rPr>
        <w:t>）</w:t>
      </w:r>
      <w:r w:rsidRPr="00BC696B">
        <w:rPr>
          <w:rFonts w:ascii="Times New Roman" w:eastAsia="楷体_GB2312" w:hAnsi="Times New Roman" w:hint="eastAsia"/>
          <w:bCs/>
          <w:color w:val="000000"/>
          <w:szCs w:val="24"/>
        </w:rPr>
        <w:t>金融</w:t>
      </w:r>
      <w:r>
        <w:rPr>
          <w:rFonts w:ascii="Times New Roman" w:eastAsia="楷体_GB2312" w:hAnsi="Times New Roman" w:hint="eastAsia"/>
          <w:bCs/>
          <w:color w:val="000000"/>
          <w:szCs w:val="24"/>
        </w:rPr>
        <w:t>监管力度超预期，</w:t>
      </w:r>
      <w:r w:rsidRPr="00BC696B">
        <w:rPr>
          <w:rFonts w:ascii="Times New Roman" w:eastAsia="楷体_GB2312" w:hAnsi="Times New Roman" w:hint="eastAsia"/>
          <w:color w:val="000000"/>
          <w:szCs w:val="24"/>
        </w:rPr>
        <w:t>对银行业经营产生负面影响。</w:t>
      </w:r>
    </w:p>
    <w:p w:rsidR="00830849" w:rsidRPr="00463EF9" w:rsidRDefault="00830849" w:rsidP="00830849">
      <w:pPr>
        <w:ind w:leftChars="810" w:left="1701"/>
        <w:rPr>
          <w:rFonts w:ascii="Times New Roman" w:eastAsia="楷体_GB2312" w:hAnsi="Times New Roman"/>
          <w:color w:val="000000"/>
          <w:szCs w:val="24"/>
        </w:rPr>
      </w:pPr>
    </w:p>
    <w:p w:rsidR="00AF36B6" w:rsidRPr="00463EF9" w:rsidRDefault="00AF36B6" w:rsidP="00442CCD">
      <w:pPr>
        <w:pStyle w:val="1"/>
        <w:rPr>
          <w:rFonts w:eastAsia="楷体_GB2312"/>
        </w:rPr>
        <w:sectPr w:rsidR="00AF36B6" w:rsidRPr="00463EF9" w:rsidSect="00762595">
          <w:headerReference w:type="default" r:id="rId12"/>
          <w:footerReference w:type="default" r:id="rId13"/>
          <w:pgSz w:w="11906" w:h="16838"/>
          <w:pgMar w:top="1440" w:right="851" w:bottom="1440" w:left="851" w:header="851" w:footer="578" w:gutter="0"/>
          <w:cols w:space="425" w:equalWidth="0">
            <w:col w:w="9254" w:space="425"/>
          </w:cols>
          <w:docGrid w:type="lines" w:linePitch="312"/>
        </w:sectPr>
      </w:pPr>
    </w:p>
    <w:bookmarkEnd w:id="3"/>
    <w:bookmarkEnd w:id="4"/>
    <w:p w:rsidR="00780EB5" w:rsidRPr="00463EF9" w:rsidRDefault="00D41347" w:rsidP="00CF14BE">
      <w:pPr>
        <w:adjustRightInd w:val="0"/>
        <w:snapToGrid w:val="0"/>
        <w:spacing w:line="288" w:lineRule="auto"/>
        <w:rPr>
          <w:rFonts w:ascii="Times New Roman" w:eastAsia="楷体_GB2312" w:hAnsi="Times New Roman" w:cs="楷体_GB2312"/>
          <w:b/>
          <w:kern w:val="0"/>
          <w:sz w:val="24"/>
          <w:szCs w:val="24"/>
        </w:rPr>
      </w:pPr>
      <w:r w:rsidRPr="00463EF9">
        <w:rPr>
          <w:rFonts w:ascii="Times New Roman" w:eastAsia="楷体_GB2312" w:hAnsi="Times New Roman" w:cs="楷体_GB2312" w:hint="eastAsia"/>
          <w:b/>
          <w:kern w:val="0"/>
          <w:sz w:val="24"/>
          <w:szCs w:val="24"/>
        </w:rPr>
        <w:lastRenderedPageBreak/>
        <w:t>免责声明</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东吴证券股份有限公司经中国证券监督管理委员会批准，已具备证券投资咨询业务资格。</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研究报告仅供东吴证券股份有限公司（以下简称“本公司”）的客户使用。本公司不会因接收人收到本报告而视其为客户。在任何情况下，本报告中的信息或所表述的意见并不构成对任何人的投资建议，本公司不对任何人因使用本报告中的内容所导致的损失负任何责任。在法律许可的情况下，东吴证券及其所属关联机构可能会持有报告中提到的公司所发行的证券并进行交易，还可能为这些公司提供投资银行服务或其他服务。</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市场有风险，投资需谨慎。本报告是基于本公司分析师认为可靠且已公开的信息，本公司力求但不保证这些信息的准确性和完整性，也不保证文中观点或陈述不会发生任何变更，在不同时期，本公司可发出与本报告所载资料、意见及推测不一致的报告。</w:t>
      </w:r>
    </w:p>
    <w:p w:rsidR="00780EB5" w:rsidRPr="00463EF9" w:rsidRDefault="000D6F6E" w:rsidP="000D6F6E">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报告的版权归本公司所有，未经书面许可，任何机构和个人不得以任何形式翻版、复制和发布。如引用、刊发、转载，需征得东吴证券研究所同意，并注明出处为东吴证券研究所，且不得对本报告进行有悖原意的引用、删节和修改。</w:t>
      </w:r>
    </w:p>
    <w:p w:rsidR="000D6F6E" w:rsidRPr="00463EF9" w:rsidRDefault="000D6F6E" w:rsidP="000D6F6E">
      <w:pPr>
        <w:snapToGrid w:val="0"/>
        <w:spacing w:line="288" w:lineRule="auto"/>
        <w:rPr>
          <w:rFonts w:ascii="Times New Roman" w:eastAsia="楷体_GB2312" w:hAnsi="Times New Roman"/>
          <w:sz w:val="24"/>
          <w:szCs w:val="24"/>
        </w:rPr>
      </w:pPr>
    </w:p>
    <w:p w:rsidR="004276B9" w:rsidRPr="00463EF9" w:rsidRDefault="004276B9" w:rsidP="000D6F6E">
      <w:pPr>
        <w:snapToGrid w:val="0"/>
        <w:spacing w:line="288" w:lineRule="auto"/>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东吴证券投资评级标准：</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买入：预期未来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个月个股涨跌幅相对大盘在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个月个股涨跌幅相对大盘介于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个月个股涨跌幅相对大盘介于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个月个股涨跌幅相对大盘介于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卖出：预期未来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个月个股涨跌幅相对大盘在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以下。</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行业投资评级：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个月内，行业指数相对强于大盘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个月内，行业指数相对大盘</w:t>
      </w:r>
      <w:r w:rsidRPr="00463EF9">
        <w:rPr>
          <w:rFonts w:ascii="Times New Roman" w:eastAsia="楷体_GB2312" w:hAnsi="Times New Roman" w:cs="楷体_GB2312" w:hint="eastAsia"/>
          <w:bCs/>
          <w:kern w:val="0"/>
          <w:sz w:val="24"/>
          <w:szCs w:val="24"/>
        </w:rPr>
        <w:t>-5%</w:t>
      </w:r>
      <w:r w:rsidR="00F124D7"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w:t>
      </w:r>
    </w:p>
    <w:p w:rsidR="00780EB5" w:rsidRPr="00463EF9" w:rsidRDefault="004276B9" w:rsidP="004276B9">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个月内，行业指数相对弱于大盘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780EB5" w:rsidRPr="00463EF9" w:rsidRDefault="00780EB5" w:rsidP="00CF14BE">
      <w:pPr>
        <w:adjustRightInd w:val="0"/>
        <w:snapToGrid w:val="0"/>
        <w:spacing w:line="288" w:lineRule="auto"/>
        <w:ind w:firstLineChars="200" w:firstLine="480"/>
        <w:rPr>
          <w:rFonts w:ascii="Times New Roman" w:eastAsia="楷体_GB2312" w:hAnsi="Times New Roman" w:cs="楷体_GB2312"/>
          <w:bCs/>
          <w:kern w:val="0"/>
          <w:sz w:val="24"/>
          <w:szCs w:val="24"/>
        </w:rPr>
      </w:pPr>
    </w:p>
    <w:p w:rsidR="00032777" w:rsidRPr="00463EF9" w:rsidRDefault="00933F54" w:rsidP="00032777">
      <w:pPr>
        <w:snapToGrid w:val="0"/>
        <w:spacing w:line="288" w:lineRule="auto"/>
        <w:ind w:firstLineChars="200" w:firstLine="420"/>
        <w:jc w:val="right"/>
        <w:rPr>
          <w:rFonts w:ascii="Times New Roman" w:eastAsia="楷体_GB2312" w:hAnsi="Times New Roman" w:cs="楷体_GB2312"/>
          <w:bCs/>
          <w:kern w:val="0"/>
          <w:sz w:val="24"/>
          <w:szCs w:val="24"/>
        </w:rPr>
      </w:pPr>
      <w:r w:rsidRPr="00463EF9">
        <w:rPr>
          <w:rFonts w:ascii="Times New Roman" w:eastAsia="楷体_GB2312" w:hAnsi="Times New Roman" w:hint="eastAsia"/>
          <w:noProof/>
        </w:rPr>
        <w:drawing>
          <wp:anchor distT="0" distB="0" distL="114300" distR="114300" simplePos="0" relativeHeight="251657728" behindDoc="1" locked="0" layoutInCell="1" allowOverlap="1">
            <wp:simplePos x="0" y="0"/>
            <wp:positionH relativeFrom="column">
              <wp:posOffset>-1162050</wp:posOffset>
            </wp:positionH>
            <wp:positionV relativeFrom="paragraph">
              <wp:posOffset>200025</wp:posOffset>
            </wp:positionV>
            <wp:extent cx="7572375" cy="3241040"/>
            <wp:effectExtent l="0" t="0" r="9525" b="0"/>
            <wp:wrapNone/>
            <wp:docPr id="24" name="图片 5"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pic:cNvPicPr>
                      <a:picLocks noChangeAspect="1" noChangeArrowheads="1"/>
                    </pic:cNvPicPr>
                  </pic:nvPicPr>
                  <pic:blipFill>
                    <a:blip r:embed="rId14" cstate="print">
                      <a:lum bright="42000" contrast="-6000"/>
                      <a:grayscl/>
                      <a:extLst>
                        <a:ext uri="{28A0092B-C50C-407E-A947-70E740481C1C}">
                          <a14:useLocalDpi xmlns:a14="http://schemas.microsoft.com/office/drawing/2010/main" val="0"/>
                        </a:ext>
                      </a:extLst>
                    </a:blip>
                    <a:srcRect/>
                    <a:stretch>
                      <a:fillRect/>
                    </a:stretch>
                  </pic:blipFill>
                  <pic:spPr bwMode="auto">
                    <a:xfrm>
                      <a:off x="0" y="0"/>
                      <a:ext cx="7572375"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777" w:rsidRPr="00463EF9">
        <w:rPr>
          <w:rFonts w:ascii="Times New Roman" w:eastAsia="楷体_GB2312" w:hAnsi="Times New Roman" w:cs="楷体_GB2312" w:hint="eastAsia"/>
          <w:bCs/>
          <w:kern w:val="0"/>
          <w:sz w:val="24"/>
          <w:szCs w:val="24"/>
        </w:rPr>
        <w:t>东吴证券研究所</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苏州工业园区星阳街</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号</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邮政编码：</w:t>
      </w:r>
      <w:r w:rsidRPr="00463EF9">
        <w:rPr>
          <w:rFonts w:ascii="Times New Roman" w:eastAsia="楷体_GB2312" w:hAnsi="Times New Roman" w:cs="楷体_GB2312" w:hint="eastAsia"/>
          <w:bCs/>
          <w:kern w:val="0"/>
          <w:sz w:val="24"/>
          <w:szCs w:val="24"/>
        </w:rPr>
        <w:t>215021</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传真：（</w:t>
      </w:r>
      <w:r w:rsidRPr="00463EF9">
        <w:rPr>
          <w:rFonts w:ascii="Times New Roman" w:eastAsia="楷体_GB2312" w:hAnsi="Times New Roman" w:cs="楷体_GB2312" w:hint="eastAsia"/>
          <w:bCs/>
          <w:kern w:val="0"/>
          <w:sz w:val="24"/>
          <w:szCs w:val="24"/>
        </w:rPr>
        <w:t>0512</w:t>
      </w:r>
      <w:r w:rsidRPr="00463EF9">
        <w:rPr>
          <w:rFonts w:ascii="Times New Roman" w:eastAsia="楷体_GB2312" w:hAnsi="Times New Roman" w:cs="楷体_GB2312" w:hint="eastAsia"/>
          <w:bCs/>
          <w:kern w:val="0"/>
          <w:sz w:val="24"/>
          <w:szCs w:val="24"/>
        </w:rPr>
        <w:t>）</w:t>
      </w:r>
      <w:r w:rsidRPr="00463EF9">
        <w:rPr>
          <w:rFonts w:ascii="Times New Roman" w:eastAsia="楷体_GB2312" w:hAnsi="Times New Roman" w:cs="楷体_GB2312" w:hint="eastAsia"/>
          <w:bCs/>
          <w:kern w:val="0"/>
          <w:sz w:val="24"/>
          <w:szCs w:val="24"/>
        </w:rPr>
        <w:t>62938527</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公司网址：</w:t>
      </w:r>
      <w:r w:rsidRPr="00463EF9">
        <w:rPr>
          <w:rFonts w:ascii="Times New Roman" w:eastAsia="楷体_GB2312" w:hAnsi="Times New Roman" w:cs="楷体_GB2312" w:hint="eastAsia"/>
          <w:bCs/>
          <w:kern w:val="0"/>
          <w:sz w:val="24"/>
          <w:szCs w:val="24"/>
        </w:rPr>
        <w:t xml:space="preserve"> http://www.dwzq.com.cn</w:t>
      </w:r>
    </w:p>
    <w:p w:rsidR="00F441CF" w:rsidRPr="00463EF9" w:rsidRDefault="00F441CF" w:rsidP="00893B99">
      <w:pPr>
        <w:adjustRightInd w:val="0"/>
        <w:snapToGrid w:val="0"/>
        <w:spacing w:line="288" w:lineRule="auto"/>
        <w:ind w:firstLineChars="200" w:firstLine="480"/>
        <w:jc w:val="right"/>
        <w:rPr>
          <w:rFonts w:ascii="Times New Roman" w:eastAsia="楷体_GB2312" w:hAnsi="Times New Roman" w:cs="楷体_GB2312"/>
          <w:bCs/>
          <w:kern w:val="0"/>
          <w:sz w:val="24"/>
          <w:szCs w:val="24"/>
        </w:rPr>
      </w:pPr>
    </w:p>
    <w:sectPr w:rsidR="00F441CF" w:rsidRPr="00463EF9" w:rsidSect="005A549E">
      <w:headerReference w:type="default" r:id="rId15"/>
      <w:pgSz w:w="11906" w:h="16838"/>
      <w:pgMar w:top="1666" w:right="1800" w:bottom="1440" w:left="1800" w:header="851" w:footer="579" w:gutter="0"/>
      <w:cols w:space="425" w:equalWidth="0">
        <w:col w:w="8305" w:space="425"/>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6AF" w:rsidRPr="002F3F78" w:rsidRDefault="00BD26AF" w:rsidP="000A57AA">
      <w:r>
        <w:separator/>
      </w:r>
    </w:p>
  </w:endnote>
  <w:endnote w:type="continuationSeparator" w:id="0">
    <w:p w:rsidR="00BD26AF" w:rsidRPr="002F3F78" w:rsidRDefault="00BD26AF" w:rsidP="000A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B77" w:rsidRPr="009A0DDA" w:rsidRDefault="00213B77">
    <w:pPr>
      <w:pStyle w:val="a5"/>
      <w:jc w:val="right"/>
      <w:rPr>
        <w:rFonts w:ascii="Times New Roman" w:hAnsi="Times New Roman"/>
      </w:rPr>
    </w:pPr>
    <w:r w:rsidRPr="009A0DDA">
      <w:rPr>
        <w:rFonts w:ascii="Times New Roman" w:hAnsi="Times New Roman"/>
        <w:lang w:val="zh-CN"/>
      </w:rPr>
      <w:t xml:space="preserve"> </w:t>
    </w:r>
    <w:r w:rsidRPr="009A0DDA">
      <w:rPr>
        <w:rFonts w:ascii="Times New Roman" w:hAnsi="Times New Roman"/>
        <w:b/>
        <w:bCs/>
        <w:sz w:val="24"/>
        <w:szCs w:val="24"/>
      </w:rPr>
      <w:fldChar w:fldCharType="begin"/>
    </w:r>
    <w:r w:rsidRPr="009A0DDA">
      <w:rPr>
        <w:rFonts w:ascii="Times New Roman" w:hAnsi="Times New Roman"/>
        <w:b/>
        <w:bCs/>
      </w:rPr>
      <w:instrText>PAGE</w:instrText>
    </w:r>
    <w:r w:rsidRPr="009A0DDA">
      <w:rPr>
        <w:rFonts w:ascii="Times New Roman" w:hAnsi="Times New Roman"/>
        <w:b/>
        <w:bCs/>
        <w:sz w:val="24"/>
        <w:szCs w:val="24"/>
      </w:rPr>
      <w:fldChar w:fldCharType="separate"/>
    </w:r>
    <w:r w:rsidR="00600DEC">
      <w:rPr>
        <w:rFonts w:ascii="Times New Roman" w:hAnsi="Times New Roman"/>
        <w:b/>
        <w:bCs/>
        <w:noProof/>
      </w:rPr>
      <w:t>1</w:t>
    </w:r>
    <w:r w:rsidRPr="009A0DDA">
      <w:rPr>
        <w:rFonts w:ascii="Times New Roman" w:hAnsi="Times New Roman"/>
        <w:b/>
        <w:bCs/>
        <w:sz w:val="24"/>
        <w:szCs w:val="24"/>
      </w:rPr>
      <w:fldChar w:fldCharType="end"/>
    </w:r>
    <w:r w:rsidRPr="009A0DDA">
      <w:rPr>
        <w:rFonts w:ascii="Times New Roman" w:hAnsi="Times New Roman"/>
        <w:lang w:val="zh-CN"/>
      </w:rPr>
      <w:t xml:space="preserve"> / </w:t>
    </w:r>
    <w:r w:rsidRPr="009A0DDA">
      <w:rPr>
        <w:rFonts w:ascii="Times New Roman" w:hAnsi="Times New Roman"/>
        <w:b/>
        <w:bCs/>
        <w:sz w:val="24"/>
        <w:szCs w:val="24"/>
      </w:rPr>
      <w:fldChar w:fldCharType="begin"/>
    </w:r>
    <w:r w:rsidRPr="009A0DDA">
      <w:rPr>
        <w:rFonts w:ascii="Times New Roman" w:hAnsi="Times New Roman"/>
        <w:b/>
        <w:bCs/>
      </w:rPr>
      <w:instrText>NUMPAGES</w:instrText>
    </w:r>
    <w:r w:rsidRPr="009A0DDA">
      <w:rPr>
        <w:rFonts w:ascii="Times New Roman" w:hAnsi="Times New Roman"/>
        <w:b/>
        <w:bCs/>
        <w:sz w:val="24"/>
        <w:szCs w:val="24"/>
      </w:rPr>
      <w:fldChar w:fldCharType="separate"/>
    </w:r>
    <w:r w:rsidR="00600DEC">
      <w:rPr>
        <w:rFonts w:ascii="Times New Roman" w:hAnsi="Times New Roman"/>
        <w:b/>
        <w:bCs/>
        <w:noProof/>
      </w:rPr>
      <w:t>11</w:t>
    </w:r>
    <w:r w:rsidRPr="009A0DDA">
      <w:rPr>
        <w:rFonts w:ascii="Times New Roman" w:hAnsi="Times New Roman"/>
        <w:b/>
        <w:bCs/>
        <w:sz w:val="24"/>
        <w:szCs w:val="24"/>
      </w:rPr>
      <w:fldChar w:fldCharType="end"/>
    </w:r>
  </w:p>
  <w:p w:rsidR="00213B77" w:rsidRPr="009A0DDA" w:rsidRDefault="00213B77" w:rsidP="00E2262F">
    <w:pPr>
      <w:pStyle w:val="a5"/>
      <w:tabs>
        <w:tab w:val="clear" w:pos="4153"/>
        <w:tab w:val="left" w:pos="0"/>
      </w:tabs>
      <w:rPr>
        <w:rFonts w:ascii="Times New Roman" w:hAnsi="Times New Roman"/>
        <w:sz w:val="21"/>
        <w:szCs w:val="21"/>
      </w:rPr>
    </w:pPr>
    <w:r w:rsidRPr="009A0DDA">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5123180</wp:posOffset>
              </wp:positionH>
              <wp:positionV relativeFrom="paragraph">
                <wp:posOffset>38100</wp:posOffset>
              </wp:positionV>
              <wp:extent cx="1351280" cy="288925"/>
              <wp:effectExtent l="0" t="0" r="0" b="0"/>
              <wp:wrapNone/>
              <wp:docPr id="1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88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B77" w:rsidRPr="00E2262F" w:rsidRDefault="00213B77" w:rsidP="00E60021">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8" o:spid="_x0000_s1029" type="#_x0000_t202" style="position:absolute;margin-left:403.4pt;margin-top:3pt;width:106.4pt;height:22.7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" stroked="f">
              <v:fill opacity="0"/>
              <v:textbox style="mso-fit-shape-to-text:t">
                <w:txbxContent>
                  <w:p w:rsidR="00213B77" w:rsidRPr="00E2262F" w:rsidRDefault="00213B77" w:rsidP="00E60021">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v:textbox>
            </v:shape>
          </w:pict>
        </mc:Fallback>
      </mc:AlternateContent>
    </w:r>
  </w:p>
  <w:p w:rsidR="00213B77" w:rsidRPr="009A0DDA" w:rsidRDefault="00213B77" w:rsidP="00B71A7B">
    <w:pPr>
      <w:pStyle w:val="a5"/>
      <w:tabs>
        <w:tab w:val="clear" w:pos="4153"/>
        <w:tab w:val="left" w:pos="0"/>
      </w:tabs>
      <w:jc w:val="center"/>
      <w:rPr>
        <w:rFonts w:ascii="Times New Roman" w:hAnsi="Times New Roman"/>
      </w:rPr>
    </w:pPr>
    <w:r w:rsidRPr="009A0DDA">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-637540</wp:posOffset>
              </wp:positionH>
              <wp:positionV relativeFrom="paragraph">
                <wp:posOffset>58420</wp:posOffset>
              </wp:positionV>
              <wp:extent cx="3400425" cy="276225"/>
              <wp:effectExtent l="0" t="0" r="9525" b="9525"/>
              <wp:wrapNone/>
              <wp:docPr id="1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B77" w:rsidRPr="00E2262F" w:rsidRDefault="00213B77" w:rsidP="00E60021">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213B77" w:rsidRPr="006664C1" w:rsidRDefault="00213B77" w:rsidP="00E2262F">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0" style="position:absolute;left:0;text-align:left;margin-left:-50.2pt;margin-top:4.6pt;width:267.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" fillcolor="#d8d8d8" stroked="f">
              <v:textbox>
                <w:txbxContent>
                  <w:p w:rsidR="00213B77" w:rsidRPr="00E2262F" w:rsidRDefault="00213B77" w:rsidP="00E60021">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213B77" w:rsidRPr="006664C1" w:rsidRDefault="00213B77" w:rsidP="00E2262F">
                    <w:pPr>
                      <w:spacing w:after="240"/>
                    </w:pPr>
                  </w:p>
                </w:txbxContent>
              </v:textbox>
            </v:rect>
          </w:pict>
        </mc:Fallback>
      </mc:AlternateContent>
    </w:r>
    <w:r w:rsidRPr="009A0DDA">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-540385</wp:posOffset>
              </wp:positionH>
              <wp:positionV relativeFrom="paragraph">
                <wp:posOffset>215265</wp:posOffset>
              </wp:positionV>
              <wp:extent cx="8134985" cy="298450"/>
              <wp:effectExtent l="0" t="0" r="0" b="6350"/>
              <wp:wrapNone/>
              <wp:docPr id="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B77" w:rsidRDefault="00213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1" style="position:absolute;left:0;text-align:left;margin-left:-42.55pt;margin-top:16.95pt;width:640.5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" fillcolor="#17365d" stroked="f">
              <v:textbox>
                <w:txbxContent>
                  <w:p w:rsidR="00213B77" w:rsidRDefault="00213B77"/>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B77" w:rsidRPr="000C09E0" w:rsidRDefault="00213B77">
    <w:pPr>
      <w:pStyle w:val="a5"/>
      <w:jc w:val="right"/>
      <w:rPr>
        <w:rFonts w:ascii="Times New Roman" w:hAnsi="Times New Roman"/>
      </w:rPr>
    </w:pPr>
    <w:r w:rsidRPr="000C09E0">
      <w:rPr>
        <w:rFonts w:ascii="Times New Roman" w:hAnsi="Times New Roman"/>
        <w:lang w:val="zh-CN"/>
      </w:rPr>
      <w:t xml:space="preserve"> </w:t>
    </w:r>
    <w:r w:rsidRPr="000C09E0">
      <w:rPr>
        <w:rFonts w:ascii="Times New Roman" w:hAnsi="Times New Roman"/>
        <w:b/>
        <w:bCs/>
        <w:sz w:val="24"/>
        <w:szCs w:val="24"/>
      </w:rPr>
      <w:fldChar w:fldCharType="begin"/>
    </w:r>
    <w:r w:rsidRPr="000C09E0">
      <w:rPr>
        <w:rFonts w:ascii="Times New Roman" w:hAnsi="Times New Roman"/>
        <w:b/>
        <w:bCs/>
      </w:rPr>
      <w:instrText>PAGE</w:instrText>
    </w:r>
    <w:r w:rsidRPr="000C09E0">
      <w:rPr>
        <w:rFonts w:ascii="Times New Roman" w:hAnsi="Times New Roman"/>
        <w:b/>
        <w:bCs/>
        <w:sz w:val="24"/>
        <w:szCs w:val="24"/>
      </w:rPr>
      <w:fldChar w:fldCharType="separate"/>
    </w:r>
    <w:r w:rsidR="00600DEC">
      <w:rPr>
        <w:rFonts w:ascii="Times New Roman" w:hAnsi="Times New Roman"/>
        <w:b/>
        <w:bCs/>
        <w:noProof/>
      </w:rPr>
      <w:t>11</w:t>
    </w:r>
    <w:r w:rsidRPr="000C09E0">
      <w:rPr>
        <w:rFonts w:ascii="Times New Roman" w:hAnsi="Times New Roman"/>
        <w:b/>
        <w:bCs/>
        <w:sz w:val="24"/>
        <w:szCs w:val="24"/>
      </w:rPr>
      <w:fldChar w:fldCharType="end"/>
    </w:r>
    <w:r w:rsidRPr="000C09E0">
      <w:rPr>
        <w:rFonts w:ascii="Times New Roman" w:hAnsi="Times New Roman"/>
        <w:lang w:val="zh-CN"/>
      </w:rPr>
      <w:t xml:space="preserve"> / </w:t>
    </w:r>
    <w:r w:rsidRPr="000C09E0">
      <w:rPr>
        <w:rFonts w:ascii="Times New Roman" w:hAnsi="Times New Roman"/>
        <w:b/>
        <w:bCs/>
        <w:sz w:val="24"/>
        <w:szCs w:val="24"/>
      </w:rPr>
      <w:fldChar w:fldCharType="begin"/>
    </w:r>
    <w:r w:rsidRPr="000C09E0">
      <w:rPr>
        <w:rFonts w:ascii="Times New Roman" w:hAnsi="Times New Roman"/>
        <w:b/>
        <w:bCs/>
      </w:rPr>
      <w:instrText>NUMPAGES</w:instrText>
    </w:r>
    <w:r w:rsidRPr="000C09E0">
      <w:rPr>
        <w:rFonts w:ascii="Times New Roman" w:hAnsi="Times New Roman"/>
        <w:b/>
        <w:bCs/>
        <w:sz w:val="24"/>
        <w:szCs w:val="24"/>
      </w:rPr>
      <w:fldChar w:fldCharType="separate"/>
    </w:r>
    <w:r w:rsidR="00600DEC">
      <w:rPr>
        <w:rFonts w:ascii="Times New Roman" w:hAnsi="Times New Roman"/>
        <w:b/>
        <w:bCs/>
        <w:noProof/>
      </w:rPr>
      <w:t>11</w:t>
    </w:r>
    <w:r w:rsidRPr="000C09E0">
      <w:rPr>
        <w:rFonts w:ascii="Times New Roman" w:hAnsi="Times New Roman"/>
        <w:b/>
        <w:bCs/>
        <w:sz w:val="24"/>
        <w:szCs w:val="24"/>
      </w:rPr>
      <w:fldChar w:fldCharType="end"/>
    </w:r>
  </w:p>
  <w:p w:rsidR="00213B77" w:rsidRPr="000C09E0" w:rsidRDefault="00213B77" w:rsidP="00E2262F">
    <w:pPr>
      <w:pStyle w:val="a5"/>
      <w:tabs>
        <w:tab w:val="clear" w:pos="4153"/>
        <w:tab w:val="left" w:pos="0"/>
      </w:tabs>
      <w:jc w:val="center"/>
      <w:rPr>
        <w:rFonts w:ascii="Times New Roman" w:hAnsi="Times New Roman"/>
        <w:sz w:val="21"/>
        <w:szCs w:val="21"/>
      </w:rPr>
    </w:pPr>
    <w:r w:rsidRPr="000C09E0">
      <w:rPr>
        <w:rFonts w:ascii="Times New Roman" w:hAnsi="Times New Roman"/>
        <w:noProof/>
      </w:rPr>
      <mc:AlternateContent>
        <mc:Choice Requires="wps">
          <w:drawing>
            <wp:anchor distT="0" distB="0" distL="114300" distR="114300" simplePos="0" relativeHeight="251661312" behindDoc="0" locked="0" layoutInCell="1" allowOverlap="1" wp14:anchorId="34B125CF" wp14:editId="0B04463A">
              <wp:simplePos x="0" y="0"/>
              <wp:positionH relativeFrom="column">
                <wp:posOffset>3959860</wp:posOffset>
              </wp:positionH>
              <wp:positionV relativeFrom="paragraph">
                <wp:posOffset>38100</wp:posOffset>
              </wp:positionV>
              <wp:extent cx="1351280" cy="288925"/>
              <wp:effectExtent l="0" t="0" r="0" b="0"/>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88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B77" w:rsidRPr="00E2262F" w:rsidRDefault="00213B77"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4B125CF" id="_x0000_t202" coordsize="21600,21600" o:spt="202" path="m,l,21600r21600,l21600,xe">
              <v:stroke joinstyle="miter"/>
              <v:path gradientshapeok="t" o:connecttype="rect"/>
            </v:shapetype>
            <v:shape id="_x0000_s1035" type="#_x0000_t202" style="position:absolute;left:0;text-align:left;margin-left:311.8pt;margin-top:3pt;width:106.4pt;height:22.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" stroked="f">
              <v:fill opacity="0"/>
              <v:textbox style="mso-fit-shape-to-text:t">
                <w:txbxContent>
                  <w:p w:rsidR="00213B77" w:rsidRPr="00E2262F" w:rsidRDefault="00213B77"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v:textbox>
            </v:shape>
          </w:pict>
        </mc:Fallback>
      </mc:AlternateContent>
    </w:r>
  </w:p>
  <w:p w:rsidR="00213B77" w:rsidRPr="000C09E0" w:rsidRDefault="00213B77" w:rsidP="00B71A7B">
    <w:pPr>
      <w:pStyle w:val="a5"/>
      <w:tabs>
        <w:tab w:val="clear" w:pos="4153"/>
        <w:tab w:val="left" w:pos="0"/>
      </w:tabs>
      <w:jc w:val="center"/>
      <w:rPr>
        <w:rFonts w:ascii="Times New Roman" w:hAnsi="Times New Roman"/>
      </w:rPr>
    </w:pPr>
    <w:r w:rsidRPr="000C09E0">
      <w:rPr>
        <w:rFonts w:ascii="Times New Roman" w:hAnsi="Times New Roman"/>
        <w:noProof/>
      </w:rPr>
      <mc:AlternateContent>
        <mc:Choice Requires="wps">
          <w:drawing>
            <wp:anchor distT="0" distB="0" distL="114300" distR="114300" simplePos="0" relativeHeight="251663360" behindDoc="0" locked="0" layoutInCell="1" allowOverlap="1" wp14:anchorId="3E06D23F" wp14:editId="26BC970D">
              <wp:simplePos x="0" y="0"/>
              <wp:positionH relativeFrom="column">
                <wp:posOffset>-1149985</wp:posOffset>
              </wp:positionH>
              <wp:positionV relativeFrom="paragraph">
                <wp:posOffset>54610</wp:posOffset>
              </wp:positionV>
              <wp:extent cx="3400425" cy="276225"/>
              <wp:effectExtent l="0" t="0" r="9525" b="9525"/>
              <wp:wrapNone/>
              <wp:docPr id="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B77" w:rsidRPr="00E2262F" w:rsidRDefault="00213B77"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213B77" w:rsidRPr="006664C1" w:rsidRDefault="00213B77" w:rsidP="00E2262F">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6D23F" id="_x0000_s1036" style="position:absolute;left:0;text-align:left;margin-left:-90.55pt;margin-top:4.3pt;width:267.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" fillcolor="#d8d8d8" stroked="f">
              <v:textbox>
                <w:txbxContent>
                  <w:p w:rsidR="00213B77" w:rsidRPr="00E2262F" w:rsidRDefault="00213B77"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213B77" w:rsidRPr="006664C1" w:rsidRDefault="00213B77" w:rsidP="00E2262F">
                    <w:pPr>
                      <w:spacing w:after="240"/>
                    </w:pPr>
                  </w:p>
                </w:txbxContent>
              </v:textbox>
            </v:rect>
          </w:pict>
        </mc:Fallback>
      </mc:AlternateContent>
    </w:r>
    <w:r w:rsidRPr="000C09E0">
      <w:rPr>
        <w:rFonts w:ascii="Times New Roman" w:hAnsi="Times New Roman"/>
        <w:noProof/>
      </w:rPr>
      <mc:AlternateContent>
        <mc:Choice Requires="wps">
          <w:drawing>
            <wp:anchor distT="0" distB="0" distL="114300" distR="114300" simplePos="0" relativeHeight="251662336" behindDoc="0" locked="0" layoutInCell="1" allowOverlap="1" wp14:anchorId="2BFB913C" wp14:editId="6CFF7785">
              <wp:simplePos x="0" y="0"/>
              <wp:positionH relativeFrom="column">
                <wp:posOffset>-1149985</wp:posOffset>
              </wp:positionH>
              <wp:positionV relativeFrom="paragraph">
                <wp:posOffset>267970</wp:posOffset>
              </wp:positionV>
              <wp:extent cx="8134985" cy="298450"/>
              <wp:effectExtent l="0" t="0" r="0" b="6350"/>
              <wp:wrapNone/>
              <wp:docPr id="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B77" w:rsidRDefault="00213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B913C" id="_x0000_s1037" style="position:absolute;left:0;text-align:left;margin-left:-90.55pt;margin-top:21.1pt;width:640.55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" fillcolor="#17365d" stroked="f">
              <v:textbox>
                <w:txbxContent>
                  <w:p w:rsidR="00213B77" w:rsidRDefault="00213B77"/>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6AF" w:rsidRPr="002F3F78" w:rsidRDefault="00BD26AF" w:rsidP="000A57AA">
      <w:r>
        <w:separator/>
      </w:r>
    </w:p>
  </w:footnote>
  <w:footnote w:type="continuationSeparator" w:id="0">
    <w:p w:rsidR="00BD26AF" w:rsidRPr="002F3F78" w:rsidRDefault="00BD26AF" w:rsidP="000A5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B77" w:rsidRPr="00E60021" w:rsidRDefault="00213B77" w:rsidP="00E60021">
    <w:pPr>
      <w:pStyle w:val="13"/>
    </w:pPr>
    <w:r w:rsidRPr="00E60021">
      <w:rPr>
        <w:rFonts w:hint="eastAsia"/>
      </w:rPr>
      <w:t xml:space="preserve">           </w:t>
    </w:r>
    <w:r w:rsidRPr="00E60021">
      <w:rPr>
        <w:noProof/>
      </w:rPr>
      <mc:AlternateContent>
        <mc:Choice Requires="wps">
          <w:drawing>
            <wp:anchor distT="0" distB="0" distL="114300" distR="114300" simplePos="0" relativeHeight="251655168" behindDoc="0" locked="0" layoutInCell="1" allowOverlap="1">
              <wp:simplePos x="0" y="0"/>
              <wp:positionH relativeFrom="column">
                <wp:posOffset>4867910</wp:posOffset>
              </wp:positionH>
              <wp:positionV relativeFrom="paragraph">
                <wp:posOffset>-179705</wp:posOffset>
              </wp:positionV>
              <wp:extent cx="1713865" cy="474980"/>
              <wp:effectExtent l="0" t="0" r="0" b="0"/>
              <wp:wrapNone/>
              <wp:docPr id="1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49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B77" w:rsidRDefault="00213B77" w:rsidP="000E47E7">
                          <w:r w:rsidRPr="005B5035">
                            <w:rPr>
                              <w:noProof/>
                            </w:rPr>
                            <w:drawing>
                              <wp:inline distT="0" distB="0" distL="0" distR="0">
                                <wp:extent cx="1551940" cy="360045"/>
                                <wp:effectExtent l="0" t="0" r="0" b="1905"/>
                                <wp:docPr id="18" name="图片 48" descr="说明: 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940" cy="3600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383.3pt;margin-top:-14.15pt;width:134.95pt;height:3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" stroked="f">
              <v:fill opacity="0"/>
              <v:textbox>
                <w:txbxContent>
                  <w:p w:rsidR="00213B77" w:rsidRDefault="00213B77" w:rsidP="000E47E7">
                    <w:r w:rsidRPr="005B5035">
                      <w:rPr>
                        <w:noProof/>
                      </w:rPr>
                      <w:drawing>
                        <wp:inline distT="0" distB="0" distL="0" distR="0">
                          <wp:extent cx="1551940" cy="360045"/>
                          <wp:effectExtent l="0" t="0" r="0" b="1905"/>
                          <wp:docPr id="18" name="图片 48" descr="说明: 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940" cy="360045"/>
                                  </a:xfrm>
                                  <a:prstGeom prst="rect">
                                    <a:avLst/>
                                  </a:prstGeom>
                                  <a:noFill/>
                                  <a:ln>
                                    <a:noFill/>
                                  </a:ln>
                                </pic:spPr>
                              </pic:pic>
                            </a:graphicData>
                          </a:graphic>
                        </wp:inline>
                      </w:drawing>
                    </w:r>
                  </w:p>
                </w:txbxContent>
              </v:textbox>
            </v:shape>
          </w:pict>
        </mc:Fallback>
      </mc:AlternateContent>
    </w:r>
    <w:r w:rsidRPr="00E60021">
      <w:rPr>
        <w:noProof/>
      </w:rPr>
      <mc:AlternateContent>
        <mc:Choice Requires="wps">
          <w:drawing>
            <wp:anchor distT="0" distB="0" distL="114300" distR="114300" simplePos="0" relativeHeight="251656192" behindDoc="0" locked="0" layoutInCell="1" allowOverlap="1">
              <wp:simplePos x="0" y="0"/>
              <wp:positionH relativeFrom="column">
                <wp:posOffset>-540385</wp:posOffset>
              </wp:positionH>
              <wp:positionV relativeFrom="paragraph">
                <wp:posOffset>15875</wp:posOffset>
              </wp:positionV>
              <wp:extent cx="4981575" cy="382905"/>
              <wp:effectExtent l="0" t="0" r="9525"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382905"/>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9" w:type="dxa"/>
                            <w:tblCellMar>
                              <w:left w:w="0" w:type="dxa"/>
                            </w:tblCellMar>
                            <w:tblLook w:val="04A0" w:firstRow="1" w:lastRow="0" w:firstColumn="1" w:lastColumn="0" w:noHBand="0" w:noVBand="1"/>
                          </w:tblPr>
                          <w:tblGrid>
                            <w:gridCol w:w="2236"/>
                            <w:gridCol w:w="4612"/>
                          </w:tblGrid>
                          <w:tr w:rsidR="00213B77" w:rsidRPr="00463EF9" w:rsidTr="0085225D">
                            <w:trPr>
                              <w:trHeight w:hRule="exact" w:val="23"/>
                            </w:trPr>
                            <w:tc>
                              <w:tcPr>
                                <w:tcW w:w="6971" w:type="dxa"/>
                                <w:gridSpan w:val="2"/>
                                <w:shd w:val="clear" w:color="auto" w:fill="auto"/>
                              </w:tcPr>
                              <w:p w:rsidR="00213B77" w:rsidRPr="00463EF9" w:rsidRDefault="00213B77" w:rsidP="00D72785">
                                <w:pPr>
                                  <w:rPr>
                                    <w:rFonts w:ascii="Times New Roman" w:eastAsia="楷体_GB2312" w:hAnsi="Times New Roman"/>
                                    <w:color w:val="FFFFFF"/>
                                    <w:sz w:val="36"/>
                                    <w:szCs w:val="36"/>
                                  </w:rPr>
                                </w:pPr>
                                <w:r w:rsidRPr="00463EF9">
                                  <w:rPr>
                                    <w:rFonts w:ascii="Times New Roman" w:eastAsia="楷体_GB2312" w:hAnsi="Times New Roman"/>
                                    <w:color w:val="FFFFFF"/>
                                    <w:sz w:val="36"/>
                                    <w:szCs w:val="36"/>
                                  </w:rPr>
                                  <w:t>[Table_Industry]</w:t>
                                </w:r>
                              </w:p>
                            </w:tc>
                          </w:tr>
                          <w:tr w:rsidR="00213B77" w:rsidRPr="00463EF9" w:rsidTr="009C3BA2">
                            <w:tc>
                              <w:tcPr>
                                <w:tcW w:w="2268" w:type="dxa"/>
                                <w:shd w:val="clear" w:color="auto" w:fill="auto"/>
                                <w:tcMar>
                                  <w:left w:w="0" w:type="dxa"/>
                                  <w:right w:w="0" w:type="dxa"/>
                                </w:tcMar>
                              </w:tcPr>
                              <w:p w:rsidR="00213B77" w:rsidRPr="00463EF9" w:rsidRDefault="00213B77" w:rsidP="009C3BA2">
                                <w:pPr>
                                  <w:jc w:val="left"/>
                                  <w:rPr>
                                    <w:rFonts w:ascii="Times New Roman" w:eastAsia="楷体_GB2312" w:hAnsi="Times New Roman"/>
                                    <w:color w:val="FFFFFF"/>
                                    <w:sz w:val="36"/>
                                    <w:szCs w:val="36"/>
                                  </w:rPr>
                                </w:pPr>
                                <w:r>
                                  <w:rPr>
                                    <w:rFonts w:ascii="Times New Roman" w:eastAsia="楷体_GB2312" w:hAnsi="Times New Roman" w:hint="eastAsia"/>
                                    <w:color w:val="FFFFFF"/>
                                    <w:sz w:val="36"/>
                                    <w:szCs w:val="36"/>
                                  </w:rPr>
                                  <w:t>银行</w:t>
                                </w:r>
                              </w:p>
                            </w:tc>
                            <w:tc>
                              <w:tcPr>
                                <w:tcW w:w="4703" w:type="dxa"/>
                                <w:shd w:val="clear" w:color="auto" w:fill="auto"/>
                                <w:tcMar>
                                  <w:left w:w="0" w:type="dxa"/>
                                </w:tcMar>
                              </w:tcPr>
                              <w:p w:rsidR="00213B77" w:rsidRPr="00463EF9" w:rsidRDefault="00213B77" w:rsidP="00D72785">
                                <w:pPr>
                                  <w:rPr>
                                    <w:rFonts w:ascii="Times New Roman" w:eastAsia="楷体_GB2312" w:hAnsi="Times New Roman"/>
                                    <w:color w:val="FFFFFF"/>
                                    <w:sz w:val="36"/>
                                    <w:szCs w:val="36"/>
                                  </w:rPr>
                                </w:pPr>
                                <w:r>
                                  <w:rPr>
                                    <w:rFonts w:ascii="Times New Roman" w:eastAsia="楷体_GB2312" w:hAnsi="Times New Roman" w:hint="eastAsia"/>
                                    <w:color w:val="FFFFFF"/>
                                    <w:sz w:val="36"/>
                                    <w:szCs w:val="36"/>
                                  </w:rPr>
                                  <w:t>行业</w:t>
                                </w:r>
                                <w:r>
                                  <w:rPr>
                                    <w:rFonts w:ascii="Times New Roman" w:eastAsia="楷体_GB2312" w:hAnsi="Times New Roman"/>
                                    <w:color w:val="FFFFFF"/>
                                    <w:sz w:val="36"/>
                                    <w:szCs w:val="36"/>
                                  </w:rPr>
                                  <w:t>深度</w:t>
                                </w:r>
                                <w:r>
                                  <w:rPr>
                                    <w:rFonts w:ascii="Times New Roman" w:eastAsia="楷体_GB2312" w:hAnsi="Times New Roman" w:hint="eastAsia"/>
                                    <w:color w:val="FFFFFF"/>
                                    <w:sz w:val="36"/>
                                    <w:szCs w:val="36"/>
                                  </w:rPr>
                                  <w:t>报告</w:t>
                                </w:r>
                              </w:p>
                            </w:tc>
                          </w:tr>
                        </w:tbl>
                        <w:p w:rsidR="00213B77" w:rsidRPr="009D4109" w:rsidRDefault="00213B77" w:rsidP="00E60021">
                          <w:pPr>
                            <w:ind w:leftChars="337" w:left="708"/>
                            <w:rPr>
                              <w:rFonts w:ascii="楷体_GB2312"/>
                              <w:color w:val="FFFFFF"/>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7" style="position:absolute;left:0;text-align:left;margin-left:-42.55pt;margin-top:1.25pt;width:392.25pt;height:3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" fillcolor="#17365d" stroked="f">
              <v:textbox>
                <w:txbxContent>
                  <w:tbl>
                    <w:tblPr>
                      <w:tblW w:w="0" w:type="auto"/>
                      <w:tblInd w:w="709" w:type="dxa"/>
                      <w:tblCellMar>
                        <w:left w:w="0" w:type="dxa"/>
                      </w:tblCellMar>
                      <w:tblLook w:val="04A0" w:firstRow="1" w:lastRow="0" w:firstColumn="1" w:lastColumn="0" w:noHBand="0" w:noVBand="1"/>
                    </w:tblPr>
                    <w:tblGrid>
                      <w:gridCol w:w="2236"/>
                      <w:gridCol w:w="4612"/>
                    </w:tblGrid>
                    <w:tr w:rsidR="00213B77" w:rsidRPr="00463EF9" w:rsidTr="0085225D">
                      <w:trPr>
                        <w:trHeight w:hRule="exact" w:val="23"/>
                      </w:trPr>
                      <w:tc>
                        <w:tcPr>
                          <w:tcW w:w="6971" w:type="dxa"/>
                          <w:gridSpan w:val="2"/>
                          <w:shd w:val="clear" w:color="auto" w:fill="auto"/>
                        </w:tcPr>
                        <w:p w:rsidR="00213B77" w:rsidRPr="00463EF9" w:rsidRDefault="00213B77" w:rsidP="00D72785">
                          <w:pPr>
                            <w:rPr>
                              <w:rFonts w:ascii="Times New Roman" w:eastAsia="楷体_GB2312" w:hAnsi="Times New Roman"/>
                              <w:color w:val="FFFFFF"/>
                              <w:sz w:val="36"/>
                              <w:szCs w:val="36"/>
                            </w:rPr>
                          </w:pPr>
                          <w:r w:rsidRPr="00463EF9">
                            <w:rPr>
                              <w:rFonts w:ascii="Times New Roman" w:eastAsia="楷体_GB2312" w:hAnsi="Times New Roman"/>
                              <w:color w:val="FFFFFF"/>
                              <w:sz w:val="36"/>
                              <w:szCs w:val="36"/>
                            </w:rPr>
                            <w:t>[Table_Industry]</w:t>
                          </w:r>
                        </w:p>
                      </w:tc>
                    </w:tr>
                    <w:tr w:rsidR="00213B77" w:rsidRPr="00463EF9" w:rsidTr="009C3BA2">
                      <w:tc>
                        <w:tcPr>
                          <w:tcW w:w="2268" w:type="dxa"/>
                          <w:shd w:val="clear" w:color="auto" w:fill="auto"/>
                          <w:tcMar>
                            <w:left w:w="0" w:type="dxa"/>
                            <w:right w:w="0" w:type="dxa"/>
                          </w:tcMar>
                        </w:tcPr>
                        <w:p w:rsidR="00213B77" w:rsidRPr="00463EF9" w:rsidRDefault="00213B77" w:rsidP="009C3BA2">
                          <w:pPr>
                            <w:jc w:val="left"/>
                            <w:rPr>
                              <w:rFonts w:ascii="Times New Roman" w:eastAsia="楷体_GB2312" w:hAnsi="Times New Roman"/>
                              <w:color w:val="FFFFFF"/>
                              <w:sz w:val="36"/>
                              <w:szCs w:val="36"/>
                            </w:rPr>
                          </w:pPr>
                          <w:r>
                            <w:rPr>
                              <w:rFonts w:ascii="Times New Roman" w:eastAsia="楷体_GB2312" w:hAnsi="Times New Roman" w:hint="eastAsia"/>
                              <w:color w:val="FFFFFF"/>
                              <w:sz w:val="36"/>
                              <w:szCs w:val="36"/>
                            </w:rPr>
                            <w:t>银行</w:t>
                          </w:r>
                        </w:p>
                      </w:tc>
                      <w:tc>
                        <w:tcPr>
                          <w:tcW w:w="4703" w:type="dxa"/>
                          <w:shd w:val="clear" w:color="auto" w:fill="auto"/>
                          <w:tcMar>
                            <w:left w:w="0" w:type="dxa"/>
                          </w:tcMar>
                        </w:tcPr>
                        <w:p w:rsidR="00213B77" w:rsidRPr="00463EF9" w:rsidRDefault="00213B77" w:rsidP="00D72785">
                          <w:pPr>
                            <w:rPr>
                              <w:rFonts w:ascii="Times New Roman" w:eastAsia="楷体_GB2312" w:hAnsi="Times New Roman"/>
                              <w:color w:val="FFFFFF"/>
                              <w:sz w:val="36"/>
                              <w:szCs w:val="36"/>
                            </w:rPr>
                          </w:pPr>
                          <w:r>
                            <w:rPr>
                              <w:rFonts w:ascii="Times New Roman" w:eastAsia="楷体_GB2312" w:hAnsi="Times New Roman" w:hint="eastAsia"/>
                              <w:color w:val="FFFFFF"/>
                              <w:sz w:val="36"/>
                              <w:szCs w:val="36"/>
                            </w:rPr>
                            <w:t>行业</w:t>
                          </w:r>
                          <w:r>
                            <w:rPr>
                              <w:rFonts w:ascii="Times New Roman" w:eastAsia="楷体_GB2312" w:hAnsi="Times New Roman"/>
                              <w:color w:val="FFFFFF"/>
                              <w:sz w:val="36"/>
                              <w:szCs w:val="36"/>
                            </w:rPr>
                            <w:t>深度</w:t>
                          </w:r>
                          <w:r>
                            <w:rPr>
                              <w:rFonts w:ascii="Times New Roman" w:eastAsia="楷体_GB2312" w:hAnsi="Times New Roman" w:hint="eastAsia"/>
                              <w:color w:val="FFFFFF"/>
                              <w:sz w:val="36"/>
                              <w:szCs w:val="36"/>
                            </w:rPr>
                            <w:t>报告</w:t>
                          </w:r>
                        </w:p>
                      </w:tc>
                    </w:tr>
                  </w:tbl>
                  <w:p w:rsidR="00213B77" w:rsidRPr="009D4109" w:rsidRDefault="00213B77" w:rsidP="00E60021">
                    <w:pPr>
                      <w:ind w:leftChars="337" w:left="708"/>
                      <w:rPr>
                        <w:rFonts w:ascii="楷体_GB2312"/>
                        <w:color w:val="FFFFFF"/>
                        <w:sz w:val="36"/>
                        <w:szCs w:val="36"/>
                      </w:rPr>
                    </w:pPr>
                  </w:p>
                </w:txbxContent>
              </v:textbox>
            </v:rect>
          </w:pict>
        </mc:Fallback>
      </mc:AlternateContent>
    </w:r>
    <w:r w:rsidRPr="00E60021">
      <w:rPr>
        <w:noProof/>
      </w:rPr>
      <mc:AlternateContent>
        <mc:Choice Requires="wps">
          <w:drawing>
            <wp:anchor distT="0" distB="0" distL="114300" distR="114300" simplePos="0" relativeHeight="251657216" behindDoc="0" locked="0" layoutInCell="1" allowOverlap="1">
              <wp:simplePos x="0" y="0"/>
              <wp:positionH relativeFrom="column">
                <wp:posOffset>-540385</wp:posOffset>
              </wp:positionH>
              <wp:positionV relativeFrom="paragraph">
                <wp:posOffset>-271145</wp:posOffset>
              </wp:positionV>
              <wp:extent cx="4981575" cy="290830"/>
              <wp:effectExtent l="0" t="0" r="9525" b="0"/>
              <wp:wrapNone/>
              <wp:docPr id="14"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29083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6865" w:type="dxa"/>
                            <w:tblInd w:w="709" w:type="dxa"/>
                            <w:tblCellMar>
                              <w:left w:w="0" w:type="dxa"/>
                            </w:tblCellMar>
                            <w:tblLook w:val="04A0" w:firstRow="1" w:lastRow="0" w:firstColumn="1" w:lastColumn="0" w:noHBand="0" w:noVBand="1"/>
                          </w:tblPr>
                          <w:tblGrid>
                            <w:gridCol w:w="3402"/>
                            <w:gridCol w:w="3463"/>
                          </w:tblGrid>
                          <w:tr w:rsidR="00213B77" w:rsidRPr="00C82183" w:rsidTr="0085225D">
                            <w:trPr>
                              <w:trHeight w:hRule="exact" w:val="23"/>
                            </w:trPr>
                            <w:tc>
                              <w:tcPr>
                                <w:tcW w:w="6865" w:type="dxa"/>
                                <w:gridSpan w:val="2"/>
                                <w:shd w:val="clear" w:color="auto" w:fill="auto"/>
                              </w:tcPr>
                              <w:p w:rsidR="00213B77" w:rsidRPr="00C82183" w:rsidRDefault="00213B77" w:rsidP="00E60021">
                                <w:pPr>
                                  <w:ind w:rightChars="34" w:right="71"/>
                                  <w:jc w:val="left"/>
                                  <w:rPr>
                                    <w:rFonts w:ascii="Times New Roman" w:eastAsia="楷体_GB2312" w:hAnsi="Times New Roman"/>
                                    <w:color w:val="17365D"/>
                                    <w:sz w:val="28"/>
                                    <w:szCs w:val="28"/>
                                  </w:rPr>
                                </w:pPr>
                                <w:r w:rsidRPr="00C82183">
                                  <w:rPr>
                                    <w:rFonts w:ascii="Times New Roman" w:eastAsia="楷体_GB2312" w:hAnsi="Times New Roman"/>
                                    <w:color w:val="17365D"/>
                                    <w:sz w:val="28"/>
                                    <w:szCs w:val="28"/>
                                  </w:rPr>
                                  <w:t>[Table_</w:t>
                                </w:r>
                                <w:r w:rsidRPr="00C82183">
                                  <w:rPr>
                                    <w:rFonts w:ascii="Times New Roman" w:eastAsia="楷体_GB2312" w:hAnsi="Times New Roman" w:hint="eastAsia"/>
                                    <w:color w:val="17365D"/>
                                    <w:sz w:val="28"/>
                                    <w:szCs w:val="28"/>
                                  </w:rPr>
                                  <w:t>Industry1</w:t>
                                </w:r>
                                <w:r w:rsidRPr="00C82183">
                                  <w:rPr>
                                    <w:rFonts w:ascii="Times New Roman" w:eastAsia="楷体_GB2312" w:hAnsi="Times New Roman"/>
                                    <w:color w:val="17365D"/>
                                    <w:sz w:val="28"/>
                                    <w:szCs w:val="28"/>
                                  </w:rPr>
                                  <w:t>]</w:t>
                                </w:r>
                              </w:p>
                            </w:tc>
                          </w:tr>
                          <w:tr w:rsidR="00213B77" w:rsidRPr="00C82183" w:rsidTr="0085225D">
                            <w:tc>
                              <w:tcPr>
                                <w:tcW w:w="3402" w:type="dxa"/>
                                <w:shd w:val="clear" w:color="auto" w:fill="auto"/>
                                <w:tcMar>
                                  <w:left w:w="0" w:type="dxa"/>
                                  <w:right w:w="0" w:type="dxa"/>
                                </w:tcMar>
                              </w:tcPr>
                              <w:p w:rsidR="00213B77" w:rsidRPr="00C82183" w:rsidRDefault="00213B77" w:rsidP="00D72785">
                                <w:pPr>
                                  <w:jc w:val="left"/>
                                  <w:rPr>
                                    <w:rFonts w:ascii="Times New Roman" w:eastAsia="楷体_GB2312" w:hAnsi="Times New Roman"/>
                                    <w:color w:val="17365D"/>
                                    <w:sz w:val="28"/>
                                    <w:szCs w:val="28"/>
                                  </w:rPr>
                                </w:pPr>
                                <w:r w:rsidRPr="00C82183">
                                  <w:rPr>
                                    <w:rFonts w:ascii="Times New Roman" w:eastAsia="楷体_GB2312" w:hAnsi="Times New Roman" w:hint="eastAsia"/>
                                    <w:color w:val="17365D"/>
                                    <w:sz w:val="28"/>
                                    <w:szCs w:val="28"/>
                                  </w:rPr>
                                  <w:t>证券研究报告·行业研究·</w:t>
                                </w:r>
                              </w:p>
                            </w:tc>
                            <w:tc>
                              <w:tcPr>
                                <w:tcW w:w="3463" w:type="dxa"/>
                                <w:shd w:val="clear" w:color="auto" w:fill="auto"/>
                              </w:tcPr>
                              <w:p w:rsidR="00213B77" w:rsidRPr="00C82183" w:rsidRDefault="00213B77" w:rsidP="00E60021">
                                <w:pPr>
                                  <w:ind w:rightChars="34" w:right="71"/>
                                  <w:jc w:val="left"/>
                                  <w:rPr>
                                    <w:rFonts w:ascii="Times New Roman" w:eastAsia="楷体_GB2312" w:hAnsi="Times New Roman"/>
                                    <w:color w:val="17365D"/>
                                    <w:sz w:val="28"/>
                                    <w:szCs w:val="28"/>
                                  </w:rPr>
                                </w:pPr>
                                <w:r>
                                  <w:rPr>
                                    <w:rFonts w:ascii="Times New Roman" w:eastAsia="楷体_GB2312" w:hAnsi="Times New Roman" w:hint="eastAsia"/>
                                    <w:color w:val="17365D"/>
                                    <w:sz w:val="28"/>
                                    <w:szCs w:val="28"/>
                                  </w:rPr>
                                  <w:t>银行</w:t>
                                </w:r>
                              </w:p>
                            </w:tc>
                          </w:tr>
                        </w:tbl>
                        <w:p w:rsidR="00213B77" w:rsidRPr="009D4109" w:rsidRDefault="00213B77" w:rsidP="00E60021">
                          <w:pPr>
                            <w:ind w:leftChars="337" w:left="708" w:rightChars="34" w:right="71"/>
                            <w:jc w:val="left"/>
                            <w:rPr>
                              <w:rFonts w:ascii="楷体_GB2312"/>
                              <w:color w:val="000000"/>
                              <w:sz w:val="28"/>
                              <w:szCs w:val="28"/>
                            </w:rPr>
                          </w:pPr>
                        </w:p>
                        <w:p w:rsidR="00213B77" w:rsidRPr="005A59E7" w:rsidRDefault="00213B77" w:rsidP="00E60021">
                          <w:pPr>
                            <w:ind w:leftChars="400" w:left="840"/>
                            <w:jc w:val="left"/>
                            <w:rPr>
                              <w:rFonts w:ascii="楷体" w:eastAsia="楷体" w:hAnsi="楷体"/>
                              <w:color w:val="17365D"/>
                              <w:sz w:val="32"/>
                              <w:szCs w:val="32"/>
                            </w:rPr>
                          </w:pPr>
                        </w:p>
                        <w:p w:rsidR="00213B77" w:rsidRDefault="00213B77" w:rsidP="00E60021">
                          <w:pPr>
                            <w:ind w:leftChars="405" w:left="85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8" style="position:absolute;left:0;text-align:left;margin-left:-42.55pt;margin-top:-21.35pt;width:392.25pt;height:2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" fillcolor="#d8d8d8" stroked="f">
              <v:textbox>
                <w:txbxContent>
                  <w:tbl>
                    <w:tblPr>
                      <w:tblW w:w="6865" w:type="dxa"/>
                      <w:tblInd w:w="709" w:type="dxa"/>
                      <w:tblCellMar>
                        <w:left w:w="0" w:type="dxa"/>
                      </w:tblCellMar>
                      <w:tblLook w:val="04A0" w:firstRow="1" w:lastRow="0" w:firstColumn="1" w:lastColumn="0" w:noHBand="0" w:noVBand="1"/>
                    </w:tblPr>
                    <w:tblGrid>
                      <w:gridCol w:w="3402"/>
                      <w:gridCol w:w="3463"/>
                    </w:tblGrid>
                    <w:tr w:rsidR="00213B77" w:rsidRPr="00C82183" w:rsidTr="0085225D">
                      <w:trPr>
                        <w:trHeight w:hRule="exact" w:val="23"/>
                      </w:trPr>
                      <w:tc>
                        <w:tcPr>
                          <w:tcW w:w="6865" w:type="dxa"/>
                          <w:gridSpan w:val="2"/>
                          <w:shd w:val="clear" w:color="auto" w:fill="auto"/>
                        </w:tcPr>
                        <w:p w:rsidR="00213B77" w:rsidRPr="00C82183" w:rsidRDefault="00213B77" w:rsidP="00E60021">
                          <w:pPr>
                            <w:ind w:rightChars="34" w:right="71"/>
                            <w:jc w:val="left"/>
                            <w:rPr>
                              <w:rFonts w:ascii="Times New Roman" w:eastAsia="楷体_GB2312" w:hAnsi="Times New Roman"/>
                              <w:color w:val="17365D"/>
                              <w:sz w:val="28"/>
                              <w:szCs w:val="28"/>
                            </w:rPr>
                          </w:pPr>
                          <w:r w:rsidRPr="00C82183">
                            <w:rPr>
                              <w:rFonts w:ascii="Times New Roman" w:eastAsia="楷体_GB2312" w:hAnsi="Times New Roman"/>
                              <w:color w:val="17365D"/>
                              <w:sz w:val="28"/>
                              <w:szCs w:val="28"/>
                            </w:rPr>
                            <w:t>[Table_</w:t>
                          </w:r>
                          <w:r w:rsidRPr="00C82183">
                            <w:rPr>
                              <w:rFonts w:ascii="Times New Roman" w:eastAsia="楷体_GB2312" w:hAnsi="Times New Roman" w:hint="eastAsia"/>
                              <w:color w:val="17365D"/>
                              <w:sz w:val="28"/>
                              <w:szCs w:val="28"/>
                            </w:rPr>
                            <w:t>Industry1</w:t>
                          </w:r>
                          <w:r w:rsidRPr="00C82183">
                            <w:rPr>
                              <w:rFonts w:ascii="Times New Roman" w:eastAsia="楷体_GB2312" w:hAnsi="Times New Roman"/>
                              <w:color w:val="17365D"/>
                              <w:sz w:val="28"/>
                              <w:szCs w:val="28"/>
                            </w:rPr>
                            <w:t>]</w:t>
                          </w:r>
                        </w:p>
                      </w:tc>
                    </w:tr>
                    <w:tr w:rsidR="00213B77" w:rsidRPr="00C82183" w:rsidTr="0085225D">
                      <w:tc>
                        <w:tcPr>
                          <w:tcW w:w="3402" w:type="dxa"/>
                          <w:shd w:val="clear" w:color="auto" w:fill="auto"/>
                          <w:tcMar>
                            <w:left w:w="0" w:type="dxa"/>
                            <w:right w:w="0" w:type="dxa"/>
                          </w:tcMar>
                        </w:tcPr>
                        <w:p w:rsidR="00213B77" w:rsidRPr="00C82183" w:rsidRDefault="00213B77" w:rsidP="00D72785">
                          <w:pPr>
                            <w:jc w:val="left"/>
                            <w:rPr>
                              <w:rFonts w:ascii="Times New Roman" w:eastAsia="楷体_GB2312" w:hAnsi="Times New Roman"/>
                              <w:color w:val="17365D"/>
                              <w:sz w:val="28"/>
                              <w:szCs w:val="28"/>
                            </w:rPr>
                          </w:pPr>
                          <w:r w:rsidRPr="00C82183">
                            <w:rPr>
                              <w:rFonts w:ascii="Times New Roman" w:eastAsia="楷体_GB2312" w:hAnsi="Times New Roman" w:hint="eastAsia"/>
                              <w:color w:val="17365D"/>
                              <w:sz w:val="28"/>
                              <w:szCs w:val="28"/>
                            </w:rPr>
                            <w:t>证券研究报告·行业研究·</w:t>
                          </w:r>
                        </w:p>
                      </w:tc>
                      <w:tc>
                        <w:tcPr>
                          <w:tcW w:w="3463" w:type="dxa"/>
                          <w:shd w:val="clear" w:color="auto" w:fill="auto"/>
                        </w:tcPr>
                        <w:p w:rsidR="00213B77" w:rsidRPr="00C82183" w:rsidRDefault="00213B77" w:rsidP="00E60021">
                          <w:pPr>
                            <w:ind w:rightChars="34" w:right="71"/>
                            <w:jc w:val="left"/>
                            <w:rPr>
                              <w:rFonts w:ascii="Times New Roman" w:eastAsia="楷体_GB2312" w:hAnsi="Times New Roman"/>
                              <w:color w:val="17365D"/>
                              <w:sz w:val="28"/>
                              <w:szCs w:val="28"/>
                            </w:rPr>
                          </w:pPr>
                          <w:r>
                            <w:rPr>
                              <w:rFonts w:ascii="Times New Roman" w:eastAsia="楷体_GB2312" w:hAnsi="Times New Roman" w:hint="eastAsia"/>
                              <w:color w:val="17365D"/>
                              <w:sz w:val="28"/>
                              <w:szCs w:val="28"/>
                            </w:rPr>
                            <w:t>银行</w:t>
                          </w:r>
                        </w:p>
                      </w:tc>
                    </w:tr>
                  </w:tbl>
                  <w:p w:rsidR="00213B77" w:rsidRPr="009D4109" w:rsidRDefault="00213B77" w:rsidP="00E60021">
                    <w:pPr>
                      <w:ind w:leftChars="337" w:left="708" w:rightChars="34" w:right="71"/>
                      <w:jc w:val="left"/>
                      <w:rPr>
                        <w:rFonts w:ascii="楷体_GB2312"/>
                        <w:color w:val="000000"/>
                        <w:sz w:val="28"/>
                        <w:szCs w:val="28"/>
                      </w:rPr>
                    </w:pPr>
                  </w:p>
                  <w:p w:rsidR="00213B77" w:rsidRPr="005A59E7" w:rsidRDefault="00213B77" w:rsidP="00E60021">
                    <w:pPr>
                      <w:ind w:leftChars="400" w:left="840"/>
                      <w:jc w:val="left"/>
                      <w:rPr>
                        <w:rFonts w:ascii="楷体" w:eastAsia="楷体" w:hAnsi="楷体"/>
                        <w:color w:val="17365D"/>
                        <w:sz w:val="32"/>
                        <w:szCs w:val="32"/>
                      </w:rPr>
                    </w:pPr>
                  </w:p>
                  <w:p w:rsidR="00213B77" w:rsidRDefault="00213B77" w:rsidP="00E60021">
                    <w:pPr>
                      <w:ind w:leftChars="405" w:left="850"/>
                    </w:pPr>
                  </w:p>
                </w:txbxContent>
              </v:textbox>
            </v:rect>
          </w:pict>
        </mc:Fallback>
      </mc:AlternateContent>
    </w:r>
  </w:p>
  <w:p w:rsidR="00213B77" w:rsidRPr="00E60021" w:rsidRDefault="00213B77" w:rsidP="00E60021">
    <w:pPr>
      <w:pStyle w:val="a3"/>
      <w:pBdr>
        <w:bottom w:val="none" w:sz="0" w:space="0" w:color="auto"/>
      </w:pBdr>
      <w:jc w:val="both"/>
    </w:pPr>
    <w:r w:rsidRPr="00E60021">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B77" w:rsidRDefault="00213B77" w:rsidP="009C0D57">
    <w:pPr>
      <w:pStyle w:val="a3"/>
      <w:jc w:val="both"/>
    </w:pPr>
    <w:r>
      <w:rPr>
        <w:noProof/>
      </w:rPr>
      <mc:AlternateContent>
        <mc:Choice Requires="wps">
          <w:drawing>
            <wp:anchor distT="0" distB="0" distL="114300" distR="114300" simplePos="0" relativeHeight="251664384" behindDoc="0" locked="0" layoutInCell="1" allowOverlap="1" wp14:anchorId="2BCFB3A3" wp14:editId="5A2B4D61">
              <wp:simplePos x="0" y="0"/>
              <wp:positionH relativeFrom="column">
                <wp:posOffset>-694055</wp:posOffset>
              </wp:positionH>
              <wp:positionV relativeFrom="paragraph">
                <wp:posOffset>-130810</wp:posOffset>
              </wp:positionV>
              <wp:extent cx="4407535" cy="342900"/>
              <wp:effectExtent l="0" t="0" r="381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753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88" w:type="dxa"/>
                            <w:tblLook w:val="04A0" w:firstRow="1" w:lastRow="0" w:firstColumn="1" w:lastColumn="0" w:noHBand="0" w:noVBand="1"/>
                          </w:tblPr>
                          <w:tblGrid>
                            <w:gridCol w:w="5989"/>
                          </w:tblGrid>
                          <w:tr w:rsidR="00213B77" w:rsidRPr="00547C68" w:rsidTr="00CA661C">
                            <w:trPr>
                              <w:trHeight w:hRule="exact" w:val="23"/>
                            </w:trPr>
                            <w:tc>
                              <w:tcPr>
                                <w:tcW w:w="5989" w:type="dxa"/>
                                <w:shd w:val="clear" w:color="auto" w:fill="auto"/>
                              </w:tcPr>
                              <w:p w:rsidR="00213B77" w:rsidRPr="00547C68" w:rsidRDefault="00213B77" w:rsidP="00CA661C">
                                <w:pPr>
                                  <w:rPr>
                                    <w:rFonts w:ascii="Times New Roman" w:eastAsia="楷体_GB2312" w:hAnsi="Times New Roman"/>
                                    <w:bCs/>
                                    <w:sz w:val="24"/>
                                    <w:szCs w:val="24"/>
                                  </w:rPr>
                                </w:pPr>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r w:rsidRPr="00547C68">
                                  <w:rPr>
                                    <w:rFonts w:ascii="Times New Roman" w:eastAsia="楷体_GB2312" w:hAnsi="Times New Roman"/>
                                    <w:bCs/>
                                    <w:sz w:val="24"/>
                                    <w:szCs w:val="24"/>
                                  </w:rPr>
                                  <w:t>]</w:t>
                                </w:r>
                              </w:p>
                            </w:tc>
                          </w:tr>
                          <w:tr w:rsidR="00213B77" w:rsidRPr="00547C68" w:rsidTr="00CA661C">
                            <w:tc>
                              <w:tcPr>
                                <w:tcW w:w="5989" w:type="dxa"/>
                                <w:shd w:val="clear" w:color="auto" w:fill="auto"/>
                              </w:tcPr>
                              <w:p w:rsidR="00213B77" w:rsidRPr="00547C68" w:rsidRDefault="00213B77" w:rsidP="00CA661C">
                                <w:pPr>
                                  <w:jc w:val="left"/>
                                  <w:rPr>
                                    <w:rFonts w:ascii="Times New Roman" w:eastAsia="楷体_GB2312" w:hAnsi="Times New Roman"/>
                                    <w:bCs/>
                                    <w:sz w:val="24"/>
                                    <w:szCs w:val="24"/>
                                    <w:u w:val="single" w:color="17365D"/>
                                  </w:rPr>
                                </w:pPr>
                                <w:r>
                                  <w:rPr>
                                    <w:rFonts w:ascii="Times New Roman" w:eastAsia="楷体_GB2312" w:hAnsi="Times New Roman" w:hint="eastAsia"/>
                                    <w:bCs/>
                                    <w:sz w:val="24"/>
                                    <w:szCs w:val="24"/>
                                    <w:u w:val="single" w:color="17365D"/>
                                  </w:rPr>
                                  <w:t>行业深度报告</w:t>
                                </w:r>
                              </w:p>
                            </w:tc>
                          </w:tr>
                        </w:tbl>
                        <w:p w:rsidR="00213B77" w:rsidRDefault="00213B77" w:rsidP="00DB33C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CFB3A3" id="_x0000_t202" coordsize="21600,21600" o:spt="202" path="m,l,21600r21600,l21600,xe">
              <v:stroke joinstyle="miter"/>
              <v:path gradientshapeok="t" o:connecttype="rect"/>
            </v:shapetype>
            <v:shape id="文本框 2" o:spid="_x0000_s1032" type="#_x0000_t202" style="position:absolute;left:0;text-align:left;margin-left:-54.65pt;margin-top:-10.3pt;width:347.0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" stroked="f">
              <v:textbox>
                <w:txbxContent>
                  <w:tbl>
                    <w:tblPr>
                      <w:tblW w:w="0" w:type="auto"/>
                      <w:tblInd w:w="588" w:type="dxa"/>
                      <w:tblLook w:val="04A0" w:firstRow="1" w:lastRow="0" w:firstColumn="1" w:lastColumn="0" w:noHBand="0" w:noVBand="1"/>
                    </w:tblPr>
                    <w:tblGrid>
                      <w:gridCol w:w="5989"/>
                    </w:tblGrid>
                    <w:tr w:rsidR="00213B77" w:rsidRPr="00547C68" w:rsidTr="00CA661C">
                      <w:trPr>
                        <w:trHeight w:hRule="exact" w:val="23"/>
                      </w:trPr>
                      <w:tc>
                        <w:tcPr>
                          <w:tcW w:w="5989" w:type="dxa"/>
                          <w:shd w:val="clear" w:color="auto" w:fill="auto"/>
                        </w:tcPr>
                        <w:p w:rsidR="00213B77" w:rsidRPr="00547C68" w:rsidRDefault="00213B77" w:rsidP="00CA661C">
                          <w:pPr>
                            <w:rPr>
                              <w:rFonts w:ascii="Times New Roman" w:eastAsia="楷体_GB2312" w:hAnsi="Times New Roman"/>
                              <w:bCs/>
                              <w:sz w:val="24"/>
                              <w:szCs w:val="24"/>
                            </w:rPr>
                          </w:pPr>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r w:rsidRPr="00547C68">
                            <w:rPr>
                              <w:rFonts w:ascii="Times New Roman" w:eastAsia="楷体_GB2312" w:hAnsi="Times New Roman"/>
                              <w:bCs/>
                              <w:sz w:val="24"/>
                              <w:szCs w:val="24"/>
                            </w:rPr>
                            <w:t>]</w:t>
                          </w:r>
                        </w:p>
                      </w:tc>
                    </w:tr>
                    <w:tr w:rsidR="00213B77" w:rsidRPr="00547C68" w:rsidTr="00CA661C">
                      <w:tc>
                        <w:tcPr>
                          <w:tcW w:w="5989" w:type="dxa"/>
                          <w:shd w:val="clear" w:color="auto" w:fill="auto"/>
                        </w:tcPr>
                        <w:p w:rsidR="00213B77" w:rsidRPr="00547C68" w:rsidRDefault="00213B77" w:rsidP="00CA661C">
                          <w:pPr>
                            <w:jc w:val="left"/>
                            <w:rPr>
                              <w:rFonts w:ascii="Times New Roman" w:eastAsia="楷体_GB2312" w:hAnsi="Times New Roman"/>
                              <w:bCs/>
                              <w:sz w:val="24"/>
                              <w:szCs w:val="24"/>
                              <w:u w:val="single" w:color="17365D"/>
                            </w:rPr>
                          </w:pPr>
                          <w:r>
                            <w:rPr>
                              <w:rFonts w:ascii="Times New Roman" w:eastAsia="楷体_GB2312" w:hAnsi="Times New Roman" w:hint="eastAsia"/>
                              <w:bCs/>
                              <w:sz w:val="24"/>
                              <w:szCs w:val="24"/>
                              <w:u w:val="single" w:color="17365D"/>
                            </w:rPr>
                            <w:t>行业深度报告</w:t>
                          </w:r>
                        </w:p>
                      </w:tc>
                    </w:tr>
                  </w:tbl>
                  <w:p w:rsidR="00213B77" w:rsidRDefault="00213B77" w:rsidP="00DB33C0"/>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A4461EC" wp14:editId="3C6D72DA">
              <wp:simplePos x="0" y="0"/>
              <wp:positionH relativeFrom="column">
                <wp:posOffset>-1236345</wp:posOffset>
              </wp:positionH>
              <wp:positionV relativeFrom="paragraph">
                <wp:posOffset>-612140</wp:posOffset>
              </wp:positionV>
              <wp:extent cx="7688580" cy="910590"/>
              <wp:effectExtent l="0" t="4445" r="0" b="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8580"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B77" w:rsidRPr="00B552EF" w:rsidRDefault="00213B77" w:rsidP="00DB33C0">
                          <w:pPr>
                            <w:ind w:leftChars="405" w:left="850"/>
                            <w:rPr>
                              <w:rFonts w:ascii="楷体_GB2312" w:eastAsia="楷体_GB2312" w:hAnsi="微软雅黑"/>
                              <w:bCs/>
                              <w:sz w:val="44"/>
                              <w:szCs w:val="44"/>
                            </w:rPr>
                          </w:pPr>
                        </w:p>
                        <w:p w:rsidR="00213B77" w:rsidRPr="00EC7650" w:rsidRDefault="00213B77" w:rsidP="00E60021">
                          <w:pPr>
                            <w:ind w:leftChars="405" w:left="850"/>
                            <w:rPr>
                              <w:rFonts w:ascii="楷体_GB2312" w:eastAsia="楷体_GB2312" w:hAnsi="Times New Roman"/>
                              <w:bCs/>
                              <w:color w:val="17365D"/>
                              <w:sz w:val="24"/>
                              <w:szCs w:val="24"/>
                              <w:u w:val="single" w:color="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461EC" id="Rectangle 20" o:spid="_x0000_s1033" style="position:absolute;left:0;text-align:left;margin-left:-97.35pt;margin-top:-48.2pt;width:605.4pt;height:71.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" stroked="f">
              <v:textbox>
                <w:txbxContent>
                  <w:p w:rsidR="00213B77" w:rsidRPr="00B552EF" w:rsidRDefault="00213B77" w:rsidP="00DB33C0">
                    <w:pPr>
                      <w:ind w:leftChars="405" w:left="850"/>
                      <w:rPr>
                        <w:rFonts w:ascii="楷体_GB2312" w:eastAsia="楷体_GB2312" w:hAnsi="微软雅黑"/>
                        <w:bCs/>
                        <w:sz w:val="44"/>
                        <w:szCs w:val="44"/>
                      </w:rPr>
                    </w:pPr>
                  </w:p>
                  <w:p w:rsidR="00213B77" w:rsidRPr="00EC7650" w:rsidRDefault="00213B77" w:rsidP="00E60021">
                    <w:pPr>
                      <w:ind w:leftChars="405" w:left="850"/>
                      <w:rPr>
                        <w:rFonts w:ascii="楷体_GB2312" w:eastAsia="楷体_GB2312" w:hAnsi="Times New Roman"/>
                        <w:bCs/>
                        <w:color w:val="17365D"/>
                        <w:sz w:val="24"/>
                        <w:szCs w:val="24"/>
                        <w:u w:val="single" w:color="17365D"/>
                      </w:rPr>
                    </w:pP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4DDBE00C" wp14:editId="072F17CF">
              <wp:simplePos x="0" y="0"/>
              <wp:positionH relativeFrom="column">
                <wp:posOffset>4170045</wp:posOffset>
              </wp:positionH>
              <wp:positionV relativeFrom="paragraph">
                <wp:posOffset>-245110</wp:posOffset>
              </wp:positionV>
              <wp:extent cx="1840230" cy="447675"/>
              <wp:effectExtent l="5080" t="0" r="2540" b="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447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B77" w:rsidRDefault="00213B77">
                          <w:r w:rsidRPr="00401AD9">
                            <w:rPr>
                              <w:noProof/>
                            </w:rPr>
                            <w:drawing>
                              <wp:inline distT="0" distB="0" distL="0" distR="0" wp14:anchorId="4C98AFBB" wp14:editId="189A7852">
                                <wp:extent cx="1522730" cy="361950"/>
                                <wp:effectExtent l="0" t="0" r="1270" b="0"/>
                                <wp:docPr id="21"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BE00C" id="Text Box 31" o:spid="_x0000_s1034" type="#_x0000_t202" style="position:absolute;left:0;text-align:left;margin-left:328.35pt;margin-top:-19.3pt;width:144.9pt;height:35.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" stroked="f">
              <v:fill opacity="0"/>
              <v:textbox>
                <w:txbxContent>
                  <w:p w:rsidR="00213B77" w:rsidRDefault="00213B77">
                    <w:r w:rsidRPr="00401AD9">
                      <w:rPr>
                        <w:noProof/>
                      </w:rPr>
                      <w:drawing>
                        <wp:inline distT="0" distB="0" distL="0" distR="0" wp14:anchorId="4C98AFBB" wp14:editId="189A7852">
                          <wp:extent cx="1522730" cy="361950"/>
                          <wp:effectExtent l="0" t="0" r="1270" b="0"/>
                          <wp:docPr id="21"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B77" w:rsidRDefault="00213B77" w:rsidP="009C0D57">
    <w:pPr>
      <w:pStyle w:val="a3"/>
      <w:jc w:val="both"/>
    </w:pPr>
    <w:r>
      <w:rPr>
        <w:noProof/>
      </w:rPr>
      <mc:AlternateContent>
        <mc:Choice Requires="wps">
          <w:drawing>
            <wp:anchor distT="0" distB="0" distL="114300" distR="114300" simplePos="0" relativeHeight="251654144" behindDoc="0" locked="0" layoutInCell="1" allowOverlap="1">
              <wp:simplePos x="0" y="0"/>
              <wp:positionH relativeFrom="column">
                <wp:posOffset>4371975</wp:posOffset>
              </wp:positionH>
              <wp:positionV relativeFrom="paragraph">
                <wp:posOffset>-140335</wp:posOffset>
              </wp:positionV>
              <wp:extent cx="1562100" cy="438150"/>
              <wp:effectExtent l="0" t="0" r="0" b="0"/>
              <wp:wrapNone/>
              <wp:docPr id="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381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B77" w:rsidRDefault="00213B77">
                          <w:r w:rsidRPr="00401AD9">
                            <w:rPr>
                              <w:noProof/>
                            </w:rPr>
                            <w:drawing>
                              <wp:inline distT="0" distB="0" distL="0" distR="0">
                                <wp:extent cx="1522730" cy="361950"/>
                                <wp:effectExtent l="0" t="0" r="127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8" type="#_x0000_t202" style="position:absolute;left:0;text-align:left;margin-left:344.25pt;margin-top:-11.05pt;width:123pt;height: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" stroked="f">
              <v:fill opacity="0"/>
              <v:textbox>
                <w:txbxContent>
                  <w:p w:rsidR="00213B77" w:rsidRDefault="00213B77">
                    <w:r w:rsidRPr="00401AD9">
                      <w:rPr>
                        <w:noProof/>
                      </w:rPr>
                      <w:drawing>
                        <wp:inline distT="0" distB="0" distL="0" distR="0">
                          <wp:extent cx="1522730" cy="361950"/>
                          <wp:effectExtent l="0" t="0" r="127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-1236345</wp:posOffset>
              </wp:positionH>
              <wp:positionV relativeFrom="paragraph">
                <wp:posOffset>-612140</wp:posOffset>
              </wp:positionV>
              <wp:extent cx="7698105" cy="910590"/>
              <wp:effectExtent l="1905" t="4445" r="0" b="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8105"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B77" w:rsidRPr="00B552EF" w:rsidRDefault="00213B77" w:rsidP="00D36E74">
                          <w:pPr>
                            <w:rPr>
                              <w:rFonts w:ascii="楷体_GB2312" w:eastAsia="楷体_GB2312" w:hAnsi="微软雅黑"/>
                              <w:bCs/>
                              <w:sz w:val="44"/>
                              <w:szCs w:val="44"/>
                            </w:rPr>
                          </w:pPr>
                        </w:p>
                        <w:p w:rsidR="00213B77" w:rsidRDefault="00213B77" w:rsidP="002D0D77">
                          <w:pPr>
                            <w:ind w:leftChars="605" w:left="1270" w:firstLine="410"/>
                            <w:rPr>
                              <w:rFonts w:ascii="楷体_GB2312" w:eastAsia="楷体_GB2312" w:hAnsi="楷体"/>
                              <w:bCs/>
                              <w:sz w:val="24"/>
                              <w:szCs w:val="24"/>
                              <w:u w:val="single" w:color="17365D"/>
                            </w:rPr>
                          </w:pPr>
                        </w:p>
                        <w:p w:rsidR="00213B77" w:rsidRPr="009D4109" w:rsidRDefault="00213B77"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r w:rsidRPr="009D4109">
                            <w:rPr>
                              <w:rFonts w:ascii="楷体_GB2312" w:eastAsia="楷体_GB2312" w:hAnsi="楷体" w:hint="eastAsia"/>
                              <w:bCs/>
                              <w:sz w:val="24"/>
                              <w:szCs w:val="24"/>
                              <w:u w:val="single" w:color="17365D"/>
                            </w:rPr>
                            <w:t>免责及评级说明部分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9" style="position:absolute;left:0;text-align:left;margin-left:-97.35pt;margin-top:-48.2pt;width:60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" stroked="f">
              <v:textbox>
                <w:txbxContent>
                  <w:p w:rsidR="00213B77" w:rsidRPr="00B552EF" w:rsidRDefault="00213B77" w:rsidP="00D36E74">
                    <w:pPr>
                      <w:rPr>
                        <w:rFonts w:ascii="楷体_GB2312" w:eastAsia="楷体_GB2312" w:hAnsi="微软雅黑"/>
                        <w:bCs/>
                        <w:sz w:val="44"/>
                        <w:szCs w:val="44"/>
                      </w:rPr>
                    </w:pPr>
                  </w:p>
                  <w:p w:rsidR="00213B77" w:rsidRDefault="00213B77" w:rsidP="002D0D77">
                    <w:pPr>
                      <w:ind w:leftChars="605" w:left="1270" w:firstLine="410"/>
                      <w:rPr>
                        <w:rFonts w:ascii="楷体_GB2312" w:eastAsia="楷体_GB2312" w:hAnsi="楷体"/>
                        <w:bCs/>
                        <w:sz w:val="24"/>
                        <w:szCs w:val="24"/>
                        <w:u w:val="single" w:color="17365D"/>
                      </w:rPr>
                    </w:pPr>
                  </w:p>
                  <w:p w:rsidR="00213B77" w:rsidRPr="009D4109" w:rsidRDefault="00213B77"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r w:rsidRPr="009D4109">
                      <w:rPr>
                        <w:rFonts w:ascii="楷体_GB2312" w:eastAsia="楷体_GB2312" w:hAnsi="楷体" w:hint="eastAsia"/>
                        <w:bCs/>
                        <w:sz w:val="24"/>
                        <w:szCs w:val="24"/>
                        <w:u w:val="single" w:color="17365D"/>
                      </w:rPr>
                      <w:t>免责及评级说明部分</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5133_"/>
      </v:shape>
    </w:pict>
  </w:numPicBullet>
  <w:abstractNum w:abstractNumId="0" w15:restartNumberingAfterBreak="0">
    <w:nsid w:val="04C657F7"/>
    <w:multiLevelType w:val="multilevel"/>
    <w:tmpl w:val="9F702D2C"/>
    <w:lvl w:ilvl="0">
      <w:start w:val="1"/>
      <w:numFmt w:val="decimal"/>
      <w:pStyle w:val="1"/>
      <w:lvlText w:val="%1."/>
      <w:lvlJc w:val="left"/>
      <w:pPr>
        <w:tabs>
          <w:tab w:val="num" w:pos="2126"/>
        </w:tabs>
        <w:ind w:left="2126" w:hanging="425"/>
      </w:pPr>
      <w:rPr>
        <w:rFonts w:hint="eastAsia"/>
      </w:rPr>
    </w:lvl>
    <w:lvl w:ilvl="1">
      <w:start w:val="1"/>
      <w:numFmt w:val="decimal"/>
      <w:pStyle w:val="2"/>
      <w:lvlText w:val="%1.%2."/>
      <w:lvlJc w:val="left"/>
      <w:pPr>
        <w:tabs>
          <w:tab w:val="num" w:pos="-143"/>
        </w:tabs>
        <w:ind w:left="-143" w:hanging="567"/>
      </w:pPr>
      <w:rPr>
        <w:rFonts w:ascii="Times New Roman" w:eastAsia="楷体" w:hAnsi="Times New Roman" w:hint="eastAsia"/>
        <w:color w:val="1F3864" w:themeColor="accent5" w:themeShade="80"/>
        <w:sz w:val="28"/>
        <w:szCs w:val="28"/>
      </w:rPr>
    </w:lvl>
    <w:lvl w:ilvl="2">
      <w:start w:val="1"/>
      <w:numFmt w:val="decimal"/>
      <w:pStyle w:val="3"/>
      <w:lvlText w:val="%1.%2.%3."/>
      <w:lvlJc w:val="left"/>
      <w:pPr>
        <w:tabs>
          <w:tab w:val="num" w:pos="1984"/>
        </w:tabs>
        <w:ind w:left="1984" w:hanging="709"/>
      </w:pPr>
      <w:rPr>
        <w:rFonts w:ascii="Times New Roman" w:eastAsia="楷体" w:hint="eastAsia"/>
        <w:b/>
        <w:bCs w:val="0"/>
        <w:i w:val="0"/>
        <w:iCs w:val="0"/>
        <w:caps w:val="0"/>
        <w:smallCaps w:val="0"/>
        <w:strike w:val="0"/>
        <w:dstrike w:val="0"/>
        <w:noProof w:val="0"/>
        <w:vanish w:val="0"/>
        <w:color w:val="00000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01"/>
        </w:tabs>
        <w:ind w:left="3201" w:hanging="851"/>
      </w:pPr>
      <w:rPr>
        <w:rFonts w:hint="eastAsia"/>
      </w:rPr>
    </w:lvl>
    <w:lvl w:ilvl="4">
      <w:start w:val="1"/>
      <w:numFmt w:val="decimal"/>
      <w:lvlText w:val="%1.%2.%3.%4.%5."/>
      <w:lvlJc w:val="left"/>
      <w:pPr>
        <w:tabs>
          <w:tab w:val="num" w:pos="282"/>
        </w:tabs>
        <w:ind w:left="282" w:hanging="992"/>
      </w:pPr>
      <w:rPr>
        <w:rFonts w:hint="eastAsia"/>
      </w:rPr>
    </w:lvl>
    <w:lvl w:ilvl="5">
      <w:start w:val="1"/>
      <w:numFmt w:val="decimal"/>
      <w:lvlText w:val="%1.%2.%3.%4.%5.%6."/>
      <w:lvlJc w:val="left"/>
      <w:pPr>
        <w:tabs>
          <w:tab w:val="num" w:pos="424"/>
        </w:tabs>
        <w:ind w:left="424" w:hanging="1134"/>
      </w:pPr>
      <w:rPr>
        <w:rFonts w:hint="eastAsia"/>
      </w:rPr>
    </w:lvl>
    <w:lvl w:ilvl="6">
      <w:start w:val="1"/>
      <w:numFmt w:val="decimal"/>
      <w:lvlText w:val="%1.%2.%3.%4.%5.%6.%7."/>
      <w:lvlJc w:val="left"/>
      <w:pPr>
        <w:tabs>
          <w:tab w:val="num" w:pos="566"/>
        </w:tabs>
        <w:ind w:left="566" w:hanging="1276"/>
      </w:pPr>
      <w:rPr>
        <w:rFonts w:hint="eastAsia"/>
      </w:rPr>
    </w:lvl>
    <w:lvl w:ilvl="7">
      <w:start w:val="1"/>
      <w:numFmt w:val="decimal"/>
      <w:lvlText w:val="%1.%2.%3.%4.%5.%6.%7.%8."/>
      <w:lvlJc w:val="left"/>
      <w:pPr>
        <w:tabs>
          <w:tab w:val="num" w:pos="708"/>
        </w:tabs>
        <w:ind w:left="708" w:hanging="1418"/>
      </w:pPr>
      <w:rPr>
        <w:rFonts w:hint="eastAsia"/>
      </w:rPr>
    </w:lvl>
    <w:lvl w:ilvl="8">
      <w:start w:val="1"/>
      <w:numFmt w:val="decimal"/>
      <w:lvlText w:val="%1.%2.%3.%4.%5.%6.%7.%8.%9."/>
      <w:lvlJc w:val="left"/>
      <w:pPr>
        <w:tabs>
          <w:tab w:val="num" w:pos="849"/>
        </w:tabs>
        <w:ind w:left="849" w:hanging="1559"/>
      </w:pPr>
      <w:rPr>
        <w:rFonts w:hint="eastAsia"/>
      </w:rPr>
    </w:lvl>
  </w:abstractNum>
  <w:abstractNum w:abstractNumId="1" w15:restartNumberingAfterBreak="0">
    <w:nsid w:val="10EB4C04"/>
    <w:multiLevelType w:val="hybridMultilevel"/>
    <w:tmpl w:val="06BCD7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600C6C"/>
    <w:multiLevelType w:val="hybridMultilevel"/>
    <w:tmpl w:val="72B02D6E"/>
    <w:lvl w:ilvl="0" w:tplc="54C0D032">
      <w:start w:val="1"/>
      <w:numFmt w:val="bullet"/>
      <w:lvlText w:val="•"/>
      <w:lvlJc w:val="left"/>
      <w:pPr>
        <w:tabs>
          <w:tab w:val="num" w:pos="720"/>
        </w:tabs>
        <w:ind w:left="720" w:hanging="360"/>
      </w:pPr>
      <w:rPr>
        <w:rFonts w:ascii="Arial" w:hAnsi="Arial" w:hint="default"/>
      </w:rPr>
    </w:lvl>
    <w:lvl w:ilvl="1" w:tplc="B4DA8426" w:tentative="1">
      <w:start w:val="1"/>
      <w:numFmt w:val="bullet"/>
      <w:lvlText w:val="•"/>
      <w:lvlJc w:val="left"/>
      <w:pPr>
        <w:tabs>
          <w:tab w:val="num" w:pos="1440"/>
        </w:tabs>
        <w:ind w:left="1440" w:hanging="360"/>
      </w:pPr>
      <w:rPr>
        <w:rFonts w:ascii="Arial" w:hAnsi="Arial" w:hint="default"/>
      </w:rPr>
    </w:lvl>
    <w:lvl w:ilvl="2" w:tplc="1F72E1D6" w:tentative="1">
      <w:start w:val="1"/>
      <w:numFmt w:val="bullet"/>
      <w:lvlText w:val="•"/>
      <w:lvlJc w:val="left"/>
      <w:pPr>
        <w:tabs>
          <w:tab w:val="num" w:pos="2160"/>
        </w:tabs>
        <w:ind w:left="2160" w:hanging="360"/>
      </w:pPr>
      <w:rPr>
        <w:rFonts w:ascii="Arial" w:hAnsi="Arial" w:hint="default"/>
      </w:rPr>
    </w:lvl>
    <w:lvl w:ilvl="3" w:tplc="656C68D2" w:tentative="1">
      <w:start w:val="1"/>
      <w:numFmt w:val="bullet"/>
      <w:lvlText w:val="•"/>
      <w:lvlJc w:val="left"/>
      <w:pPr>
        <w:tabs>
          <w:tab w:val="num" w:pos="2880"/>
        </w:tabs>
        <w:ind w:left="2880" w:hanging="360"/>
      </w:pPr>
      <w:rPr>
        <w:rFonts w:ascii="Arial" w:hAnsi="Arial" w:hint="default"/>
      </w:rPr>
    </w:lvl>
    <w:lvl w:ilvl="4" w:tplc="9D040D22" w:tentative="1">
      <w:start w:val="1"/>
      <w:numFmt w:val="bullet"/>
      <w:lvlText w:val="•"/>
      <w:lvlJc w:val="left"/>
      <w:pPr>
        <w:tabs>
          <w:tab w:val="num" w:pos="3600"/>
        </w:tabs>
        <w:ind w:left="3600" w:hanging="360"/>
      </w:pPr>
      <w:rPr>
        <w:rFonts w:ascii="Arial" w:hAnsi="Arial" w:hint="default"/>
      </w:rPr>
    </w:lvl>
    <w:lvl w:ilvl="5" w:tplc="3FC61D0E" w:tentative="1">
      <w:start w:val="1"/>
      <w:numFmt w:val="bullet"/>
      <w:lvlText w:val="•"/>
      <w:lvlJc w:val="left"/>
      <w:pPr>
        <w:tabs>
          <w:tab w:val="num" w:pos="4320"/>
        </w:tabs>
        <w:ind w:left="4320" w:hanging="360"/>
      </w:pPr>
      <w:rPr>
        <w:rFonts w:ascii="Arial" w:hAnsi="Arial" w:hint="default"/>
      </w:rPr>
    </w:lvl>
    <w:lvl w:ilvl="6" w:tplc="EFC4F1DC" w:tentative="1">
      <w:start w:val="1"/>
      <w:numFmt w:val="bullet"/>
      <w:lvlText w:val="•"/>
      <w:lvlJc w:val="left"/>
      <w:pPr>
        <w:tabs>
          <w:tab w:val="num" w:pos="5040"/>
        </w:tabs>
        <w:ind w:left="5040" w:hanging="360"/>
      </w:pPr>
      <w:rPr>
        <w:rFonts w:ascii="Arial" w:hAnsi="Arial" w:hint="default"/>
      </w:rPr>
    </w:lvl>
    <w:lvl w:ilvl="7" w:tplc="34F86C1C" w:tentative="1">
      <w:start w:val="1"/>
      <w:numFmt w:val="bullet"/>
      <w:lvlText w:val="•"/>
      <w:lvlJc w:val="left"/>
      <w:pPr>
        <w:tabs>
          <w:tab w:val="num" w:pos="5760"/>
        </w:tabs>
        <w:ind w:left="5760" w:hanging="360"/>
      </w:pPr>
      <w:rPr>
        <w:rFonts w:ascii="Arial" w:hAnsi="Arial" w:hint="default"/>
      </w:rPr>
    </w:lvl>
    <w:lvl w:ilvl="8" w:tplc="10026C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4627FE"/>
    <w:multiLevelType w:val="hybridMultilevel"/>
    <w:tmpl w:val="32FA2368"/>
    <w:lvl w:ilvl="0" w:tplc="8674B202">
      <w:start w:val="1"/>
      <w:numFmt w:val="bullet"/>
      <w:lvlText w:val=""/>
      <w:lvlPicBulletId w:val="0"/>
      <w:lvlJc w:val="left"/>
      <w:pPr>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2E61133"/>
    <w:multiLevelType w:val="hybridMultilevel"/>
    <w:tmpl w:val="32A674FE"/>
    <w:lvl w:ilvl="0" w:tplc="8674B202">
      <w:start w:val="1"/>
      <w:numFmt w:val="bullet"/>
      <w:lvlText w:val=""/>
      <w:lvlPicBulletId w:val="0"/>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4E73145"/>
    <w:multiLevelType w:val="hybridMultilevel"/>
    <w:tmpl w:val="CF629DB6"/>
    <w:lvl w:ilvl="0" w:tplc="DAB863FA">
      <w:start w:val="1"/>
      <w:numFmt w:val="bullet"/>
      <w:lvlText w:val=""/>
      <w:lvlPicBulletId w:val="0"/>
      <w:lvlJc w:val="left"/>
      <w:pPr>
        <w:ind w:left="420" w:hanging="420"/>
      </w:pPr>
      <w:rPr>
        <w:rFonts w:ascii="Symbol" w:hAnsi="Symbol" w:hint="default"/>
        <w:color w:val="B6DDE8"/>
      </w:rPr>
    </w:lvl>
    <w:lvl w:ilvl="1" w:tplc="04090003" w:tentative="1">
      <w:start w:val="1"/>
      <w:numFmt w:val="bullet"/>
      <w:lvlText w:val=""/>
      <w:lvlJc w:val="left"/>
      <w:pPr>
        <w:ind w:left="844" w:hanging="420"/>
      </w:pPr>
      <w:rPr>
        <w:rFonts w:ascii="Wingdings" w:hAnsi="Wingdings" w:hint="default"/>
      </w:rPr>
    </w:lvl>
    <w:lvl w:ilvl="2" w:tplc="04090005" w:tentative="1">
      <w:start w:val="1"/>
      <w:numFmt w:val="bullet"/>
      <w:lvlText w:val=""/>
      <w:lvlJc w:val="left"/>
      <w:pPr>
        <w:ind w:left="1264" w:hanging="420"/>
      </w:pPr>
      <w:rPr>
        <w:rFonts w:ascii="Wingdings" w:hAnsi="Wingdings" w:hint="default"/>
      </w:rPr>
    </w:lvl>
    <w:lvl w:ilvl="3" w:tplc="04090001" w:tentative="1">
      <w:start w:val="1"/>
      <w:numFmt w:val="bullet"/>
      <w:lvlText w:val=""/>
      <w:lvlJc w:val="left"/>
      <w:pPr>
        <w:ind w:left="1684" w:hanging="420"/>
      </w:pPr>
      <w:rPr>
        <w:rFonts w:ascii="Wingdings" w:hAnsi="Wingdings" w:hint="default"/>
      </w:rPr>
    </w:lvl>
    <w:lvl w:ilvl="4" w:tplc="04090003" w:tentative="1">
      <w:start w:val="1"/>
      <w:numFmt w:val="bullet"/>
      <w:lvlText w:val=""/>
      <w:lvlJc w:val="left"/>
      <w:pPr>
        <w:ind w:left="2104" w:hanging="420"/>
      </w:pPr>
      <w:rPr>
        <w:rFonts w:ascii="Wingdings" w:hAnsi="Wingdings" w:hint="default"/>
      </w:rPr>
    </w:lvl>
    <w:lvl w:ilvl="5" w:tplc="04090005" w:tentative="1">
      <w:start w:val="1"/>
      <w:numFmt w:val="bullet"/>
      <w:lvlText w:val=""/>
      <w:lvlJc w:val="left"/>
      <w:pPr>
        <w:ind w:left="2524" w:hanging="420"/>
      </w:pPr>
      <w:rPr>
        <w:rFonts w:ascii="Wingdings" w:hAnsi="Wingdings" w:hint="default"/>
      </w:rPr>
    </w:lvl>
    <w:lvl w:ilvl="6" w:tplc="04090001" w:tentative="1">
      <w:start w:val="1"/>
      <w:numFmt w:val="bullet"/>
      <w:lvlText w:val=""/>
      <w:lvlJc w:val="left"/>
      <w:pPr>
        <w:ind w:left="2944" w:hanging="420"/>
      </w:pPr>
      <w:rPr>
        <w:rFonts w:ascii="Wingdings" w:hAnsi="Wingdings" w:hint="default"/>
      </w:rPr>
    </w:lvl>
    <w:lvl w:ilvl="7" w:tplc="04090003" w:tentative="1">
      <w:start w:val="1"/>
      <w:numFmt w:val="bullet"/>
      <w:lvlText w:val=""/>
      <w:lvlJc w:val="left"/>
      <w:pPr>
        <w:ind w:left="3364" w:hanging="420"/>
      </w:pPr>
      <w:rPr>
        <w:rFonts w:ascii="Wingdings" w:hAnsi="Wingdings" w:hint="default"/>
      </w:rPr>
    </w:lvl>
    <w:lvl w:ilvl="8" w:tplc="04090005" w:tentative="1">
      <w:start w:val="1"/>
      <w:numFmt w:val="bullet"/>
      <w:lvlText w:val=""/>
      <w:lvlJc w:val="left"/>
      <w:pPr>
        <w:ind w:left="3784" w:hanging="420"/>
      </w:pPr>
      <w:rPr>
        <w:rFonts w:ascii="Wingdings" w:hAnsi="Wingdings" w:hint="default"/>
      </w:rPr>
    </w:lvl>
  </w:abstractNum>
  <w:abstractNum w:abstractNumId="6" w15:restartNumberingAfterBreak="0">
    <w:nsid w:val="4DCC5BFA"/>
    <w:multiLevelType w:val="hybridMultilevel"/>
    <w:tmpl w:val="AAEA65E4"/>
    <w:lvl w:ilvl="0" w:tplc="0409000F">
      <w:start w:val="1"/>
      <w:numFmt w:val="decimal"/>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7" w15:restartNumberingAfterBreak="0">
    <w:nsid w:val="57F6354F"/>
    <w:multiLevelType w:val="hybridMultilevel"/>
    <w:tmpl w:val="D0F86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4560FB0"/>
    <w:multiLevelType w:val="hybridMultilevel"/>
    <w:tmpl w:val="22A4749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58B5EB8"/>
    <w:multiLevelType w:val="hybridMultilevel"/>
    <w:tmpl w:val="23D64BD2"/>
    <w:lvl w:ilvl="0" w:tplc="95F8E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8F55F8"/>
    <w:multiLevelType w:val="hybridMultilevel"/>
    <w:tmpl w:val="8A6A7AC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0"/>
  </w:num>
  <w:num w:numId="4">
    <w:abstractNumId w:val="0"/>
  </w:num>
  <w:num w:numId="5">
    <w:abstractNumId w:val="0"/>
  </w:num>
  <w:num w:numId="6">
    <w:abstractNumId w:val="5"/>
  </w:num>
  <w:num w:numId="7">
    <w:abstractNumId w:val="9"/>
  </w:num>
  <w:num w:numId="8">
    <w:abstractNumId w:val="3"/>
  </w:num>
  <w:num w:numId="9">
    <w:abstractNumId w:val="0"/>
  </w:num>
  <w:num w:numId="10">
    <w:abstractNumId w:val="0"/>
  </w:num>
  <w:num w:numId="11">
    <w:abstractNumId w:val="0"/>
  </w:num>
  <w:num w:numId="12">
    <w:abstractNumId w:val="0"/>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0"/>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bordersDoNotSurroundHeader/>
  <w:bordersDoNotSurroundFooter/>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BC"/>
    <w:rsid w:val="000009CB"/>
    <w:rsid w:val="000039BB"/>
    <w:rsid w:val="000073F0"/>
    <w:rsid w:val="00014E27"/>
    <w:rsid w:val="00015E51"/>
    <w:rsid w:val="00024872"/>
    <w:rsid w:val="0002769F"/>
    <w:rsid w:val="000325FC"/>
    <w:rsid w:val="00032777"/>
    <w:rsid w:val="00032CC6"/>
    <w:rsid w:val="00033403"/>
    <w:rsid w:val="00036BE3"/>
    <w:rsid w:val="00040D9E"/>
    <w:rsid w:val="000429E4"/>
    <w:rsid w:val="00046C06"/>
    <w:rsid w:val="00063437"/>
    <w:rsid w:val="00064552"/>
    <w:rsid w:val="00066F56"/>
    <w:rsid w:val="00067CBB"/>
    <w:rsid w:val="00071904"/>
    <w:rsid w:val="00072936"/>
    <w:rsid w:val="00073CF5"/>
    <w:rsid w:val="00074285"/>
    <w:rsid w:val="00080BC9"/>
    <w:rsid w:val="000814FE"/>
    <w:rsid w:val="00081819"/>
    <w:rsid w:val="00085C4C"/>
    <w:rsid w:val="0009410E"/>
    <w:rsid w:val="000A2F27"/>
    <w:rsid w:val="000A57AA"/>
    <w:rsid w:val="000A7793"/>
    <w:rsid w:val="000A7A0E"/>
    <w:rsid w:val="000A7E4E"/>
    <w:rsid w:val="000B0804"/>
    <w:rsid w:val="000B1EEA"/>
    <w:rsid w:val="000B6506"/>
    <w:rsid w:val="000B6CC8"/>
    <w:rsid w:val="000B78D8"/>
    <w:rsid w:val="000B7FF8"/>
    <w:rsid w:val="000C09E0"/>
    <w:rsid w:val="000C225D"/>
    <w:rsid w:val="000C275E"/>
    <w:rsid w:val="000C52E2"/>
    <w:rsid w:val="000C6A5D"/>
    <w:rsid w:val="000D6F6E"/>
    <w:rsid w:val="000E47E7"/>
    <w:rsid w:val="000E7BB6"/>
    <w:rsid w:val="000E7BBF"/>
    <w:rsid w:val="000F136D"/>
    <w:rsid w:val="000F273C"/>
    <w:rsid w:val="000F6C5B"/>
    <w:rsid w:val="000F75B5"/>
    <w:rsid w:val="00101EA1"/>
    <w:rsid w:val="001036C5"/>
    <w:rsid w:val="00105E93"/>
    <w:rsid w:val="001115B3"/>
    <w:rsid w:val="001133C0"/>
    <w:rsid w:val="00113C2C"/>
    <w:rsid w:val="0011562E"/>
    <w:rsid w:val="0011722C"/>
    <w:rsid w:val="00121B77"/>
    <w:rsid w:val="001249F0"/>
    <w:rsid w:val="00126266"/>
    <w:rsid w:val="00126527"/>
    <w:rsid w:val="0013437E"/>
    <w:rsid w:val="00163F5B"/>
    <w:rsid w:val="00172580"/>
    <w:rsid w:val="0017298F"/>
    <w:rsid w:val="00177B54"/>
    <w:rsid w:val="00185C6D"/>
    <w:rsid w:val="00186FB7"/>
    <w:rsid w:val="001922BE"/>
    <w:rsid w:val="00197BAF"/>
    <w:rsid w:val="001B3C04"/>
    <w:rsid w:val="001C391D"/>
    <w:rsid w:val="001C4C02"/>
    <w:rsid w:val="001C4DC9"/>
    <w:rsid w:val="001D00B7"/>
    <w:rsid w:val="001D6EBC"/>
    <w:rsid w:val="001D7D4F"/>
    <w:rsid w:val="001E5A6C"/>
    <w:rsid w:val="001E780C"/>
    <w:rsid w:val="001E7A9D"/>
    <w:rsid w:val="001F32B1"/>
    <w:rsid w:val="001F4BFD"/>
    <w:rsid w:val="001F70E8"/>
    <w:rsid w:val="001F7D3C"/>
    <w:rsid w:val="00203988"/>
    <w:rsid w:val="0020450C"/>
    <w:rsid w:val="00204B27"/>
    <w:rsid w:val="00204CA7"/>
    <w:rsid w:val="00213B77"/>
    <w:rsid w:val="00215C2C"/>
    <w:rsid w:val="00217794"/>
    <w:rsid w:val="00220224"/>
    <w:rsid w:val="00225A8C"/>
    <w:rsid w:val="0022721F"/>
    <w:rsid w:val="00230C22"/>
    <w:rsid w:val="00236823"/>
    <w:rsid w:val="00236837"/>
    <w:rsid w:val="00237D9D"/>
    <w:rsid w:val="00240965"/>
    <w:rsid w:val="002418B1"/>
    <w:rsid w:val="002431AF"/>
    <w:rsid w:val="00245BA6"/>
    <w:rsid w:val="00246370"/>
    <w:rsid w:val="00250A0A"/>
    <w:rsid w:val="00251C12"/>
    <w:rsid w:val="00251CD4"/>
    <w:rsid w:val="00254ABD"/>
    <w:rsid w:val="00255535"/>
    <w:rsid w:val="00255589"/>
    <w:rsid w:val="00257131"/>
    <w:rsid w:val="002611F7"/>
    <w:rsid w:val="00261DB6"/>
    <w:rsid w:val="002626A9"/>
    <w:rsid w:val="00262C68"/>
    <w:rsid w:val="00263D62"/>
    <w:rsid w:val="00265712"/>
    <w:rsid w:val="0026760D"/>
    <w:rsid w:val="00272FD5"/>
    <w:rsid w:val="00275B9C"/>
    <w:rsid w:val="00275DD6"/>
    <w:rsid w:val="00276760"/>
    <w:rsid w:val="00296A4D"/>
    <w:rsid w:val="002A5B73"/>
    <w:rsid w:val="002A7C6F"/>
    <w:rsid w:val="002B0C23"/>
    <w:rsid w:val="002B501A"/>
    <w:rsid w:val="002B55A4"/>
    <w:rsid w:val="002B5B20"/>
    <w:rsid w:val="002B70D3"/>
    <w:rsid w:val="002C6F73"/>
    <w:rsid w:val="002C7620"/>
    <w:rsid w:val="002D0D77"/>
    <w:rsid w:val="002D31AB"/>
    <w:rsid w:val="002E0773"/>
    <w:rsid w:val="002E2A35"/>
    <w:rsid w:val="002E38CA"/>
    <w:rsid w:val="002F2704"/>
    <w:rsid w:val="002F6D19"/>
    <w:rsid w:val="0030041C"/>
    <w:rsid w:val="00301283"/>
    <w:rsid w:val="00301D3F"/>
    <w:rsid w:val="003021A7"/>
    <w:rsid w:val="003033EB"/>
    <w:rsid w:val="00304618"/>
    <w:rsid w:val="00304D8B"/>
    <w:rsid w:val="003071B5"/>
    <w:rsid w:val="0031780F"/>
    <w:rsid w:val="00320368"/>
    <w:rsid w:val="003231D7"/>
    <w:rsid w:val="0032625A"/>
    <w:rsid w:val="0033183A"/>
    <w:rsid w:val="00336283"/>
    <w:rsid w:val="00340DF0"/>
    <w:rsid w:val="00342DD5"/>
    <w:rsid w:val="003430AB"/>
    <w:rsid w:val="00343E2B"/>
    <w:rsid w:val="00346E07"/>
    <w:rsid w:val="0035507A"/>
    <w:rsid w:val="003620A0"/>
    <w:rsid w:val="00362299"/>
    <w:rsid w:val="003626DE"/>
    <w:rsid w:val="00362848"/>
    <w:rsid w:val="0036674A"/>
    <w:rsid w:val="00372658"/>
    <w:rsid w:val="00372C12"/>
    <w:rsid w:val="003754D2"/>
    <w:rsid w:val="0037603D"/>
    <w:rsid w:val="00380CEE"/>
    <w:rsid w:val="003862F1"/>
    <w:rsid w:val="00386921"/>
    <w:rsid w:val="0038707B"/>
    <w:rsid w:val="00393416"/>
    <w:rsid w:val="0039440D"/>
    <w:rsid w:val="003958C6"/>
    <w:rsid w:val="00395B9A"/>
    <w:rsid w:val="003A4AEF"/>
    <w:rsid w:val="003A5201"/>
    <w:rsid w:val="003A578F"/>
    <w:rsid w:val="003A6724"/>
    <w:rsid w:val="003B27C7"/>
    <w:rsid w:val="003C3AE9"/>
    <w:rsid w:val="003D04BD"/>
    <w:rsid w:val="003D17FA"/>
    <w:rsid w:val="003D2296"/>
    <w:rsid w:val="003D2316"/>
    <w:rsid w:val="003D567B"/>
    <w:rsid w:val="003D713D"/>
    <w:rsid w:val="003D75BA"/>
    <w:rsid w:val="003E0FC6"/>
    <w:rsid w:val="003E34BC"/>
    <w:rsid w:val="003E3781"/>
    <w:rsid w:val="003E50CB"/>
    <w:rsid w:val="003F53A5"/>
    <w:rsid w:val="003F7AB1"/>
    <w:rsid w:val="00424C2B"/>
    <w:rsid w:val="00425352"/>
    <w:rsid w:val="00426894"/>
    <w:rsid w:val="004276B9"/>
    <w:rsid w:val="00432726"/>
    <w:rsid w:val="00432BAA"/>
    <w:rsid w:val="00434955"/>
    <w:rsid w:val="00436A92"/>
    <w:rsid w:val="004402AE"/>
    <w:rsid w:val="00442CCD"/>
    <w:rsid w:val="00443905"/>
    <w:rsid w:val="00444CA7"/>
    <w:rsid w:val="00445CDF"/>
    <w:rsid w:val="00446BCF"/>
    <w:rsid w:val="00453BC2"/>
    <w:rsid w:val="0045555A"/>
    <w:rsid w:val="00455D7F"/>
    <w:rsid w:val="00462217"/>
    <w:rsid w:val="00463EF9"/>
    <w:rsid w:val="00467F6E"/>
    <w:rsid w:val="00470A55"/>
    <w:rsid w:val="004745CB"/>
    <w:rsid w:val="0048333D"/>
    <w:rsid w:val="00483FF6"/>
    <w:rsid w:val="00491123"/>
    <w:rsid w:val="00491A2B"/>
    <w:rsid w:val="0049265D"/>
    <w:rsid w:val="00494410"/>
    <w:rsid w:val="004A3863"/>
    <w:rsid w:val="004A7354"/>
    <w:rsid w:val="004B38A1"/>
    <w:rsid w:val="004B457F"/>
    <w:rsid w:val="004B49A9"/>
    <w:rsid w:val="004B5260"/>
    <w:rsid w:val="004B66BD"/>
    <w:rsid w:val="004B6A55"/>
    <w:rsid w:val="004B7847"/>
    <w:rsid w:val="004C17C5"/>
    <w:rsid w:val="004C1DBA"/>
    <w:rsid w:val="004C38D9"/>
    <w:rsid w:val="004C5B2C"/>
    <w:rsid w:val="004D25D7"/>
    <w:rsid w:val="004D32BD"/>
    <w:rsid w:val="004D576A"/>
    <w:rsid w:val="004E10D7"/>
    <w:rsid w:val="004E11EF"/>
    <w:rsid w:val="004E2C39"/>
    <w:rsid w:val="004F13DC"/>
    <w:rsid w:val="004F235C"/>
    <w:rsid w:val="004F2D12"/>
    <w:rsid w:val="004F6922"/>
    <w:rsid w:val="004F6A4B"/>
    <w:rsid w:val="0051372F"/>
    <w:rsid w:val="005176EB"/>
    <w:rsid w:val="00521D58"/>
    <w:rsid w:val="00523B34"/>
    <w:rsid w:val="0053086C"/>
    <w:rsid w:val="005347D6"/>
    <w:rsid w:val="00535177"/>
    <w:rsid w:val="00536A35"/>
    <w:rsid w:val="00537B3E"/>
    <w:rsid w:val="00545EB1"/>
    <w:rsid w:val="00546655"/>
    <w:rsid w:val="005466CE"/>
    <w:rsid w:val="00547C68"/>
    <w:rsid w:val="00553038"/>
    <w:rsid w:val="0055650D"/>
    <w:rsid w:val="0055693F"/>
    <w:rsid w:val="00557993"/>
    <w:rsid w:val="00561744"/>
    <w:rsid w:val="00564783"/>
    <w:rsid w:val="00564840"/>
    <w:rsid w:val="0056551A"/>
    <w:rsid w:val="00571E77"/>
    <w:rsid w:val="005727E9"/>
    <w:rsid w:val="005741A5"/>
    <w:rsid w:val="0058218A"/>
    <w:rsid w:val="005836B3"/>
    <w:rsid w:val="005841D9"/>
    <w:rsid w:val="0058425F"/>
    <w:rsid w:val="00585BFA"/>
    <w:rsid w:val="00592061"/>
    <w:rsid w:val="0059474B"/>
    <w:rsid w:val="00595162"/>
    <w:rsid w:val="0059606F"/>
    <w:rsid w:val="0059756C"/>
    <w:rsid w:val="005A549E"/>
    <w:rsid w:val="005A55FC"/>
    <w:rsid w:val="005A59E7"/>
    <w:rsid w:val="005B0698"/>
    <w:rsid w:val="005B2F96"/>
    <w:rsid w:val="005B340E"/>
    <w:rsid w:val="005B4240"/>
    <w:rsid w:val="005B6682"/>
    <w:rsid w:val="005C057C"/>
    <w:rsid w:val="005C37A1"/>
    <w:rsid w:val="005C3EDE"/>
    <w:rsid w:val="005C54C8"/>
    <w:rsid w:val="005C7A5E"/>
    <w:rsid w:val="005E006D"/>
    <w:rsid w:val="005E53E2"/>
    <w:rsid w:val="005F17DE"/>
    <w:rsid w:val="005F4939"/>
    <w:rsid w:val="005F5E77"/>
    <w:rsid w:val="005F7AC1"/>
    <w:rsid w:val="005F7F85"/>
    <w:rsid w:val="00600DEC"/>
    <w:rsid w:val="00602D85"/>
    <w:rsid w:val="00604DFA"/>
    <w:rsid w:val="00607059"/>
    <w:rsid w:val="006161F8"/>
    <w:rsid w:val="00617CEA"/>
    <w:rsid w:val="00625A80"/>
    <w:rsid w:val="00627FEA"/>
    <w:rsid w:val="00631995"/>
    <w:rsid w:val="00632B98"/>
    <w:rsid w:val="00634378"/>
    <w:rsid w:val="00635F91"/>
    <w:rsid w:val="0064739E"/>
    <w:rsid w:val="00655229"/>
    <w:rsid w:val="0066004E"/>
    <w:rsid w:val="00665191"/>
    <w:rsid w:val="006658C0"/>
    <w:rsid w:val="006664C1"/>
    <w:rsid w:val="006676E3"/>
    <w:rsid w:val="00674BA7"/>
    <w:rsid w:val="00677A07"/>
    <w:rsid w:val="00692A14"/>
    <w:rsid w:val="0069355A"/>
    <w:rsid w:val="00693D36"/>
    <w:rsid w:val="006A28F0"/>
    <w:rsid w:val="006A6FE8"/>
    <w:rsid w:val="006B1D65"/>
    <w:rsid w:val="006B624D"/>
    <w:rsid w:val="006C31F8"/>
    <w:rsid w:val="006C5DF3"/>
    <w:rsid w:val="006D38A9"/>
    <w:rsid w:val="006D7E69"/>
    <w:rsid w:val="006E0035"/>
    <w:rsid w:val="006E10C0"/>
    <w:rsid w:val="006E1F96"/>
    <w:rsid w:val="006E3136"/>
    <w:rsid w:val="006E351C"/>
    <w:rsid w:val="006E47B2"/>
    <w:rsid w:val="006E5B84"/>
    <w:rsid w:val="006E63A0"/>
    <w:rsid w:val="006F7712"/>
    <w:rsid w:val="00700221"/>
    <w:rsid w:val="007039E0"/>
    <w:rsid w:val="00704D22"/>
    <w:rsid w:val="00705053"/>
    <w:rsid w:val="00705A39"/>
    <w:rsid w:val="00715EFE"/>
    <w:rsid w:val="00716222"/>
    <w:rsid w:val="00730283"/>
    <w:rsid w:val="0073076A"/>
    <w:rsid w:val="0073514C"/>
    <w:rsid w:val="00737779"/>
    <w:rsid w:val="00745849"/>
    <w:rsid w:val="0074608A"/>
    <w:rsid w:val="0075019D"/>
    <w:rsid w:val="007504F9"/>
    <w:rsid w:val="00750601"/>
    <w:rsid w:val="007523CE"/>
    <w:rsid w:val="007569AB"/>
    <w:rsid w:val="00757113"/>
    <w:rsid w:val="00762595"/>
    <w:rsid w:val="00764F39"/>
    <w:rsid w:val="00766AD6"/>
    <w:rsid w:val="00766B19"/>
    <w:rsid w:val="0077331F"/>
    <w:rsid w:val="00773E03"/>
    <w:rsid w:val="00774E72"/>
    <w:rsid w:val="00777856"/>
    <w:rsid w:val="00780EB5"/>
    <w:rsid w:val="0078163E"/>
    <w:rsid w:val="00784D45"/>
    <w:rsid w:val="00785348"/>
    <w:rsid w:val="00792274"/>
    <w:rsid w:val="0079401A"/>
    <w:rsid w:val="0079737F"/>
    <w:rsid w:val="007A7CB1"/>
    <w:rsid w:val="007B140C"/>
    <w:rsid w:val="007C268C"/>
    <w:rsid w:val="007D093D"/>
    <w:rsid w:val="007D277C"/>
    <w:rsid w:val="007D2D35"/>
    <w:rsid w:val="007D36F1"/>
    <w:rsid w:val="007D39AB"/>
    <w:rsid w:val="007D76A3"/>
    <w:rsid w:val="007E12A5"/>
    <w:rsid w:val="007E2071"/>
    <w:rsid w:val="007F1B42"/>
    <w:rsid w:val="007F1CAB"/>
    <w:rsid w:val="007F2CDB"/>
    <w:rsid w:val="007F62B5"/>
    <w:rsid w:val="00802980"/>
    <w:rsid w:val="008048DD"/>
    <w:rsid w:val="00806F81"/>
    <w:rsid w:val="0081182C"/>
    <w:rsid w:val="008143AA"/>
    <w:rsid w:val="00814561"/>
    <w:rsid w:val="00815570"/>
    <w:rsid w:val="00815D8D"/>
    <w:rsid w:val="00816A7C"/>
    <w:rsid w:val="00822458"/>
    <w:rsid w:val="00830849"/>
    <w:rsid w:val="00833E4A"/>
    <w:rsid w:val="00840142"/>
    <w:rsid w:val="008415FF"/>
    <w:rsid w:val="008518BC"/>
    <w:rsid w:val="0085225D"/>
    <w:rsid w:val="008524C8"/>
    <w:rsid w:val="00856470"/>
    <w:rsid w:val="00857681"/>
    <w:rsid w:val="00861A1D"/>
    <w:rsid w:val="008639AB"/>
    <w:rsid w:val="00875910"/>
    <w:rsid w:val="00881ABC"/>
    <w:rsid w:val="00883211"/>
    <w:rsid w:val="00883B7F"/>
    <w:rsid w:val="008872E0"/>
    <w:rsid w:val="00893B99"/>
    <w:rsid w:val="0089572B"/>
    <w:rsid w:val="008964DB"/>
    <w:rsid w:val="00896931"/>
    <w:rsid w:val="00896D06"/>
    <w:rsid w:val="008A6330"/>
    <w:rsid w:val="008B0AE3"/>
    <w:rsid w:val="008B0B87"/>
    <w:rsid w:val="008B134B"/>
    <w:rsid w:val="008B2AB1"/>
    <w:rsid w:val="008B54CB"/>
    <w:rsid w:val="008B6C22"/>
    <w:rsid w:val="008C307F"/>
    <w:rsid w:val="008C747A"/>
    <w:rsid w:val="008C75C4"/>
    <w:rsid w:val="008C76FE"/>
    <w:rsid w:val="008C7E89"/>
    <w:rsid w:val="008D029B"/>
    <w:rsid w:val="008D1A88"/>
    <w:rsid w:val="008D5A95"/>
    <w:rsid w:val="008E334F"/>
    <w:rsid w:val="008E3910"/>
    <w:rsid w:val="008E5FBD"/>
    <w:rsid w:val="008E7DD4"/>
    <w:rsid w:val="008E7EDF"/>
    <w:rsid w:val="008F2BBC"/>
    <w:rsid w:val="008F6AF6"/>
    <w:rsid w:val="0090009D"/>
    <w:rsid w:val="00901D25"/>
    <w:rsid w:val="00905536"/>
    <w:rsid w:val="00907D0C"/>
    <w:rsid w:val="00914B20"/>
    <w:rsid w:val="0091772C"/>
    <w:rsid w:val="00920C38"/>
    <w:rsid w:val="00933F54"/>
    <w:rsid w:val="00935CD8"/>
    <w:rsid w:val="00937D03"/>
    <w:rsid w:val="00944C79"/>
    <w:rsid w:val="00951B77"/>
    <w:rsid w:val="00953A7D"/>
    <w:rsid w:val="00955D2F"/>
    <w:rsid w:val="00960E47"/>
    <w:rsid w:val="00967034"/>
    <w:rsid w:val="00983B29"/>
    <w:rsid w:val="009850F3"/>
    <w:rsid w:val="00985E7C"/>
    <w:rsid w:val="009872E5"/>
    <w:rsid w:val="00991467"/>
    <w:rsid w:val="00992C57"/>
    <w:rsid w:val="009A0728"/>
    <w:rsid w:val="009A0DDA"/>
    <w:rsid w:val="009A2557"/>
    <w:rsid w:val="009A2E4C"/>
    <w:rsid w:val="009A2F31"/>
    <w:rsid w:val="009A4E73"/>
    <w:rsid w:val="009B16ED"/>
    <w:rsid w:val="009B62D7"/>
    <w:rsid w:val="009C0D57"/>
    <w:rsid w:val="009C3BA2"/>
    <w:rsid w:val="009C4F22"/>
    <w:rsid w:val="009D4109"/>
    <w:rsid w:val="009D76A6"/>
    <w:rsid w:val="009E3C60"/>
    <w:rsid w:val="009E66CD"/>
    <w:rsid w:val="009F12FD"/>
    <w:rsid w:val="009F7732"/>
    <w:rsid w:val="00A07EE3"/>
    <w:rsid w:val="00A11BED"/>
    <w:rsid w:val="00A138B8"/>
    <w:rsid w:val="00A13CC2"/>
    <w:rsid w:val="00A24C4F"/>
    <w:rsid w:val="00A26ACA"/>
    <w:rsid w:val="00A27109"/>
    <w:rsid w:val="00A27AFB"/>
    <w:rsid w:val="00A34B86"/>
    <w:rsid w:val="00A352E2"/>
    <w:rsid w:val="00A359E4"/>
    <w:rsid w:val="00A35BF9"/>
    <w:rsid w:val="00A41180"/>
    <w:rsid w:val="00A43E66"/>
    <w:rsid w:val="00A452D9"/>
    <w:rsid w:val="00A47F72"/>
    <w:rsid w:val="00A51702"/>
    <w:rsid w:val="00A51B11"/>
    <w:rsid w:val="00A5401F"/>
    <w:rsid w:val="00A62A6A"/>
    <w:rsid w:val="00A73F5B"/>
    <w:rsid w:val="00A80421"/>
    <w:rsid w:val="00A83149"/>
    <w:rsid w:val="00A833A3"/>
    <w:rsid w:val="00A846D1"/>
    <w:rsid w:val="00A87D1A"/>
    <w:rsid w:val="00A92504"/>
    <w:rsid w:val="00AA7A92"/>
    <w:rsid w:val="00AB039B"/>
    <w:rsid w:val="00AB2C13"/>
    <w:rsid w:val="00AB2FA1"/>
    <w:rsid w:val="00AB4946"/>
    <w:rsid w:val="00AC284D"/>
    <w:rsid w:val="00AC37B9"/>
    <w:rsid w:val="00AD4230"/>
    <w:rsid w:val="00AF2127"/>
    <w:rsid w:val="00AF36B6"/>
    <w:rsid w:val="00AF48DE"/>
    <w:rsid w:val="00AF7C82"/>
    <w:rsid w:val="00B05A88"/>
    <w:rsid w:val="00B10CDE"/>
    <w:rsid w:val="00B13358"/>
    <w:rsid w:val="00B1618A"/>
    <w:rsid w:val="00B1674A"/>
    <w:rsid w:val="00B27004"/>
    <w:rsid w:val="00B31D34"/>
    <w:rsid w:val="00B34506"/>
    <w:rsid w:val="00B36533"/>
    <w:rsid w:val="00B51DB0"/>
    <w:rsid w:val="00B54EFA"/>
    <w:rsid w:val="00B552EF"/>
    <w:rsid w:val="00B561BE"/>
    <w:rsid w:val="00B60BD4"/>
    <w:rsid w:val="00B67217"/>
    <w:rsid w:val="00B70958"/>
    <w:rsid w:val="00B71A7B"/>
    <w:rsid w:val="00B808D8"/>
    <w:rsid w:val="00B86DBB"/>
    <w:rsid w:val="00B8771E"/>
    <w:rsid w:val="00B936C0"/>
    <w:rsid w:val="00B96860"/>
    <w:rsid w:val="00BA4BCC"/>
    <w:rsid w:val="00BA4DE9"/>
    <w:rsid w:val="00BA6F1D"/>
    <w:rsid w:val="00BA73F5"/>
    <w:rsid w:val="00BB7742"/>
    <w:rsid w:val="00BC0FED"/>
    <w:rsid w:val="00BD26AF"/>
    <w:rsid w:val="00BD7FFC"/>
    <w:rsid w:val="00BF16FD"/>
    <w:rsid w:val="00C02008"/>
    <w:rsid w:val="00C04958"/>
    <w:rsid w:val="00C07354"/>
    <w:rsid w:val="00C10591"/>
    <w:rsid w:val="00C10BA3"/>
    <w:rsid w:val="00C1258D"/>
    <w:rsid w:val="00C13FF9"/>
    <w:rsid w:val="00C152C1"/>
    <w:rsid w:val="00C2169C"/>
    <w:rsid w:val="00C21A0C"/>
    <w:rsid w:val="00C221AD"/>
    <w:rsid w:val="00C32933"/>
    <w:rsid w:val="00C441A8"/>
    <w:rsid w:val="00C456FE"/>
    <w:rsid w:val="00C4747D"/>
    <w:rsid w:val="00C50E6F"/>
    <w:rsid w:val="00C52B41"/>
    <w:rsid w:val="00C6468E"/>
    <w:rsid w:val="00C6487F"/>
    <w:rsid w:val="00C667B0"/>
    <w:rsid w:val="00C67B35"/>
    <w:rsid w:val="00C7211B"/>
    <w:rsid w:val="00C7485A"/>
    <w:rsid w:val="00C75DB8"/>
    <w:rsid w:val="00C77272"/>
    <w:rsid w:val="00C812C5"/>
    <w:rsid w:val="00C82183"/>
    <w:rsid w:val="00C8765D"/>
    <w:rsid w:val="00C8775A"/>
    <w:rsid w:val="00C9266B"/>
    <w:rsid w:val="00CA2E65"/>
    <w:rsid w:val="00CA3D56"/>
    <w:rsid w:val="00CA6386"/>
    <w:rsid w:val="00CA661C"/>
    <w:rsid w:val="00CA6965"/>
    <w:rsid w:val="00CD5B0B"/>
    <w:rsid w:val="00CE44DF"/>
    <w:rsid w:val="00CE45A1"/>
    <w:rsid w:val="00CF14BE"/>
    <w:rsid w:val="00D00B54"/>
    <w:rsid w:val="00D14BC6"/>
    <w:rsid w:val="00D21C65"/>
    <w:rsid w:val="00D269F9"/>
    <w:rsid w:val="00D35F0D"/>
    <w:rsid w:val="00D36E74"/>
    <w:rsid w:val="00D41347"/>
    <w:rsid w:val="00D525D3"/>
    <w:rsid w:val="00D63A6C"/>
    <w:rsid w:val="00D70F49"/>
    <w:rsid w:val="00D71443"/>
    <w:rsid w:val="00D72785"/>
    <w:rsid w:val="00D7322E"/>
    <w:rsid w:val="00D76F9D"/>
    <w:rsid w:val="00D837C5"/>
    <w:rsid w:val="00D87331"/>
    <w:rsid w:val="00D90F6D"/>
    <w:rsid w:val="00D92A05"/>
    <w:rsid w:val="00D9717C"/>
    <w:rsid w:val="00DA7388"/>
    <w:rsid w:val="00DB07BC"/>
    <w:rsid w:val="00DB33C0"/>
    <w:rsid w:val="00DC3703"/>
    <w:rsid w:val="00DD15B3"/>
    <w:rsid w:val="00DD16FE"/>
    <w:rsid w:val="00DD1E83"/>
    <w:rsid w:val="00DD372C"/>
    <w:rsid w:val="00DD40F2"/>
    <w:rsid w:val="00DD46B1"/>
    <w:rsid w:val="00DD53FC"/>
    <w:rsid w:val="00DD614F"/>
    <w:rsid w:val="00DE14F5"/>
    <w:rsid w:val="00DE6FAC"/>
    <w:rsid w:val="00DE7F54"/>
    <w:rsid w:val="00DF013F"/>
    <w:rsid w:val="00DF6837"/>
    <w:rsid w:val="00E04B5E"/>
    <w:rsid w:val="00E05C21"/>
    <w:rsid w:val="00E05D8B"/>
    <w:rsid w:val="00E07B3D"/>
    <w:rsid w:val="00E10204"/>
    <w:rsid w:val="00E11EED"/>
    <w:rsid w:val="00E11FCD"/>
    <w:rsid w:val="00E12662"/>
    <w:rsid w:val="00E176D6"/>
    <w:rsid w:val="00E17E19"/>
    <w:rsid w:val="00E2262F"/>
    <w:rsid w:val="00E24E37"/>
    <w:rsid w:val="00E25DDE"/>
    <w:rsid w:val="00E30108"/>
    <w:rsid w:val="00E32928"/>
    <w:rsid w:val="00E32C74"/>
    <w:rsid w:val="00E331D4"/>
    <w:rsid w:val="00E341AA"/>
    <w:rsid w:val="00E343F3"/>
    <w:rsid w:val="00E344E2"/>
    <w:rsid w:val="00E345CB"/>
    <w:rsid w:val="00E40304"/>
    <w:rsid w:val="00E40443"/>
    <w:rsid w:val="00E45FD0"/>
    <w:rsid w:val="00E51F07"/>
    <w:rsid w:val="00E54603"/>
    <w:rsid w:val="00E57586"/>
    <w:rsid w:val="00E57CAE"/>
    <w:rsid w:val="00E60021"/>
    <w:rsid w:val="00E61E25"/>
    <w:rsid w:val="00E6555E"/>
    <w:rsid w:val="00E667FC"/>
    <w:rsid w:val="00E67A45"/>
    <w:rsid w:val="00E717E6"/>
    <w:rsid w:val="00E81A3A"/>
    <w:rsid w:val="00E82A55"/>
    <w:rsid w:val="00E8413A"/>
    <w:rsid w:val="00E84A35"/>
    <w:rsid w:val="00E84D9E"/>
    <w:rsid w:val="00E85387"/>
    <w:rsid w:val="00E859E1"/>
    <w:rsid w:val="00E924D3"/>
    <w:rsid w:val="00E941A7"/>
    <w:rsid w:val="00E96048"/>
    <w:rsid w:val="00EA30ED"/>
    <w:rsid w:val="00EA5BB7"/>
    <w:rsid w:val="00EA7584"/>
    <w:rsid w:val="00EA7992"/>
    <w:rsid w:val="00EB6AAC"/>
    <w:rsid w:val="00EC1C53"/>
    <w:rsid w:val="00EC2528"/>
    <w:rsid w:val="00EC29E4"/>
    <w:rsid w:val="00EC588B"/>
    <w:rsid w:val="00EC617E"/>
    <w:rsid w:val="00EC7650"/>
    <w:rsid w:val="00ED102F"/>
    <w:rsid w:val="00ED2261"/>
    <w:rsid w:val="00ED32A9"/>
    <w:rsid w:val="00ED6867"/>
    <w:rsid w:val="00EE15F9"/>
    <w:rsid w:val="00EE6041"/>
    <w:rsid w:val="00EE666E"/>
    <w:rsid w:val="00EE6C5B"/>
    <w:rsid w:val="00F02B3E"/>
    <w:rsid w:val="00F0515A"/>
    <w:rsid w:val="00F06FF7"/>
    <w:rsid w:val="00F07EF4"/>
    <w:rsid w:val="00F124D7"/>
    <w:rsid w:val="00F12D4A"/>
    <w:rsid w:val="00F15726"/>
    <w:rsid w:val="00F162DD"/>
    <w:rsid w:val="00F218C4"/>
    <w:rsid w:val="00F30872"/>
    <w:rsid w:val="00F33262"/>
    <w:rsid w:val="00F36990"/>
    <w:rsid w:val="00F37EDD"/>
    <w:rsid w:val="00F441CF"/>
    <w:rsid w:val="00F46EFA"/>
    <w:rsid w:val="00F475EA"/>
    <w:rsid w:val="00F476BF"/>
    <w:rsid w:val="00F513BE"/>
    <w:rsid w:val="00F54955"/>
    <w:rsid w:val="00F60C16"/>
    <w:rsid w:val="00F76257"/>
    <w:rsid w:val="00F779D8"/>
    <w:rsid w:val="00F82851"/>
    <w:rsid w:val="00F873C3"/>
    <w:rsid w:val="00F907A5"/>
    <w:rsid w:val="00F92F31"/>
    <w:rsid w:val="00F942AF"/>
    <w:rsid w:val="00F9575A"/>
    <w:rsid w:val="00FA2AD0"/>
    <w:rsid w:val="00FA4BDA"/>
    <w:rsid w:val="00FB2F01"/>
    <w:rsid w:val="00FB5DFF"/>
    <w:rsid w:val="00FB5F7F"/>
    <w:rsid w:val="00FB70DD"/>
    <w:rsid w:val="00FC0DC1"/>
    <w:rsid w:val="00FC2D7D"/>
    <w:rsid w:val="00FC2DA2"/>
    <w:rsid w:val="00FC7EC9"/>
    <w:rsid w:val="00FD15F2"/>
    <w:rsid w:val="00FD5392"/>
    <w:rsid w:val="00FE1958"/>
    <w:rsid w:val="00FF4F41"/>
    <w:rsid w:val="00FF5541"/>
    <w:rsid w:val="00FF69CE"/>
    <w:rsid w:val="00FF70F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1E304"/>
  <w15:chartTrackingRefBased/>
  <w15:docId w15:val="{14984B98-63D1-4477-9C54-C373D199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136D"/>
    <w:pPr>
      <w:widowControl w:val="0"/>
      <w:jc w:val="both"/>
    </w:pPr>
    <w:rPr>
      <w:kern w:val="2"/>
      <w:sz w:val="21"/>
      <w:szCs w:val="22"/>
    </w:rPr>
  </w:style>
  <w:style w:type="paragraph" w:styleId="1">
    <w:name w:val="heading 1"/>
    <w:basedOn w:val="a"/>
    <w:next w:val="a"/>
    <w:link w:val="10"/>
    <w:qFormat/>
    <w:rsid w:val="00442CCD"/>
    <w:pPr>
      <w:numPr>
        <w:numId w:val="3"/>
      </w:numPr>
      <w:snapToGrid w:val="0"/>
      <w:spacing w:line="288" w:lineRule="auto"/>
      <w:outlineLvl w:val="0"/>
    </w:pPr>
    <w:rPr>
      <w:rFonts w:ascii="Times New Roman" w:eastAsia="楷体" w:hAnsi="Times New Roman"/>
      <w:b/>
      <w:color w:val="17365D"/>
      <w:sz w:val="28"/>
      <w:szCs w:val="28"/>
    </w:rPr>
  </w:style>
  <w:style w:type="paragraph" w:styleId="2">
    <w:name w:val="heading 2"/>
    <w:basedOn w:val="a"/>
    <w:next w:val="a"/>
    <w:qFormat/>
    <w:rsid w:val="00230C22"/>
    <w:pPr>
      <w:numPr>
        <w:ilvl w:val="1"/>
        <w:numId w:val="3"/>
      </w:numPr>
      <w:snapToGrid w:val="0"/>
      <w:spacing w:line="288" w:lineRule="auto"/>
      <w:jc w:val="left"/>
      <w:outlineLvl w:val="1"/>
    </w:pPr>
    <w:rPr>
      <w:rFonts w:ascii="Times New Roman" w:eastAsia="楷体" w:hAnsi="Times New Roman"/>
      <w:b/>
      <w:bCs/>
      <w:color w:val="17365D"/>
      <w:sz w:val="24"/>
      <w:szCs w:val="24"/>
    </w:rPr>
  </w:style>
  <w:style w:type="paragraph" w:styleId="3">
    <w:name w:val="heading 3"/>
    <w:basedOn w:val="a"/>
    <w:next w:val="a"/>
    <w:qFormat/>
    <w:rsid w:val="00F162DD"/>
    <w:pPr>
      <w:numPr>
        <w:ilvl w:val="2"/>
        <w:numId w:val="3"/>
      </w:numPr>
      <w:snapToGrid w:val="0"/>
      <w:spacing w:line="288" w:lineRule="auto"/>
      <w:outlineLvl w:val="2"/>
    </w:pPr>
    <w:rPr>
      <w:rFonts w:ascii="Times New Roman" w:eastAsia="楷体" w:hAnsi="Times New Roman"/>
      <w:b/>
      <w:bCs/>
      <w:color w:val="17365D"/>
      <w:kern w:val="0"/>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BA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74BA7"/>
    <w:rPr>
      <w:rFonts w:ascii="Calibri" w:eastAsia="宋体" w:hAnsi="Calibri" w:cs="Times New Roman"/>
      <w:sz w:val="18"/>
      <w:szCs w:val="18"/>
    </w:rPr>
  </w:style>
  <w:style w:type="paragraph" w:styleId="a5">
    <w:name w:val="footer"/>
    <w:basedOn w:val="a"/>
    <w:link w:val="a6"/>
    <w:uiPriority w:val="99"/>
    <w:unhideWhenUsed/>
    <w:rsid w:val="000A57AA"/>
    <w:pPr>
      <w:tabs>
        <w:tab w:val="center" w:pos="4153"/>
        <w:tab w:val="right" w:pos="8306"/>
      </w:tabs>
      <w:snapToGrid w:val="0"/>
      <w:jc w:val="left"/>
    </w:pPr>
    <w:rPr>
      <w:sz w:val="18"/>
      <w:szCs w:val="18"/>
    </w:rPr>
  </w:style>
  <w:style w:type="character" w:customStyle="1" w:styleId="a6">
    <w:name w:val="页脚 字符"/>
    <w:link w:val="a5"/>
    <w:uiPriority w:val="99"/>
    <w:rsid w:val="000A57AA"/>
    <w:rPr>
      <w:sz w:val="18"/>
      <w:szCs w:val="18"/>
    </w:rPr>
  </w:style>
  <w:style w:type="paragraph" w:styleId="a7">
    <w:name w:val="Balloon Text"/>
    <w:basedOn w:val="a"/>
    <w:link w:val="a8"/>
    <w:uiPriority w:val="99"/>
    <w:semiHidden/>
    <w:unhideWhenUsed/>
    <w:rsid w:val="000A57AA"/>
    <w:rPr>
      <w:sz w:val="18"/>
      <w:szCs w:val="18"/>
    </w:rPr>
  </w:style>
  <w:style w:type="character" w:customStyle="1" w:styleId="a8">
    <w:name w:val="批注框文本 字符"/>
    <w:link w:val="a7"/>
    <w:uiPriority w:val="99"/>
    <w:semiHidden/>
    <w:rsid w:val="000A57AA"/>
    <w:rPr>
      <w:sz w:val="18"/>
      <w:szCs w:val="18"/>
    </w:rPr>
  </w:style>
  <w:style w:type="paragraph" w:customStyle="1" w:styleId="a9">
    <w:name w:val="栏目"/>
    <w:basedOn w:val="a"/>
    <w:rsid w:val="006664C1"/>
    <w:pPr>
      <w:spacing w:before="50"/>
    </w:pPr>
    <w:rPr>
      <w:rFonts w:ascii="Times New Roman" w:eastAsia="楷体_GB2312" w:hAnsi="Times New Roman"/>
      <w:b/>
      <w:sz w:val="24"/>
      <w:szCs w:val="24"/>
    </w:rPr>
  </w:style>
  <w:style w:type="character" w:customStyle="1" w:styleId="11123213">
    <w:name w:val="11123213"/>
    <w:rsid w:val="00983B29"/>
    <w:rPr>
      <w:rFonts w:ascii="Times New Roman" w:eastAsia="楷体_GB2312" w:hAnsi="Times New Roman"/>
    </w:rPr>
  </w:style>
  <w:style w:type="table" w:styleId="aa">
    <w:name w:val="Table Grid"/>
    <w:basedOn w:val="a1"/>
    <w:uiPriority w:val="59"/>
    <w:rsid w:val="006319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caption"/>
    <w:basedOn w:val="a"/>
    <w:next w:val="a"/>
    <w:qFormat/>
    <w:rsid w:val="00F12D4A"/>
    <w:rPr>
      <w:rFonts w:ascii="Arial" w:eastAsia="黑体" w:hAnsi="Arial" w:cs="Arial"/>
      <w:sz w:val="20"/>
      <w:szCs w:val="20"/>
    </w:rPr>
  </w:style>
  <w:style w:type="table" w:styleId="11">
    <w:name w:val="Table Simple 1"/>
    <w:basedOn w:val="a1"/>
    <w:rsid w:val="00F12D4A"/>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c">
    <w:name w:val="annotation text"/>
    <w:basedOn w:val="a"/>
    <w:semiHidden/>
    <w:rsid w:val="00875910"/>
    <w:pPr>
      <w:jc w:val="left"/>
    </w:pPr>
    <w:rPr>
      <w:rFonts w:ascii="Times New Roman" w:hAnsi="Times New Roman"/>
      <w:szCs w:val="24"/>
    </w:rPr>
  </w:style>
  <w:style w:type="character" w:styleId="ad">
    <w:name w:val="annotation reference"/>
    <w:semiHidden/>
    <w:rsid w:val="00875910"/>
    <w:rPr>
      <w:sz w:val="21"/>
      <w:szCs w:val="21"/>
    </w:rPr>
  </w:style>
  <w:style w:type="character" w:customStyle="1" w:styleId="10">
    <w:name w:val="标题 1 字符"/>
    <w:link w:val="1"/>
    <w:rsid w:val="00442CCD"/>
    <w:rPr>
      <w:rFonts w:ascii="Times New Roman" w:eastAsia="楷体" w:hAnsi="Times New Roman"/>
      <w:b/>
      <w:color w:val="17365D"/>
      <w:kern w:val="2"/>
      <w:sz w:val="28"/>
      <w:szCs w:val="28"/>
    </w:rPr>
  </w:style>
  <w:style w:type="paragraph" w:styleId="12">
    <w:name w:val="toc 1"/>
    <w:basedOn w:val="a"/>
    <w:next w:val="a"/>
    <w:autoRedefine/>
    <w:uiPriority w:val="39"/>
    <w:unhideWhenUsed/>
    <w:rsid w:val="003F53A5"/>
    <w:pPr>
      <w:tabs>
        <w:tab w:val="left" w:pos="420"/>
        <w:tab w:val="left" w:pos="2164"/>
        <w:tab w:val="right" w:leader="dot" w:pos="9214"/>
        <w:tab w:val="right" w:leader="dot" w:pos="9356"/>
        <w:tab w:val="right" w:leader="dot" w:pos="9498"/>
      </w:tabs>
      <w:snapToGrid w:val="0"/>
      <w:spacing w:line="288" w:lineRule="auto"/>
      <w:ind w:leftChars="810" w:left="1701" w:right="-286"/>
      <w:jc w:val="left"/>
    </w:pPr>
    <w:rPr>
      <w:rFonts w:ascii="微软雅黑" w:eastAsia="微软雅黑" w:hAnsi="微软雅黑"/>
      <w:b/>
      <w:noProof/>
      <w:sz w:val="28"/>
      <w:szCs w:val="28"/>
    </w:rPr>
  </w:style>
  <w:style w:type="paragraph" w:styleId="20">
    <w:name w:val="toc 2"/>
    <w:basedOn w:val="a"/>
    <w:next w:val="a"/>
    <w:autoRedefine/>
    <w:uiPriority w:val="39"/>
    <w:unhideWhenUsed/>
    <w:rsid w:val="003F53A5"/>
    <w:pPr>
      <w:tabs>
        <w:tab w:val="left" w:pos="1050"/>
        <w:tab w:val="left" w:pos="2308"/>
        <w:tab w:val="left" w:pos="7088"/>
        <w:tab w:val="left" w:pos="7230"/>
        <w:tab w:val="left" w:pos="7371"/>
        <w:tab w:val="left" w:pos="7513"/>
        <w:tab w:val="left" w:pos="7655"/>
        <w:tab w:val="left" w:pos="7797"/>
        <w:tab w:val="left" w:pos="7938"/>
        <w:tab w:val="left" w:pos="8080"/>
        <w:tab w:val="left" w:pos="8222"/>
        <w:tab w:val="left" w:pos="8364"/>
        <w:tab w:val="left" w:pos="8505"/>
        <w:tab w:val="left" w:pos="8647"/>
        <w:tab w:val="left" w:pos="8789"/>
        <w:tab w:val="left" w:pos="8931"/>
        <w:tab w:val="right" w:leader="dot" w:pos="9072"/>
        <w:tab w:val="right" w:leader="dot" w:pos="9214"/>
        <w:tab w:val="right" w:leader="dot" w:pos="9356"/>
        <w:tab w:val="right" w:leader="dot" w:pos="9498"/>
      </w:tabs>
      <w:snapToGrid w:val="0"/>
      <w:spacing w:line="288" w:lineRule="auto"/>
      <w:ind w:leftChars="742" w:left="1558" w:firstLineChars="117" w:firstLine="281"/>
      <w:jc w:val="left"/>
    </w:pPr>
    <w:rPr>
      <w:rFonts w:ascii="微软雅黑" w:eastAsia="微软雅黑" w:hAnsi="微软雅黑"/>
      <w:noProof/>
      <w:sz w:val="24"/>
      <w:szCs w:val="24"/>
    </w:rPr>
  </w:style>
  <w:style w:type="paragraph" w:styleId="30">
    <w:name w:val="toc 3"/>
    <w:basedOn w:val="a"/>
    <w:next w:val="a"/>
    <w:autoRedefine/>
    <w:uiPriority w:val="39"/>
    <w:unhideWhenUsed/>
    <w:rsid w:val="00AF36B6"/>
    <w:pPr>
      <w:tabs>
        <w:tab w:val="left" w:pos="1701"/>
        <w:tab w:val="right" w:leader="dot" w:pos="8364"/>
      </w:tabs>
      <w:ind w:leftChars="810" w:left="1701" w:rightChars="-27" w:right="-57"/>
      <w:jc w:val="left"/>
    </w:pPr>
  </w:style>
  <w:style w:type="character" w:styleId="ae">
    <w:name w:val="Hyperlink"/>
    <w:uiPriority w:val="99"/>
    <w:unhideWhenUsed/>
    <w:rsid w:val="00955D2F"/>
    <w:rPr>
      <w:color w:val="0000FF"/>
      <w:u w:val="single"/>
    </w:rPr>
  </w:style>
  <w:style w:type="paragraph" w:styleId="af">
    <w:name w:val="table of figures"/>
    <w:basedOn w:val="a"/>
    <w:next w:val="a"/>
    <w:uiPriority w:val="99"/>
    <w:unhideWhenUsed/>
    <w:rsid w:val="00692A14"/>
    <w:pPr>
      <w:ind w:left="2688" w:hanging="420"/>
    </w:pPr>
  </w:style>
  <w:style w:type="paragraph" w:styleId="TOC">
    <w:name w:val="TOC Heading"/>
    <w:basedOn w:val="1"/>
    <w:next w:val="a"/>
    <w:uiPriority w:val="39"/>
    <w:unhideWhenUsed/>
    <w:qFormat/>
    <w:rsid w:val="00AF36B6"/>
    <w:pPr>
      <w:keepNext/>
      <w:keepLines/>
      <w:widowControl/>
      <w:numPr>
        <w:numId w:val="0"/>
      </w:numPr>
      <w:snapToGrid/>
      <w:spacing w:before="480" w:line="276" w:lineRule="auto"/>
      <w:jc w:val="left"/>
      <w:outlineLvl w:val="9"/>
    </w:pPr>
    <w:rPr>
      <w:rFonts w:ascii="Cambria" w:eastAsia="宋体" w:hAnsi="Cambria"/>
      <w:bCs/>
      <w:kern w:val="0"/>
    </w:rPr>
  </w:style>
  <w:style w:type="paragraph" w:styleId="af0">
    <w:name w:val="List Paragraph"/>
    <w:basedOn w:val="a"/>
    <w:uiPriority w:val="34"/>
    <w:qFormat/>
    <w:rsid w:val="00E6555E"/>
    <w:pPr>
      <w:ind w:firstLineChars="200" w:firstLine="420"/>
    </w:pPr>
  </w:style>
  <w:style w:type="paragraph" w:customStyle="1" w:styleId="13">
    <w:name w:val="样式1"/>
    <w:basedOn w:val="a3"/>
    <w:qFormat/>
    <w:rsid w:val="000E47E7"/>
    <w:pPr>
      <w:pBdr>
        <w:bottom w:val="none" w:sz="0" w:space="0" w:color="auto"/>
      </w:pBdr>
      <w:ind w:left="8400" w:hanging="8400"/>
      <w:jc w:val="both"/>
    </w:pPr>
    <w:rPr>
      <w:rFonts w:ascii="Times New Roman" w:eastAsia="楷体_GB2312" w:hAnsi="Times New Roman"/>
    </w:rPr>
  </w:style>
  <w:style w:type="paragraph" w:customStyle="1" w:styleId="af1">
    <w:name w:val="东吴_报告主标题"/>
    <w:basedOn w:val="a"/>
    <w:qFormat/>
    <w:rsid w:val="000E47E7"/>
    <w:pPr>
      <w:snapToGrid w:val="0"/>
      <w:spacing w:beforeLines="30" w:before="30"/>
    </w:pPr>
    <w:rPr>
      <w:rFonts w:ascii="Times New Roman" w:eastAsia="楷体_GB2312" w:hAnsi="Times New Roman"/>
      <w:b/>
      <w:bCs/>
      <w:color w:val="17365D"/>
      <w:sz w:val="36"/>
      <w:szCs w:val="36"/>
    </w:rPr>
  </w:style>
  <w:style w:type="paragraph" w:customStyle="1" w:styleId="af2">
    <w:name w:val="东吴_评级"/>
    <w:basedOn w:val="a"/>
    <w:qFormat/>
    <w:rsid w:val="000E47E7"/>
    <w:pPr>
      <w:snapToGrid w:val="0"/>
    </w:pPr>
    <w:rPr>
      <w:rFonts w:ascii="Times New Roman" w:eastAsia="楷体_GB2312" w:hAnsi="Times New Roman"/>
      <w:bCs/>
      <w:color w:val="17365D"/>
      <w:sz w:val="32"/>
      <w:szCs w:val="32"/>
    </w:rPr>
  </w:style>
  <w:style w:type="paragraph" w:customStyle="1" w:styleId="af3">
    <w:name w:val="东吴_摘要"/>
    <w:basedOn w:val="a"/>
    <w:qFormat/>
    <w:rsid w:val="000E47E7"/>
    <w:pPr>
      <w:adjustRightInd w:val="0"/>
      <w:snapToGrid w:val="0"/>
    </w:pPr>
    <w:rPr>
      <w:rFonts w:ascii="Times New Roman" w:eastAsia="楷体_GB2312" w:hAnsi="Times New Roman"/>
      <w:color w:val="000000"/>
      <w:szCs w:val="24"/>
    </w:rPr>
  </w:style>
  <w:style w:type="paragraph" w:customStyle="1" w:styleId="af4">
    <w:name w:val="东吴_相关研究"/>
    <w:basedOn w:val="af0"/>
    <w:qFormat/>
    <w:rsid w:val="000E47E7"/>
    <w:pPr>
      <w:snapToGrid w:val="0"/>
      <w:ind w:left="360" w:right="-2" w:firstLineChars="0" w:firstLine="0"/>
      <w:jc w:val="left"/>
    </w:pPr>
    <w:rPr>
      <w:rFonts w:ascii="Times New Roman" w:eastAsia="楷体_GB2312" w:hAnsi="Times New Roman"/>
      <w:b/>
      <w:bCs/>
      <w:szCs w:val="21"/>
    </w:rPr>
  </w:style>
  <w:style w:type="paragraph" w:styleId="af5">
    <w:name w:val="Normal (Web)"/>
    <w:basedOn w:val="a"/>
    <w:uiPriority w:val="99"/>
    <w:unhideWhenUsed/>
    <w:rsid w:val="002C6F7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0663">
      <w:bodyDiv w:val="1"/>
      <w:marLeft w:val="0"/>
      <w:marRight w:val="0"/>
      <w:marTop w:val="0"/>
      <w:marBottom w:val="0"/>
      <w:divBdr>
        <w:top w:val="none" w:sz="0" w:space="0" w:color="auto"/>
        <w:left w:val="none" w:sz="0" w:space="0" w:color="auto"/>
        <w:bottom w:val="none" w:sz="0" w:space="0" w:color="auto"/>
        <w:right w:val="none" w:sz="0" w:space="0" w:color="auto"/>
      </w:divBdr>
    </w:div>
    <w:div w:id="176357434">
      <w:bodyDiv w:val="1"/>
      <w:marLeft w:val="0"/>
      <w:marRight w:val="0"/>
      <w:marTop w:val="0"/>
      <w:marBottom w:val="0"/>
      <w:divBdr>
        <w:top w:val="none" w:sz="0" w:space="0" w:color="auto"/>
        <w:left w:val="none" w:sz="0" w:space="0" w:color="auto"/>
        <w:bottom w:val="none" w:sz="0" w:space="0" w:color="auto"/>
        <w:right w:val="none" w:sz="0" w:space="0" w:color="auto"/>
      </w:divBdr>
      <w:divsChild>
        <w:div w:id="1830051868">
          <w:marLeft w:val="0"/>
          <w:marRight w:val="0"/>
          <w:marTop w:val="58"/>
          <w:marBottom w:val="58"/>
          <w:divBdr>
            <w:top w:val="none" w:sz="0" w:space="0" w:color="auto"/>
            <w:left w:val="none" w:sz="0" w:space="0" w:color="auto"/>
            <w:bottom w:val="none" w:sz="0" w:space="0" w:color="auto"/>
            <w:right w:val="none" w:sz="0" w:space="0" w:color="auto"/>
          </w:divBdr>
        </w:div>
        <w:div w:id="170612108">
          <w:marLeft w:val="0"/>
          <w:marRight w:val="0"/>
          <w:marTop w:val="58"/>
          <w:marBottom w:val="58"/>
          <w:divBdr>
            <w:top w:val="none" w:sz="0" w:space="0" w:color="auto"/>
            <w:left w:val="none" w:sz="0" w:space="0" w:color="auto"/>
            <w:bottom w:val="none" w:sz="0" w:space="0" w:color="auto"/>
            <w:right w:val="none" w:sz="0" w:space="0" w:color="auto"/>
          </w:divBdr>
        </w:div>
      </w:divsChild>
    </w:div>
    <w:div w:id="202063333">
      <w:bodyDiv w:val="1"/>
      <w:marLeft w:val="0"/>
      <w:marRight w:val="0"/>
      <w:marTop w:val="0"/>
      <w:marBottom w:val="0"/>
      <w:divBdr>
        <w:top w:val="none" w:sz="0" w:space="0" w:color="auto"/>
        <w:left w:val="none" w:sz="0" w:space="0" w:color="auto"/>
        <w:bottom w:val="none" w:sz="0" w:space="0" w:color="auto"/>
        <w:right w:val="none" w:sz="0" w:space="0" w:color="auto"/>
      </w:divBdr>
    </w:div>
    <w:div w:id="344481999">
      <w:bodyDiv w:val="1"/>
      <w:marLeft w:val="0"/>
      <w:marRight w:val="0"/>
      <w:marTop w:val="0"/>
      <w:marBottom w:val="0"/>
      <w:divBdr>
        <w:top w:val="none" w:sz="0" w:space="0" w:color="auto"/>
        <w:left w:val="none" w:sz="0" w:space="0" w:color="auto"/>
        <w:bottom w:val="none" w:sz="0" w:space="0" w:color="auto"/>
        <w:right w:val="none" w:sz="0" w:space="0" w:color="auto"/>
      </w:divBdr>
    </w:div>
    <w:div w:id="350032781">
      <w:bodyDiv w:val="1"/>
      <w:marLeft w:val="0"/>
      <w:marRight w:val="0"/>
      <w:marTop w:val="0"/>
      <w:marBottom w:val="0"/>
      <w:divBdr>
        <w:top w:val="none" w:sz="0" w:space="0" w:color="auto"/>
        <w:left w:val="none" w:sz="0" w:space="0" w:color="auto"/>
        <w:bottom w:val="none" w:sz="0" w:space="0" w:color="auto"/>
        <w:right w:val="none" w:sz="0" w:space="0" w:color="auto"/>
      </w:divBdr>
    </w:div>
    <w:div w:id="386337673">
      <w:bodyDiv w:val="1"/>
      <w:marLeft w:val="0"/>
      <w:marRight w:val="0"/>
      <w:marTop w:val="0"/>
      <w:marBottom w:val="0"/>
      <w:divBdr>
        <w:top w:val="none" w:sz="0" w:space="0" w:color="auto"/>
        <w:left w:val="none" w:sz="0" w:space="0" w:color="auto"/>
        <w:bottom w:val="none" w:sz="0" w:space="0" w:color="auto"/>
        <w:right w:val="none" w:sz="0" w:space="0" w:color="auto"/>
      </w:divBdr>
    </w:div>
    <w:div w:id="414127592">
      <w:bodyDiv w:val="1"/>
      <w:marLeft w:val="0"/>
      <w:marRight w:val="0"/>
      <w:marTop w:val="0"/>
      <w:marBottom w:val="0"/>
      <w:divBdr>
        <w:top w:val="none" w:sz="0" w:space="0" w:color="auto"/>
        <w:left w:val="none" w:sz="0" w:space="0" w:color="auto"/>
        <w:bottom w:val="none" w:sz="0" w:space="0" w:color="auto"/>
        <w:right w:val="none" w:sz="0" w:space="0" w:color="auto"/>
      </w:divBdr>
      <w:divsChild>
        <w:div w:id="1234899683">
          <w:marLeft w:val="547"/>
          <w:marRight w:val="0"/>
          <w:marTop w:val="77"/>
          <w:marBottom w:val="0"/>
          <w:divBdr>
            <w:top w:val="none" w:sz="0" w:space="0" w:color="auto"/>
            <w:left w:val="none" w:sz="0" w:space="0" w:color="auto"/>
            <w:bottom w:val="none" w:sz="0" w:space="0" w:color="auto"/>
            <w:right w:val="none" w:sz="0" w:space="0" w:color="auto"/>
          </w:divBdr>
        </w:div>
      </w:divsChild>
    </w:div>
    <w:div w:id="417412006">
      <w:bodyDiv w:val="1"/>
      <w:marLeft w:val="0"/>
      <w:marRight w:val="0"/>
      <w:marTop w:val="0"/>
      <w:marBottom w:val="0"/>
      <w:divBdr>
        <w:top w:val="none" w:sz="0" w:space="0" w:color="auto"/>
        <w:left w:val="none" w:sz="0" w:space="0" w:color="auto"/>
        <w:bottom w:val="none" w:sz="0" w:space="0" w:color="auto"/>
        <w:right w:val="none" w:sz="0" w:space="0" w:color="auto"/>
      </w:divBdr>
    </w:div>
    <w:div w:id="435297172">
      <w:bodyDiv w:val="1"/>
      <w:marLeft w:val="0"/>
      <w:marRight w:val="0"/>
      <w:marTop w:val="0"/>
      <w:marBottom w:val="0"/>
      <w:divBdr>
        <w:top w:val="none" w:sz="0" w:space="0" w:color="auto"/>
        <w:left w:val="none" w:sz="0" w:space="0" w:color="auto"/>
        <w:bottom w:val="none" w:sz="0" w:space="0" w:color="auto"/>
        <w:right w:val="none" w:sz="0" w:space="0" w:color="auto"/>
      </w:divBdr>
      <w:divsChild>
        <w:div w:id="505822393">
          <w:marLeft w:val="360"/>
          <w:marRight w:val="0"/>
          <w:marTop w:val="0"/>
          <w:marBottom w:val="0"/>
          <w:divBdr>
            <w:top w:val="none" w:sz="0" w:space="0" w:color="auto"/>
            <w:left w:val="none" w:sz="0" w:space="0" w:color="auto"/>
            <w:bottom w:val="none" w:sz="0" w:space="0" w:color="auto"/>
            <w:right w:val="none" w:sz="0" w:space="0" w:color="auto"/>
          </w:divBdr>
        </w:div>
      </w:divsChild>
    </w:div>
    <w:div w:id="599603451">
      <w:bodyDiv w:val="1"/>
      <w:marLeft w:val="0"/>
      <w:marRight w:val="0"/>
      <w:marTop w:val="0"/>
      <w:marBottom w:val="0"/>
      <w:divBdr>
        <w:top w:val="none" w:sz="0" w:space="0" w:color="auto"/>
        <w:left w:val="none" w:sz="0" w:space="0" w:color="auto"/>
        <w:bottom w:val="none" w:sz="0" w:space="0" w:color="auto"/>
        <w:right w:val="none" w:sz="0" w:space="0" w:color="auto"/>
      </w:divBdr>
    </w:div>
    <w:div w:id="678698414">
      <w:bodyDiv w:val="1"/>
      <w:marLeft w:val="0"/>
      <w:marRight w:val="0"/>
      <w:marTop w:val="0"/>
      <w:marBottom w:val="0"/>
      <w:divBdr>
        <w:top w:val="none" w:sz="0" w:space="0" w:color="auto"/>
        <w:left w:val="none" w:sz="0" w:space="0" w:color="auto"/>
        <w:bottom w:val="none" w:sz="0" w:space="0" w:color="auto"/>
        <w:right w:val="none" w:sz="0" w:space="0" w:color="auto"/>
      </w:divBdr>
    </w:div>
    <w:div w:id="681782457">
      <w:bodyDiv w:val="1"/>
      <w:marLeft w:val="0"/>
      <w:marRight w:val="0"/>
      <w:marTop w:val="0"/>
      <w:marBottom w:val="0"/>
      <w:divBdr>
        <w:top w:val="none" w:sz="0" w:space="0" w:color="auto"/>
        <w:left w:val="none" w:sz="0" w:space="0" w:color="auto"/>
        <w:bottom w:val="none" w:sz="0" w:space="0" w:color="auto"/>
        <w:right w:val="none" w:sz="0" w:space="0" w:color="auto"/>
      </w:divBdr>
    </w:div>
    <w:div w:id="812403566">
      <w:bodyDiv w:val="1"/>
      <w:marLeft w:val="0"/>
      <w:marRight w:val="0"/>
      <w:marTop w:val="0"/>
      <w:marBottom w:val="0"/>
      <w:divBdr>
        <w:top w:val="none" w:sz="0" w:space="0" w:color="auto"/>
        <w:left w:val="none" w:sz="0" w:space="0" w:color="auto"/>
        <w:bottom w:val="none" w:sz="0" w:space="0" w:color="auto"/>
        <w:right w:val="none" w:sz="0" w:space="0" w:color="auto"/>
      </w:divBdr>
      <w:divsChild>
        <w:div w:id="949245275">
          <w:marLeft w:val="0"/>
          <w:marRight w:val="0"/>
          <w:marTop w:val="0"/>
          <w:marBottom w:val="0"/>
          <w:divBdr>
            <w:top w:val="none" w:sz="0" w:space="0" w:color="auto"/>
            <w:left w:val="none" w:sz="0" w:space="0" w:color="auto"/>
            <w:bottom w:val="none" w:sz="0" w:space="0" w:color="auto"/>
            <w:right w:val="none" w:sz="0" w:space="0" w:color="auto"/>
          </w:divBdr>
        </w:div>
      </w:divsChild>
    </w:div>
    <w:div w:id="831137862">
      <w:bodyDiv w:val="1"/>
      <w:marLeft w:val="0"/>
      <w:marRight w:val="0"/>
      <w:marTop w:val="0"/>
      <w:marBottom w:val="0"/>
      <w:divBdr>
        <w:top w:val="none" w:sz="0" w:space="0" w:color="auto"/>
        <w:left w:val="none" w:sz="0" w:space="0" w:color="auto"/>
        <w:bottom w:val="none" w:sz="0" w:space="0" w:color="auto"/>
        <w:right w:val="none" w:sz="0" w:space="0" w:color="auto"/>
      </w:divBdr>
    </w:div>
    <w:div w:id="880673483">
      <w:bodyDiv w:val="1"/>
      <w:marLeft w:val="0"/>
      <w:marRight w:val="0"/>
      <w:marTop w:val="0"/>
      <w:marBottom w:val="0"/>
      <w:divBdr>
        <w:top w:val="none" w:sz="0" w:space="0" w:color="auto"/>
        <w:left w:val="none" w:sz="0" w:space="0" w:color="auto"/>
        <w:bottom w:val="none" w:sz="0" w:space="0" w:color="auto"/>
        <w:right w:val="none" w:sz="0" w:space="0" w:color="auto"/>
      </w:divBdr>
    </w:div>
    <w:div w:id="975070022">
      <w:bodyDiv w:val="1"/>
      <w:marLeft w:val="0"/>
      <w:marRight w:val="0"/>
      <w:marTop w:val="0"/>
      <w:marBottom w:val="0"/>
      <w:divBdr>
        <w:top w:val="none" w:sz="0" w:space="0" w:color="auto"/>
        <w:left w:val="none" w:sz="0" w:space="0" w:color="auto"/>
        <w:bottom w:val="none" w:sz="0" w:space="0" w:color="auto"/>
        <w:right w:val="none" w:sz="0" w:space="0" w:color="auto"/>
      </w:divBdr>
    </w:div>
    <w:div w:id="1025130028">
      <w:bodyDiv w:val="1"/>
      <w:marLeft w:val="0"/>
      <w:marRight w:val="0"/>
      <w:marTop w:val="0"/>
      <w:marBottom w:val="0"/>
      <w:divBdr>
        <w:top w:val="none" w:sz="0" w:space="0" w:color="auto"/>
        <w:left w:val="none" w:sz="0" w:space="0" w:color="auto"/>
        <w:bottom w:val="none" w:sz="0" w:space="0" w:color="auto"/>
        <w:right w:val="none" w:sz="0" w:space="0" w:color="auto"/>
      </w:divBdr>
    </w:div>
    <w:div w:id="1151943203">
      <w:bodyDiv w:val="1"/>
      <w:marLeft w:val="0"/>
      <w:marRight w:val="0"/>
      <w:marTop w:val="0"/>
      <w:marBottom w:val="0"/>
      <w:divBdr>
        <w:top w:val="none" w:sz="0" w:space="0" w:color="auto"/>
        <w:left w:val="none" w:sz="0" w:space="0" w:color="auto"/>
        <w:bottom w:val="none" w:sz="0" w:space="0" w:color="auto"/>
        <w:right w:val="none" w:sz="0" w:space="0" w:color="auto"/>
      </w:divBdr>
    </w:div>
    <w:div w:id="1200239843">
      <w:bodyDiv w:val="1"/>
      <w:marLeft w:val="0"/>
      <w:marRight w:val="0"/>
      <w:marTop w:val="0"/>
      <w:marBottom w:val="0"/>
      <w:divBdr>
        <w:top w:val="none" w:sz="0" w:space="0" w:color="auto"/>
        <w:left w:val="none" w:sz="0" w:space="0" w:color="auto"/>
        <w:bottom w:val="none" w:sz="0" w:space="0" w:color="auto"/>
        <w:right w:val="none" w:sz="0" w:space="0" w:color="auto"/>
      </w:divBdr>
      <w:divsChild>
        <w:div w:id="1515610204">
          <w:marLeft w:val="0"/>
          <w:marRight w:val="0"/>
          <w:marTop w:val="0"/>
          <w:marBottom w:val="0"/>
          <w:divBdr>
            <w:top w:val="none" w:sz="0" w:space="0" w:color="auto"/>
            <w:left w:val="none" w:sz="0" w:space="0" w:color="auto"/>
            <w:bottom w:val="none" w:sz="0" w:space="0" w:color="auto"/>
            <w:right w:val="none" w:sz="0" w:space="0" w:color="auto"/>
          </w:divBdr>
        </w:div>
      </w:divsChild>
    </w:div>
    <w:div w:id="1308051695">
      <w:bodyDiv w:val="1"/>
      <w:marLeft w:val="0"/>
      <w:marRight w:val="0"/>
      <w:marTop w:val="0"/>
      <w:marBottom w:val="0"/>
      <w:divBdr>
        <w:top w:val="none" w:sz="0" w:space="0" w:color="auto"/>
        <w:left w:val="none" w:sz="0" w:space="0" w:color="auto"/>
        <w:bottom w:val="none" w:sz="0" w:space="0" w:color="auto"/>
        <w:right w:val="none" w:sz="0" w:space="0" w:color="auto"/>
      </w:divBdr>
    </w:div>
    <w:div w:id="1396389592">
      <w:bodyDiv w:val="1"/>
      <w:marLeft w:val="0"/>
      <w:marRight w:val="0"/>
      <w:marTop w:val="0"/>
      <w:marBottom w:val="0"/>
      <w:divBdr>
        <w:top w:val="none" w:sz="0" w:space="0" w:color="auto"/>
        <w:left w:val="none" w:sz="0" w:space="0" w:color="auto"/>
        <w:bottom w:val="none" w:sz="0" w:space="0" w:color="auto"/>
        <w:right w:val="none" w:sz="0" w:space="0" w:color="auto"/>
      </w:divBdr>
    </w:div>
    <w:div w:id="1488856875">
      <w:bodyDiv w:val="1"/>
      <w:marLeft w:val="0"/>
      <w:marRight w:val="0"/>
      <w:marTop w:val="0"/>
      <w:marBottom w:val="0"/>
      <w:divBdr>
        <w:top w:val="none" w:sz="0" w:space="0" w:color="auto"/>
        <w:left w:val="none" w:sz="0" w:space="0" w:color="auto"/>
        <w:bottom w:val="none" w:sz="0" w:space="0" w:color="auto"/>
        <w:right w:val="none" w:sz="0" w:space="0" w:color="auto"/>
      </w:divBdr>
    </w:div>
    <w:div w:id="1596092109">
      <w:bodyDiv w:val="1"/>
      <w:marLeft w:val="0"/>
      <w:marRight w:val="0"/>
      <w:marTop w:val="0"/>
      <w:marBottom w:val="0"/>
      <w:divBdr>
        <w:top w:val="none" w:sz="0" w:space="0" w:color="auto"/>
        <w:left w:val="none" w:sz="0" w:space="0" w:color="auto"/>
        <w:bottom w:val="none" w:sz="0" w:space="0" w:color="auto"/>
        <w:right w:val="none" w:sz="0" w:space="0" w:color="auto"/>
      </w:divBdr>
    </w:div>
    <w:div w:id="1686244470">
      <w:bodyDiv w:val="1"/>
      <w:marLeft w:val="0"/>
      <w:marRight w:val="0"/>
      <w:marTop w:val="0"/>
      <w:marBottom w:val="0"/>
      <w:divBdr>
        <w:top w:val="none" w:sz="0" w:space="0" w:color="auto"/>
        <w:left w:val="none" w:sz="0" w:space="0" w:color="auto"/>
        <w:bottom w:val="none" w:sz="0" w:space="0" w:color="auto"/>
        <w:right w:val="none" w:sz="0" w:space="0" w:color="auto"/>
      </w:divBdr>
    </w:div>
    <w:div w:id="2060008533">
      <w:bodyDiv w:val="1"/>
      <w:marLeft w:val="0"/>
      <w:marRight w:val="0"/>
      <w:marTop w:val="0"/>
      <w:marBottom w:val="0"/>
      <w:divBdr>
        <w:top w:val="none" w:sz="0" w:space="0" w:color="auto"/>
        <w:left w:val="none" w:sz="0" w:space="0" w:color="auto"/>
        <w:bottom w:val="none" w:sz="0" w:space="0" w:color="auto"/>
        <w:right w:val="none" w:sz="0" w:space="0" w:color="auto"/>
      </w:divBdr>
      <w:divsChild>
        <w:div w:id="1327974048">
          <w:marLeft w:val="0"/>
          <w:marRight w:val="0"/>
          <w:marTop w:val="0"/>
          <w:marBottom w:val="0"/>
          <w:divBdr>
            <w:top w:val="none" w:sz="0" w:space="0" w:color="auto"/>
            <w:left w:val="none" w:sz="0" w:space="0" w:color="auto"/>
            <w:bottom w:val="none" w:sz="0" w:space="0" w:color="auto"/>
            <w:right w:val="none" w:sz="0" w:space="0" w:color="auto"/>
          </w:divBdr>
        </w:div>
      </w:divsChild>
    </w:div>
    <w:div w:id="209246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26700;&#38754;\&#34892;&#19994;&#37096;&#27169;&#26495;2011-5-8\&#34892;&#19994;%20&#25253;&#21578;&#27169;&#26495;\&#34892;&#19994;&#28857;&#35780;&#27169;&#2649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oleObject" Target="file:///D:\&#19996;&#21556;&#38134;&#34892;\&#19996;&#21556;&#38134;&#34892;\&#21608;&#25253;\&#21608;&#25253;&#65288;20170515-20170521&#65289;\&#21608;&#25253;&#24213;&#31295;\&#29702;&#36130;&#20135;&#21697;&#36164;&#37329;&#20313;&#3906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41935483870969"/>
          <c:y val="8.3969465648854963E-2"/>
          <c:w val="0.77956989247311825"/>
          <c:h val="0.3282442748091603"/>
        </c:manualLayout>
      </c:layout>
      <c:lineChart>
        <c:grouping val="standard"/>
        <c:varyColors val="0"/>
        <c:ser>
          <c:idx val="0"/>
          <c:order val="0"/>
          <c:tx>
            <c:strRef>
              <c:f>Sheet1!$A$2</c:f>
              <c:strCache>
                <c:ptCount val="1"/>
                <c:pt idx="0">
                  <c:v>银行</c:v>
                </c:pt>
              </c:strCache>
            </c:strRef>
          </c:tx>
          <c:spPr>
            <a:ln w="25277">
              <a:solidFill>
                <a:srgbClr val="003366"/>
              </a:solidFill>
              <a:prstDash val="solid"/>
            </a:ln>
          </c:spPr>
          <c:marker>
            <c:symbol val="none"/>
          </c:marker>
          <c:cat>
            <c:numRef>
              <c:f>Sheet1!$B$1:$IK$1</c:f>
              <c:numCache>
                <c:formatCode>m/d/yyyy</c:formatCode>
                <c:ptCount val="244"/>
                <c:pt idx="0">
                  <c:v>42626</c:v>
                </c:pt>
                <c:pt idx="1">
                  <c:v>42627</c:v>
                </c:pt>
                <c:pt idx="2">
                  <c:v>42632</c:v>
                </c:pt>
                <c:pt idx="3">
                  <c:v>42633</c:v>
                </c:pt>
                <c:pt idx="4">
                  <c:v>42634</c:v>
                </c:pt>
                <c:pt idx="5">
                  <c:v>42635</c:v>
                </c:pt>
                <c:pt idx="6">
                  <c:v>42636</c:v>
                </c:pt>
                <c:pt idx="7">
                  <c:v>42639</c:v>
                </c:pt>
                <c:pt idx="8">
                  <c:v>42640</c:v>
                </c:pt>
                <c:pt idx="9">
                  <c:v>42641</c:v>
                </c:pt>
                <c:pt idx="10">
                  <c:v>42642</c:v>
                </c:pt>
                <c:pt idx="11">
                  <c:v>42643</c:v>
                </c:pt>
                <c:pt idx="12">
                  <c:v>42653</c:v>
                </c:pt>
                <c:pt idx="13">
                  <c:v>42654</c:v>
                </c:pt>
                <c:pt idx="14">
                  <c:v>42655</c:v>
                </c:pt>
                <c:pt idx="15">
                  <c:v>42656</c:v>
                </c:pt>
                <c:pt idx="16">
                  <c:v>42657</c:v>
                </c:pt>
                <c:pt idx="17">
                  <c:v>42660</c:v>
                </c:pt>
                <c:pt idx="18">
                  <c:v>42661</c:v>
                </c:pt>
                <c:pt idx="19">
                  <c:v>42662</c:v>
                </c:pt>
                <c:pt idx="20">
                  <c:v>42663</c:v>
                </c:pt>
                <c:pt idx="21">
                  <c:v>42664</c:v>
                </c:pt>
                <c:pt idx="22">
                  <c:v>42667</c:v>
                </c:pt>
                <c:pt idx="23">
                  <c:v>42668</c:v>
                </c:pt>
                <c:pt idx="24">
                  <c:v>42669</c:v>
                </c:pt>
                <c:pt idx="25">
                  <c:v>42670</c:v>
                </c:pt>
                <c:pt idx="26">
                  <c:v>42671</c:v>
                </c:pt>
                <c:pt idx="27">
                  <c:v>42674</c:v>
                </c:pt>
                <c:pt idx="28">
                  <c:v>42675</c:v>
                </c:pt>
                <c:pt idx="29">
                  <c:v>42676</c:v>
                </c:pt>
                <c:pt idx="30">
                  <c:v>42677</c:v>
                </c:pt>
                <c:pt idx="31">
                  <c:v>42678</c:v>
                </c:pt>
                <c:pt idx="32">
                  <c:v>42681</c:v>
                </c:pt>
                <c:pt idx="33">
                  <c:v>42682</c:v>
                </c:pt>
                <c:pt idx="34">
                  <c:v>42683</c:v>
                </c:pt>
                <c:pt idx="35">
                  <c:v>42684</c:v>
                </c:pt>
                <c:pt idx="36">
                  <c:v>42685</c:v>
                </c:pt>
                <c:pt idx="37">
                  <c:v>42688</c:v>
                </c:pt>
                <c:pt idx="38">
                  <c:v>42689</c:v>
                </c:pt>
                <c:pt idx="39">
                  <c:v>42690</c:v>
                </c:pt>
                <c:pt idx="40">
                  <c:v>42691</c:v>
                </c:pt>
                <c:pt idx="41">
                  <c:v>42692</c:v>
                </c:pt>
                <c:pt idx="42">
                  <c:v>42695</c:v>
                </c:pt>
                <c:pt idx="43">
                  <c:v>42696</c:v>
                </c:pt>
                <c:pt idx="44">
                  <c:v>42697</c:v>
                </c:pt>
                <c:pt idx="45">
                  <c:v>42698</c:v>
                </c:pt>
                <c:pt idx="46">
                  <c:v>42699</c:v>
                </c:pt>
                <c:pt idx="47">
                  <c:v>42702</c:v>
                </c:pt>
                <c:pt idx="48">
                  <c:v>42703</c:v>
                </c:pt>
                <c:pt idx="49">
                  <c:v>42704</c:v>
                </c:pt>
                <c:pt idx="50">
                  <c:v>42705</c:v>
                </c:pt>
                <c:pt idx="51">
                  <c:v>42706</c:v>
                </c:pt>
                <c:pt idx="52">
                  <c:v>42709</c:v>
                </c:pt>
                <c:pt idx="53">
                  <c:v>42710</c:v>
                </c:pt>
                <c:pt idx="54">
                  <c:v>42711</c:v>
                </c:pt>
                <c:pt idx="55">
                  <c:v>42712</c:v>
                </c:pt>
                <c:pt idx="56">
                  <c:v>42713</c:v>
                </c:pt>
                <c:pt idx="57">
                  <c:v>42716</c:v>
                </c:pt>
                <c:pt idx="58">
                  <c:v>42717</c:v>
                </c:pt>
                <c:pt idx="59">
                  <c:v>42718</c:v>
                </c:pt>
                <c:pt idx="60">
                  <c:v>42719</c:v>
                </c:pt>
                <c:pt idx="61">
                  <c:v>42720</c:v>
                </c:pt>
                <c:pt idx="62">
                  <c:v>42723</c:v>
                </c:pt>
                <c:pt idx="63">
                  <c:v>42724</c:v>
                </c:pt>
                <c:pt idx="64">
                  <c:v>42725</c:v>
                </c:pt>
                <c:pt idx="65">
                  <c:v>42726</c:v>
                </c:pt>
                <c:pt idx="66">
                  <c:v>42727</c:v>
                </c:pt>
                <c:pt idx="67">
                  <c:v>42730</c:v>
                </c:pt>
                <c:pt idx="68">
                  <c:v>42731</c:v>
                </c:pt>
                <c:pt idx="69">
                  <c:v>42732</c:v>
                </c:pt>
                <c:pt idx="70">
                  <c:v>42733</c:v>
                </c:pt>
                <c:pt idx="71">
                  <c:v>42734</c:v>
                </c:pt>
                <c:pt idx="72">
                  <c:v>42738</c:v>
                </c:pt>
                <c:pt idx="73">
                  <c:v>42739</c:v>
                </c:pt>
                <c:pt idx="74">
                  <c:v>42740</c:v>
                </c:pt>
                <c:pt idx="75">
                  <c:v>42741</c:v>
                </c:pt>
                <c:pt idx="76">
                  <c:v>42744</c:v>
                </c:pt>
                <c:pt idx="77">
                  <c:v>42745</c:v>
                </c:pt>
                <c:pt idx="78">
                  <c:v>42746</c:v>
                </c:pt>
                <c:pt idx="79">
                  <c:v>42747</c:v>
                </c:pt>
                <c:pt idx="80">
                  <c:v>42748</c:v>
                </c:pt>
                <c:pt idx="81">
                  <c:v>42751</c:v>
                </c:pt>
                <c:pt idx="82">
                  <c:v>42752</c:v>
                </c:pt>
                <c:pt idx="83">
                  <c:v>42753</c:v>
                </c:pt>
                <c:pt idx="84">
                  <c:v>42754</c:v>
                </c:pt>
                <c:pt idx="85">
                  <c:v>42755</c:v>
                </c:pt>
                <c:pt idx="86">
                  <c:v>42758</c:v>
                </c:pt>
                <c:pt idx="87">
                  <c:v>42759</c:v>
                </c:pt>
                <c:pt idx="88">
                  <c:v>42760</c:v>
                </c:pt>
                <c:pt idx="89">
                  <c:v>42761</c:v>
                </c:pt>
                <c:pt idx="90">
                  <c:v>42769</c:v>
                </c:pt>
                <c:pt idx="91">
                  <c:v>42772</c:v>
                </c:pt>
                <c:pt idx="92">
                  <c:v>42773</c:v>
                </c:pt>
                <c:pt idx="93">
                  <c:v>42774</c:v>
                </c:pt>
                <c:pt idx="94">
                  <c:v>42775</c:v>
                </c:pt>
                <c:pt idx="95">
                  <c:v>42776</c:v>
                </c:pt>
                <c:pt idx="96">
                  <c:v>42779</c:v>
                </c:pt>
                <c:pt idx="97">
                  <c:v>42780</c:v>
                </c:pt>
                <c:pt idx="98">
                  <c:v>42781</c:v>
                </c:pt>
                <c:pt idx="99">
                  <c:v>42782</c:v>
                </c:pt>
                <c:pt idx="100">
                  <c:v>42783</c:v>
                </c:pt>
                <c:pt idx="101">
                  <c:v>42786</c:v>
                </c:pt>
                <c:pt idx="102">
                  <c:v>42787</c:v>
                </c:pt>
                <c:pt idx="103">
                  <c:v>42788</c:v>
                </c:pt>
                <c:pt idx="104">
                  <c:v>42789</c:v>
                </c:pt>
                <c:pt idx="105">
                  <c:v>42790</c:v>
                </c:pt>
                <c:pt idx="106">
                  <c:v>42793</c:v>
                </c:pt>
                <c:pt idx="107">
                  <c:v>42794</c:v>
                </c:pt>
                <c:pt idx="108">
                  <c:v>42795</c:v>
                </c:pt>
                <c:pt idx="109">
                  <c:v>42796</c:v>
                </c:pt>
                <c:pt idx="110">
                  <c:v>42797</c:v>
                </c:pt>
                <c:pt idx="111">
                  <c:v>42800</c:v>
                </c:pt>
                <c:pt idx="112">
                  <c:v>42801</c:v>
                </c:pt>
                <c:pt idx="113">
                  <c:v>42802</c:v>
                </c:pt>
                <c:pt idx="114">
                  <c:v>42803</c:v>
                </c:pt>
                <c:pt idx="115">
                  <c:v>42804</c:v>
                </c:pt>
                <c:pt idx="116">
                  <c:v>42807</c:v>
                </c:pt>
                <c:pt idx="117">
                  <c:v>42808</c:v>
                </c:pt>
                <c:pt idx="118">
                  <c:v>42809</c:v>
                </c:pt>
                <c:pt idx="119">
                  <c:v>42810</c:v>
                </c:pt>
                <c:pt idx="120">
                  <c:v>42811</c:v>
                </c:pt>
                <c:pt idx="121">
                  <c:v>42814</c:v>
                </c:pt>
                <c:pt idx="122">
                  <c:v>42815</c:v>
                </c:pt>
                <c:pt idx="123">
                  <c:v>42816</c:v>
                </c:pt>
                <c:pt idx="124">
                  <c:v>42817</c:v>
                </c:pt>
                <c:pt idx="125">
                  <c:v>42818</c:v>
                </c:pt>
                <c:pt idx="126">
                  <c:v>42821</c:v>
                </c:pt>
                <c:pt idx="127">
                  <c:v>42822</c:v>
                </c:pt>
                <c:pt idx="128">
                  <c:v>42823</c:v>
                </c:pt>
                <c:pt idx="129">
                  <c:v>42824</c:v>
                </c:pt>
                <c:pt idx="130">
                  <c:v>42825</c:v>
                </c:pt>
                <c:pt idx="131">
                  <c:v>42830</c:v>
                </c:pt>
                <c:pt idx="132">
                  <c:v>42831</c:v>
                </c:pt>
                <c:pt idx="133">
                  <c:v>42832</c:v>
                </c:pt>
                <c:pt idx="134">
                  <c:v>42835</c:v>
                </c:pt>
                <c:pt idx="135">
                  <c:v>42836</c:v>
                </c:pt>
                <c:pt idx="136">
                  <c:v>42837</c:v>
                </c:pt>
                <c:pt idx="137">
                  <c:v>42838</c:v>
                </c:pt>
                <c:pt idx="138">
                  <c:v>42839</c:v>
                </c:pt>
                <c:pt idx="139">
                  <c:v>42842</c:v>
                </c:pt>
                <c:pt idx="140">
                  <c:v>42843</c:v>
                </c:pt>
                <c:pt idx="141">
                  <c:v>42844</c:v>
                </c:pt>
                <c:pt idx="142">
                  <c:v>42845</c:v>
                </c:pt>
                <c:pt idx="143">
                  <c:v>42846</c:v>
                </c:pt>
                <c:pt idx="144">
                  <c:v>42849</c:v>
                </c:pt>
                <c:pt idx="145">
                  <c:v>42850</c:v>
                </c:pt>
                <c:pt idx="146">
                  <c:v>42851</c:v>
                </c:pt>
                <c:pt idx="147">
                  <c:v>42852</c:v>
                </c:pt>
                <c:pt idx="148">
                  <c:v>42853</c:v>
                </c:pt>
                <c:pt idx="149">
                  <c:v>42857</c:v>
                </c:pt>
                <c:pt idx="150">
                  <c:v>42858</c:v>
                </c:pt>
                <c:pt idx="151">
                  <c:v>42859</c:v>
                </c:pt>
                <c:pt idx="152">
                  <c:v>42860</c:v>
                </c:pt>
                <c:pt idx="153">
                  <c:v>42863</c:v>
                </c:pt>
                <c:pt idx="154">
                  <c:v>42864</c:v>
                </c:pt>
                <c:pt idx="155">
                  <c:v>42865</c:v>
                </c:pt>
                <c:pt idx="156">
                  <c:v>42866</c:v>
                </c:pt>
                <c:pt idx="157">
                  <c:v>42867</c:v>
                </c:pt>
                <c:pt idx="158">
                  <c:v>42870</c:v>
                </c:pt>
                <c:pt idx="159">
                  <c:v>42871</c:v>
                </c:pt>
                <c:pt idx="160">
                  <c:v>42872</c:v>
                </c:pt>
                <c:pt idx="161">
                  <c:v>42873</c:v>
                </c:pt>
                <c:pt idx="162">
                  <c:v>42874</c:v>
                </c:pt>
                <c:pt idx="163">
                  <c:v>42877</c:v>
                </c:pt>
                <c:pt idx="164">
                  <c:v>42878</c:v>
                </c:pt>
                <c:pt idx="165">
                  <c:v>42879</c:v>
                </c:pt>
                <c:pt idx="166">
                  <c:v>42880</c:v>
                </c:pt>
                <c:pt idx="167">
                  <c:v>42881</c:v>
                </c:pt>
                <c:pt idx="168">
                  <c:v>42886</c:v>
                </c:pt>
                <c:pt idx="169">
                  <c:v>42887</c:v>
                </c:pt>
                <c:pt idx="170">
                  <c:v>42888</c:v>
                </c:pt>
                <c:pt idx="171">
                  <c:v>42891</c:v>
                </c:pt>
                <c:pt idx="172">
                  <c:v>42892</c:v>
                </c:pt>
                <c:pt idx="173">
                  <c:v>42893</c:v>
                </c:pt>
                <c:pt idx="174">
                  <c:v>42894</c:v>
                </c:pt>
                <c:pt idx="175">
                  <c:v>42895</c:v>
                </c:pt>
                <c:pt idx="176">
                  <c:v>42898</c:v>
                </c:pt>
                <c:pt idx="177">
                  <c:v>42899</c:v>
                </c:pt>
                <c:pt idx="178">
                  <c:v>42900</c:v>
                </c:pt>
                <c:pt idx="179">
                  <c:v>42901</c:v>
                </c:pt>
                <c:pt idx="180">
                  <c:v>42902</c:v>
                </c:pt>
                <c:pt idx="181">
                  <c:v>42905</c:v>
                </c:pt>
                <c:pt idx="182">
                  <c:v>42906</c:v>
                </c:pt>
                <c:pt idx="183">
                  <c:v>42907</c:v>
                </c:pt>
                <c:pt idx="184">
                  <c:v>42908</c:v>
                </c:pt>
                <c:pt idx="185">
                  <c:v>42909</c:v>
                </c:pt>
                <c:pt idx="186">
                  <c:v>42912</c:v>
                </c:pt>
                <c:pt idx="187">
                  <c:v>42913</c:v>
                </c:pt>
                <c:pt idx="188">
                  <c:v>42914</c:v>
                </c:pt>
                <c:pt idx="189">
                  <c:v>42915</c:v>
                </c:pt>
                <c:pt idx="190">
                  <c:v>42916</c:v>
                </c:pt>
                <c:pt idx="191">
                  <c:v>42919</c:v>
                </c:pt>
                <c:pt idx="192">
                  <c:v>42920</c:v>
                </c:pt>
                <c:pt idx="193">
                  <c:v>42921</c:v>
                </c:pt>
                <c:pt idx="194">
                  <c:v>42922</c:v>
                </c:pt>
                <c:pt idx="195">
                  <c:v>42923</c:v>
                </c:pt>
                <c:pt idx="196">
                  <c:v>42926</c:v>
                </c:pt>
                <c:pt idx="197">
                  <c:v>42927</c:v>
                </c:pt>
                <c:pt idx="198">
                  <c:v>42928</c:v>
                </c:pt>
                <c:pt idx="199">
                  <c:v>42929</c:v>
                </c:pt>
                <c:pt idx="200">
                  <c:v>42930</c:v>
                </c:pt>
                <c:pt idx="201">
                  <c:v>42933</c:v>
                </c:pt>
                <c:pt idx="202">
                  <c:v>42934</c:v>
                </c:pt>
                <c:pt idx="203">
                  <c:v>42935</c:v>
                </c:pt>
                <c:pt idx="204">
                  <c:v>42936</c:v>
                </c:pt>
                <c:pt idx="205">
                  <c:v>42937</c:v>
                </c:pt>
                <c:pt idx="206">
                  <c:v>42940</c:v>
                </c:pt>
                <c:pt idx="207">
                  <c:v>42941</c:v>
                </c:pt>
                <c:pt idx="208">
                  <c:v>42942</c:v>
                </c:pt>
                <c:pt idx="209">
                  <c:v>42943</c:v>
                </c:pt>
                <c:pt idx="210">
                  <c:v>42944</c:v>
                </c:pt>
                <c:pt idx="211">
                  <c:v>42947</c:v>
                </c:pt>
                <c:pt idx="212">
                  <c:v>42948</c:v>
                </c:pt>
                <c:pt idx="213">
                  <c:v>42949</c:v>
                </c:pt>
                <c:pt idx="214">
                  <c:v>42950</c:v>
                </c:pt>
                <c:pt idx="215">
                  <c:v>42951</c:v>
                </c:pt>
                <c:pt idx="216">
                  <c:v>42954</c:v>
                </c:pt>
                <c:pt idx="217">
                  <c:v>42955</c:v>
                </c:pt>
                <c:pt idx="218">
                  <c:v>42956</c:v>
                </c:pt>
                <c:pt idx="219">
                  <c:v>42957</c:v>
                </c:pt>
                <c:pt idx="220">
                  <c:v>42958</c:v>
                </c:pt>
                <c:pt idx="221">
                  <c:v>42961</c:v>
                </c:pt>
                <c:pt idx="222">
                  <c:v>42962</c:v>
                </c:pt>
                <c:pt idx="223">
                  <c:v>42963</c:v>
                </c:pt>
                <c:pt idx="224">
                  <c:v>42964</c:v>
                </c:pt>
                <c:pt idx="225">
                  <c:v>42965</c:v>
                </c:pt>
                <c:pt idx="226">
                  <c:v>42968</c:v>
                </c:pt>
                <c:pt idx="227">
                  <c:v>42969</c:v>
                </c:pt>
                <c:pt idx="228">
                  <c:v>42970</c:v>
                </c:pt>
                <c:pt idx="229">
                  <c:v>42971</c:v>
                </c:pt>
                <c:pt idx="230">
                  <c:v>42972</c:v>
                </c:pt>
                <c:pt idx="231">
                  <c:v>42975</c:v>
                </c:pt>
                <c:pt idx="232">
                  <c:v>42976</c:v>
                </c:pt>
                <c:pt idx="233">
                  <c:v>42977</c:v>
                </c:pt>
                <c:pt idx="234">
                  <c:v>42978</c:v>
                </c:pt>
                <c:pt idx="235">
                  <c:v>42979</c:v>
                </c:pt>
                <c:pt idx="236">
                  <c:v>42982</c:v>
                </c:pt>
                <c:pt idx="237">
                  <c:v>42983</c:v>
                </c:pt>
                <c:pt idx="238">
                  <c:v>42984</c:v>
                </c:pt>
                <c:pt idx="239">
                  <c:v>42985</c:v>
                </c:pt>
                <c:pt idx="240">
                  <c:v>42986</c:v>
                </c:pt>
                <c:pt idx="241">
                  <c:v>42989</c:v>
                </c:pt>
                <c:pt idx="242">
                  <c:v>42990</c:v>
                </c:pt>
                <c:pt idx="243">
                  <c:v>42991</c:v>
                </c:pt>
              </c:numCache>
            </c:numRef>
          </c:cat>
          <c:val>
            <c:numRef>
              <c:f>Sheet1!$B$2:$IK$2</c:f>
              <c:numCache>
                <c:formatCode>0.00E+00</c:formatCode>
                <c:ptCount val="244"/>
                <c:pt idx="0" formatCode="General">
                  <c:v>0</c:v>
                </c:pt>
                <c:pt idx="1">
                  <c:v>-8.6940465497653604E-3</c:v>
                </c:pt>
                <c:pt idx="2">
                  <c:v>-2.29400148343339E-3</c:v>
                </c:pt>
                <c:pt idx="3">
                  <c:v>-3.61156577337263E-3</c:v>
                </c:pt>
                <c:pt idx="4">
                  <c:v>-1.29252743882402E-3</c:v>
                </c:pt>
                <c:pt idx="5">
                  <c:v>4.0403218487210504E-3</c:v>
                </c:pt>
                <c:pt idx="6">
                  <c:v>4.0747475190046102E-3</c:v>
                </c:pt>
                <c:pt idx="7">
                  <c:v>-4.0497106678892801E-3</c:v>
                </c:pt>
                <c:pt idx="8">
                  <c:v>-1.4709150030189899E-4</c:v>
                </c:pt>
                <c:pt idx="9">
                  <c:v>-5.5832177986975297E-3</c:v>
                </c:pt>
                <c:pt idx="10">
                  <c:v>-1.7525795780664001E-3</c:v>
                </c:pt>
                <c:pt idx="11">
                  <c:v>-1.7494499716771399E-3</c:v>
                </c:pt>
                <c:pt idx="12">
                  <c:v>5.97128899098354E-3</c:v>
                </c:pt>
                <c:pt idx="13">
                  <c:v>5.2984236172615197E-3</c:v>
                </c:pt>
                <c:pt idx="14">
                  <c:v>1.1673431832477401E-3</c:v>
                </c:pt>
                <c:pt idx="15">
                  <c:v>-8.3873451236038399E-4</c:v>
                </c:pt>
                <c:pt idx="16">
                  <c:v>1.1579543640796201E-3</c:v>
                </c:pt>
                <c:pt idx="17">
                  <c:v>-4.9510373080378098E-3</c:v>
                </c:pt>
                <c:pt idx="18">
                  <c:v>6.0401403315490899E-4</c:v>
                </c:pt>
                <c:pt idx="19" formatCode="General">
                  <c:v>-3.0983103255099998E-4</c:v>
                </c:pt>
                <c:pt idx="20">
                  <c:v>1.40519326884259E-3</c:v>
                </c:pt>
                <c:pt idx="21">
                  <c:v>5.9212152887531096E-3</c:v>
                </c:pt>
                <c:pt idx="22" formatCode="General">
                  <c:v>1.7266038450343999E-2</c:v>
                </c:pt>
                <c:pt idx="23">
                  <c:v>1.51848502013903E-2</c:v>
                </c:pt>
                <c:pt idx="24">
                  <c:v>7.3827414726050896E-3</c:v>
                </c:pt>
                <c:pt idx="25">
                  <c:v>5.4110894472802996E-3</c:v>
                </c:pt>
                <c:pt idx="26">
                  <c:v>1.07564571603829E-2</c:v>
                </c:pt>
                <c:pt idx="27">
                  <c:v>7.6018139198632496E-3</c:v>
                </c:pt>
                <c:pt idx="28">
                  <c:v>1.2308741929527601E-2</c:v>
                </c:pt>
                <c:pt idx="29">
                  <c:v>6.3750082152167504E-3</c:v>
                </c:pt>
                <c:pt idx="30">
                  <c:v>1.11695652037844E-2</c:v>
                </c:pt>
                <c:pt idx="31">
                  <c:v>9.3168382212569494E-3</c:v>
                </c:pt>
                <c:pt idx="32">
                  <c:v>8.4718444961178196E-3</c:v>
                </c:pt>
                <c:pt idx="33">
                  <c:v>1.4123913635382099E-2</c:v>
                </c:pt>
                <c:pt idx="34">
                  <c:v>5.66145795843265E-3</c:v>
                </c:pt>
                <c:pt idx="35">
                  <c:v>1.49970738180258E-2</c:v>
                </c:pt>
                <c:pt idx="36">
                  <c:v>1.6530580948834101E-2</c:v>
                </c:pt>
                <c:pt idx="37">
                  <c:v>1.8971673932569402E-2</c:v>
                </c:pt>
                <c:pt idx="38" formatCode="General">
                  <c:v>1.8564825101947E-2</c:v>
                </c:pt>
                <c:pt idx="39">
                  <c:v>1.78168491748791E-2</c:v>
                </c:pt>
                <c:pt idx="40">
                  <c:v>1.7143983801157298E-2</c:v>
                </c:pt>
                <c:pt idx="41">
                  <c:v>1.52975160314088E-2</c:v>
                </c:pt>
                <c:pt idx="42">
                  <c:v>2.4148042900644401E-2</c:v>
                </c:pt>
                <c:pt idx="43">
                  <c:v>3.1793671309959401E-2</c:v>
                </c:pt>
                <c:pt idx="44" formatCode="General">
                  <c:v>4.5814307934490997E-2</c:v>
                </c:pt>
                <c:pt idx="45">
                  <c:v>4.3551602514951597E-2</c:v>
                </c:pt>
                <c:pt idx="46" formatCode="General">
                  <c:v>5.8473565779632003E-2</c:v>
                </c:pt>
                <c:pt idx="47">
                  <c:v>5.7591016777819699E-2</c:v>
                </c:pt>
                <c:pt idx="48">
                  <c:v>6.0054017006281102E-2</c:v>
                </c:pt>
                <c:pt idx="49">
                  <c:v>5.0693364295572502E-2</c:v>
                </c:pt>
                <c:pt idx="50">
                  <c:v>5.3090642789856299E-2</c:v>
                </c:pt>
                <c:pt idx="51">
                  <c:v>5.1466377073755301E-2</c:v>
                </c:pt>
                <c:pt idx="52" formatCode="General">
                  <c:v>5.3963802972500002E-2</c:v>
                </c:pt>
                <c:pt idx="53">
                  <c:v>4.8940784717506097E-2</c:v>
                </c:pt>
                <c:pt idx="54">
                  <c:v>4.6556024648779899E-2</c:v>
                </c:pt>
                <c:pt idx="55">
                  <c:v>5.8332733492108699E-2</c:v>
                </c:pt>
                <c:pt idx="56">
                  <c:v>7.5517402176328297E-2</c:v>
                </c:pt>
                <c:pt idx="57">
                  <c:v>7.7104112615756296E-2</c:v>
                </c:pt>
                <c:pt idx="58">
                  <c:v>6.23323704577676E-2</c:v>
                </c:pt>
                <c:pt idx="59">
                  <c:v>6.6763893105164202E-2</c:v>
                </c:pt>
                <c:pt idx="60">
                  <c:v>3.3192605366023198E-2</c:v>
                </c:pt>
                <c:pt idx="61">
                  <c:v>2.64076187137945E-2</c:v>
                </c:pt>
                <c:pt idx="62">
                  <c:v>2.0996529266514199E-2</c:v>
                </c:pt>
                <c:pt idx="63">
                  <c:v>1.1291619852971099E-2</c:v>
                </c:pt>
                <c:pt idx="64">
                  <c:v>1.5729401713146601E-2</c:v>
                </c:pt>
                <c:pt idx="65">
                  <c:v>1.02150352550159E-2</c:v>
                </c:pt>
                <c:pt idx="66">
                  <c:v>5.0136294358258402E-3</c:v>
                </c:pt>
                <c:pt idx="67">
                  <c:v>8.1745318891242001E-3</c:v>
                </c:pt>
                <c:pt idx="68">
                  <c:v>3.8744527100826901E-3</c:v>
                </c:pt>
                <c:pt idx="69">
                  <c:v>6.8851340566888897E-4</c:v>
                </c:pt>
                <c:pt idx="70">
                  <c:v>2.4723890476297E-4</c:v>
                </c:pt>
                <c:pt idx="71">
                  <c:v>6.5690438113599203E-3</c:v>
                </c:pt>
                <c:pt idx="72">
                  <c:v>1.7788682717374799E-2</c:v>
                </c:pt>
                <c:pt idx="73">
                  <c:v>1.98667413599392E-2</c:v>
                </c:pt>
                <c:pt idx="74">
                  <c:v>1.9175098347880899E-2</c:v>
                </c:pt>
                <c:pt idx="75">
                  <c:v>1.25152959512282E-2</c:v>
                </c:pt>
                <c:pt idx="76">
                  <c:v>1.4937611296627301E-2</c:v>
                </c:pt>
                <c:pt idx="77">
                  <c:v>1.36544726769714E-2</c:v>
                </c:pt>
                <c:pt idx="78">
                  <c:v>1.01367950952809E-2</c:v>
                </c:pt>
                <c:pt idx="79">
                  <c:v>9.1040249867775404E-3</c:v>
                </c:pt>
                <c:pt idx="80">
                  <c:v>1.6906133715562498E-2</c:v>
                </c:pt>
                <c:pt idx="81">
                  <c:v>3.1239730979034899E-2</c:v>
                </c:pt>
                <c:pt idx="82">
                  <c:v>2.66485984057785E-2</c:v>
                </c:pt>
                <c:pt idx="83">
                  <c:v>3.25854617264787E-2</c:v>
                </c:pt>
                <c:pt idx="84">
                  <c:v>3.2479055109238902E-2</c:v>
                </c:pt>
                <c:pt idx="85">
                  <c:v>3.6863633660794398E-2</c:v>
                </c:pt>
                <c:pt idx="86">
                  <c:v>3.4810611869345198E-2</c:v>
                </c:pt>
                <c:pt idx="87">
                  <c:v>4.4161875760885497E-2</c:v>
                </c:pt>
                <c:pt idx="88">
                  <c:v>4.3911507249733098E-2</c:v>
                </c:pt>
                <c:pt idx="89">
                  <c:v>5.0236441762719498E-2</c:v>
                </c:pt>
                <c:pt idx="90">
                  <c:v>3.8691323792206599E-2</c:v>
                </c:pt>
                <c:pt idx="91" formatCode="General">
                  <c:v>3.7780608332890001E-2</c:v>
                </c:pt>
                <c:pt idx="92" formatCode="General">
                  <c:v>3.6162601829568E-2</c:v>
                </c:pt>
                <c:pt idx="93">
                  <c:v>3.74207035981085E-2</c:v>
                </c:pt>
                <c:pt idx="94">
                  <c:v>3.9526928698177602E-2</c:v>
                </c:pt>
                <c:pt idx="95">
                  <c:v>4.5369903827195697E-2</c:v>
                </c:pt>
                <c:pt idx="96" formatCode="General">
                  <c:v>5.3885562812764999E-2</c:v>
                </c:pt>
                <c:pt idx="97">
                  <c:v>4.9879666634327503E-2</c:v>
                </c:pt>
                <c:pt idx="98">
                  <c:v>6.1240137827865297E-2</c:v>
                </c:pt>
                <c:pt idx="99">
                  <c:v>6.3261863555420503E-2</c:v>
                </c:pt>
                <c:pt idx="100" formatCode="General">
                  <c:v>5.2971717747058999E-2</c:v>
                </c:pt>
                <c:pt idx="101">
                  <c:v>7.1937132466849601E-2</c:v>
                </c:pt>
                <c:pt idx="102">
                  <c:v>7.1868281126282699E-2</c:v>
                </c:pt>
                <c:pt idx="103">
                  <c:v>7.0876195900841696E-2</c:v>
                </c:pt>
                <c:pt idx="104" formatCode="General">
                  <c:v>6.9943573196799003E-2</c:v>
                </c:pt>
                <c:pt idx="105">
                  <c:v>6.7846736915898195E-2</c:v>
                </c:pt>
                <c:pt idx="106">
                  <c:v>6.2523276447521203E-2</c:v>
                </c:pt>
                <c:pt idx="107">
                  <c:v>6.42946336639241E-2</c:v>
                </c:pt>
                <c:pt idx="108">
                  <c:v>6.2839366692851104E-2</c:v>
                </c:pt>
                <c:pt idx="109">
                  <c:v>5.6248415636765303E-2</c:v>
                </c:pt>
                <c:pt idx="110" formatCode="General">
                  <c:v>5.1763689680749E-2</c:v>
                </c:pt>
                <c:pt idx="111">
                  <c:v>5.2258167490274697E-2</c:v>
                </c:pt>
                <c:pt idx="112">
                  <c:v>5.7209204798312603E-2</c:v>
                </c:pt>
                <c:pt idx="113" formatCode="General">
                  <c:v>5.5588068688601E-2</c:v>
                </c:pt>
                <c:pt idx="114">
                  <c:v>4.8180290364880703E-2</c:v>
                </c:pt>
                <c:pt idx="115">
                  <c:v>4.6628005595736197E-2</c:v>
                </c:pt>
                <c:pt idx="116">
                  <c:v>5.3713434461347902E-2</c:v>
                </c:pt>
                <c:pt idx="117">
                  <c:v>5.3700916035790199E-2</c:v>
                </c:pt>
                <c:pt idx="118">
                  <c:v>5.29247736512179E-2</c:v>
                </c:pt>
                <c:pt idx="119">
                  <c:v>5.6730375020733699E-2</c:v>
                </c:pt>
                <c:pt idx="120">
                  <c:v>4.4972443815741302E-2</c:v>
                </c:pt>
                <c:pt idx="121" formatCode="General">
                  <c:v>4.0991584488418997E-2</c:v>
                </c:pt>
                <c:pt idx="122">
                  <c:v>3.8537973079125799E-2</c:v>
                </c:pt>
                <c:pt idx="123">
                  <c:v>2.4930444497995401E-2</c:v>
                </c:pt>
                <c:pt idx="124">
                  <c:v>3.00285733063352E-2</c:v>
                </c:pt>
                <c:pt idx="125">
                  <c:v>3.3956229325037703E-2</c:v>
                </c:pt>
                <c:pt idx="126">
                  <c:v>4.1248212212350102E-2</c:v>
                </c:pt>
                <c:pt idx="127">
                  <c:v>3.7736793843438303E-2</c:v>
                </c:pt>
                <c:pt idx="128">
                  <c:v>3.49889994335413E-2</c:v>
                </c:pt>
                <c:pt idx="129" formatCode="General">
                  <c:v>3.3624491047761003E-2</c:v>
                </c:pt>
                <c:pt idx="130">
                  <c:v>4.4080505994761099E-2</c:v>
                </c:pt>
                <c:pt idx="131">
                  <c:v>4.8668508961627902E-2</c:v>
                </c:pt>
                <c:pt idx="132">
                  <c:v>4.4778408219598102E-2</c:v>
                </c:pt>
                <c:pt idx="133">
                  <c:v>4.4318356080355698E-2</c:v>
                </c:pt>
                <c:pt idx="134">
                  <c:v>3.79621255034754E-2</c:v>
                </c:pt>
                <c:pt idx="135" formatCode="General">
                  <c:v>3.5536680551687003E-2</c:v>
                </c:pt>
                <c:pt idx="136">
                  <c:v>3.2069076672226901E-2</c:v>
                </c:pt>
                <c:pt idx="137">
                  <c:v>2.6529673362981201E-2</c:v>
                </c:pt>
                <c:pt idx="138">
                  <c:v>1.9171968741491501E-2</c:v>
                </c:pt>
                <c:pt idx="139">
                  <c:v>1.8752601485311202E-2</c:v>
                </c:pt>
                <c:pt idx="140">
                  <c:v>4.7851681693993299E-3</c:v>
                </c:pt>
                <c:pt idx="141">
                  <c:v>-4.0872659445621001E-3</c:v>
                </c:pt>
                <c:pt idx="142">
                  <c:v>-9.5484290940727207E-3</c:v>
                </c:pt>
                <c:pt idx="143">
                  <c:v>1.7463203652876599E-3</c:v>
                </c:pt>
                <c:pt idx="144">
                  <c:v>1.52724791802927E-3</c:v>
                </c:pt>
                <c:pt idx="145">
                  <c:v>3.9996369656589703E-3</c:v>
                </c:pt>
                <c:pt idx="146">
                  <c:v>4.6944095841050499E-5</c:v>
                </c:pt>
                <c:pt idx="147">
                  <c:v>3.8462862525780999E-3</c:v>
                </c:pt>
                <c:pt idx="148">
                  <c:v>3.7367500289489102E-3</c:v>
                </c:pt>
                <c:pt idx="149">
                  <c:v>-3.8275086142416401E-3</c:v>
                </c:pt>
                <c:pt idx="150">
                  <c:v>-9.5046146046211498E-3</c:v>
                </c:pt>
                <c:pt idx="151">
                  <c:v>-1.40331550500894E-2</c:v>
                </c:pt>
                <c:pt idx="152">
                  <c:v>-1.44212262423755E-2</c:v>
                </c:pt>
                <c:pt idx="153">
                  <c:v>-1.33696784955356E-2</c:v>
                </c:pt>
                <c:pt idx="154">
                  <c:v>-1.24026301212097E-2</c:v>
                </c:pt>
                <c:pt idx="155">
                  <c:v>-9.0445624653787693E-3</c:v>
                </c:pt>
                <c:pt idx="156">
                  <c:v>-1.4896926413564501E-3</c:v>
                </c:pt>
                <c:pt idx="157">
                  <c:v>2.5568884201433901E-2</c:v>
                </c:pt>
                <c:pt idx="158">
                  <c:v>2.5021203083288101E-2</c:v>
                </c:pt>
                <c:pt idx="159">
                  <c:v>1.9028006847578799E-2</c:v>
                </c:pt>
                <c:pt idx="160">
                  <c:v>1.0684476213426599E-2</c:v>
                </c:pt>
                <c:pt idx="161">
                  <c:v>5.1200360530656601E-3</c:v>
                </c:pt>
                <c:pt idx="162">
                  <c:v>5.3672749578286298E-3</c:v>
                </c:pt>
                <c:pt idx="163">
                  <c:v>8.2559016552488096E-3</c:v>
                </c:pt>
                <c:pt idx="164">
                  <c:v>2.6920874161656699E-2</c:v>
                </c:pt>
                <c:pt idx="165">
                  <c:v>2.5462477584194301E-2</c:v>
                </c:pt>
                <c:pt idx="166">
                  <c:v>5.9963258420988402E-2</c:v>
                </c:pt>
                <c:pt idx="167">
                  <c:v>5.6877466521035598E-2</c:v>
                </c:pt>
                <c:pt idx="168" formatCode="General">
                  <c:v>5.9209023281141998E-2</c:v>
                </c:pt>
                <c:pt idx="169">
                  <c:v>6.4282115238366605E-2</c:v>
                </c:pt>
                <c:pt idx="170">
                  <c:v>5.7844514895361701E-2</c:v>
                </c:pt>
                <c:pt idx="171">
                  <c:v>4.2140150033330298E-2</c:v>
                </c:pt>
                <c:pt idx="172">
                  <c:v>4.2888125960397899E-2</c:v>
                </c:pt>
                <c:pt idx="173">
                  <c:v>5.3581990992992899E-2</c:v>
                </c:pt>
                <c:pt idx="174">
                  <c:v>5.5331440964669902E-2</c:v>
                </c:pt>
                <c:pt idx="175">
                  <c:v>6.0241793389645498E-2</c:v>
                </c:pt>
                <c:pt idx="176">
                  <c:v>5.51154981238011E-2</c:v>
                </c:pt>
                <c:pt idx="177">
                  <c:v>5.1935818032166098E-2</c:v>
                </c:pt>
                <c:pt idx="178">
                  <c:v>3.5990473478150702E-2</c:v>
                </c:pt>
                <c:pt idx="179">
                  <c:v>2.8072569312957499E-2</c:v>
                </c:pt>
                <c:pt idx="180">
                  <c:v>2.71274281833573E-2</c:v>
                </c:pt>
                <c:pt idx="181">
                  <c:v>3.25948505456468E-2</c:v>
                </c:pt>
                <c:pt idx="182">
                  <c:v>3.2106631948899803E-2</c:v>
                </c:pt>
                <c:pt idx="183">
                  <c:v>3.5680642445599799E-2</c:v>
                </c:pt>
                <c:pt idx="184">
                  <c:v>5.3822970684976899E-2</c:v>
                </c:pt>
                <c:pt idx="185">
                  <c:v>5.88053040569088E-2</c:v>
                </c:pt>
                <c:pt idx="186">
                  <c:v>5.9133912727796098E-2</c:v>
                </c:pt>
                <c:pt idx="187">
                  <c:v>7.1304951976189898E-2</c:v>
                </c:pt>
                <c:pt idx="188">
                  <c:v>7.6412469603697894E-2</c:v>
                </c:pt>
                <c:pt idx="189">
                  <c:v>8.0875288314988594E-2</c:v>
                </c:pt>
                <c:pt idx="190">
                  <c:v>7.5989972741128398E-2</c:v>
                </c:pt>
                <c:pt idx="191" formatCode="General">
                  <c:v>7.3023105883972997E-2</c:v>
                </c:pt>
                <c:pt idx="192">
                  <c:v>6.5318014953259299E-2</c:v>
                </c:pt>
                <c:pt idx="193">
                  <c:v>7.4637982780905596E-2</c:v>
                </c:pt>
                <c:pt idx="194">
                  <c:v>7.5007276334855502E-2</c:v>
                </c:pt>
                <c:pt idx="195">
                  <c:v>6.6313229785089897E-2</c:v>
                </c:pt>
                <c:pt idx="196">
                  <c:v>6.5649753230536206E-2</c:v>
                </c:pt>
                <c:pt idx="197" formatCode="General">
                  <c:v>8.4515020545866001E-2</c:v>
                </c:pt>
                <c:pt idx="198">
                  <c:v>9.1744411305390197E-2</c:v>
                </c:pt>
                <c:pt idx="199" formatCode="General">
                  <c:v>0.11168000400589601</c:v>
                </c:pt>
                <c:pt idx="200" formatCode="General">
                  <c:v>0.121187748216907</c:v>
                </c:pt>
                <c:pt idx="201" formatCode="General">
                  <c:v>0.138178381304983</c:v>
                </c:pt>
                <c:pt idx="202" formatCode="General">
                  <c:v>0.12750329391072501</c:v>
                </c:pt>
                <c:pt idx="203" formatCode="General">
                  <c:v>0.13856958210365899</c:v>
                </c:pt>
                <c:pt idx="204" formatCode="General">
                  <c:v>0.13651343070582</c:v>
                </c:pt>
                <c:pt idx="205" formatCode="General">
                  <c:v>0.125578585981241</c:v>
                </c:pt>
                <c:pt idx="206" formatCode="General">
                  <c:v>0.139308169211558</c:v>
                </c:pt>
                <c:pt idx="207" formatCode="General">
                  <c:v>0.14020636624531699</c:v>
                </c:pt>
                <c:pt idx="208" formatCode="General">
                  <c:v>0.13809075232608001</c:v>
                </c:pt>
                <c:pt idx="209" formatCode="General">
                  <c:v>0.13463566687217801</c:v>
                </c:pt>
                <c:pt idx="210" formatCode="General">
                  <c:v>0.13743040537791601</c:v>
                </c:pt>
                <c:pt idx="211" formatCode="General">
                  <c:v>0.133656100072294</c:v>
                </c:pt>
                <c:pt idx="212" formatCode="General">
                  <c:v>0.14894422728453399</c:v>
                </c:pt>
                <c:pt idx="213" formatCode="General">
                  <c:v>0.15923437309289601</c:v>
                </c:pt>
                <c:pt idx="214" formatCode="General">
                  <c:v>0.14159591148221301</c:v>
                </c:pt>
                <c:pt idx="215" formatCode="General">
                  <c:v>0.13426950292461701</c:v>
                </c:pt>
                <c:pt idx="216" formatCode="General">
                  <c:v>0.134626278053009</c:v>
                </c:pt>
                <c:pt idx="217" formatCode="General">
                  <c:v>0.13244181279320499</c:v>
                </c:pt>
                <c:pt idx="218" formatCode="General">
                  <c:v>0.114621834011936</c:v>
                </c:pt>
                <c:pt idx="219" formatCode="General">
                  <c:v>0.11123872950499</c:v>
                </c:pt>
                <c:pt idx="220">
                  <c:v>9.4720666981713803E-2</c:v>
                </c:pt>
                <c:pt idx="221" formatCode="General">
                  <c:v>9.3337380957596999E-2</c:v>
                </c:pt>
                <c:pt idx="222" formatCode="General">
                  <c:v>0.10857543446760699</c:v>
                </c:pt>
                <c:pt idx="223" formatCode="General">
                  <c:v>0.101436802293376</c:v>
                </c:pt>
                <c:pt idx="224" formatCode="General">
                  <c:v>0.10446000206554</c:v>
                </c:pt>
                <c:pt idx="225" formatCode="General">
                  <c:v>0.10523614445011301</c:v>
                </c:pt>
                <c:pt idx="226" formatCode="General">
                  <c:v>0.10379339590459701</c:v>
                </c:pt>
                <c:pt idx="227" formatCode="General">
                  <c:v>0.111154230132476</c:v>
                </c:pt>
                <c:pt idx="228" formatCode="General">
                  <c:v>0.12787571707106399</c:v>
                </c:pt>
                <c:pt idx="229" formatCode="General">
                  <c:v>0.12678661404755101</c:v>
                </c:pt>
                <c:pt idx="230" formatCode="General">
                  <c:v>0.16132807976740801</c:v>
                </c:pt>
                <c:pt idx="231" formatCode="General">
                  <c:v>0.16365650692112399</c:v>
                </c:pt>
                <c:pt idx="232" formatCode="General">
                  <c:v>0.168973708176723</c:v>
                </c:pt>
                <c:pt idx="233" formatCode="General">
                  <c:v>0.15877432095365401</c:v>
                </c:pt>
                <c:pt idx="234" formatCode="General">
                  <c:v>0.14714470361062701</c:v>
                </c:pt>
                <c:pt idx="235" formatCode="General">
                  <c:v>0.14012812608558201</c:v>
                </c:pt>
                <c:pt idx="236" formatCode="General">
                  <c:v>0.150171032989181</c:v>
                </c:pt>
                <c:pt idx="237" formatCode="General">
                  <c:v>0.159506648848774</c:v>
                </c:pt>
                <c:pt idx="238" formatCode="General">
                  <c:v>0.15158874468358099</c:v>
                </c:pt>
                <c:pt idx="239" formatCode="General">
                  <c:v>0.14148637525858401</c:v>
                </c:pt>
                <c:pt idx="240" formatCode="General">
                  <c:v>0.141764910227241</c:v>
                </c:pt>
                <c:pt idx="241" formatCode="General">
                  <c:v>0.14061947428871899</c:v>
                </c:pt>
                <c:pt idx="242" formatCode="General">
                  <c:v>0.14419035517902901</c:v>
                </c:pt>
                <c:pt idx="243" formatCode="General">
                  <c:v>0.137255147420109</c:v>
                </c:pt>
              </c:numCache>
            </c:numRef>
          </c:val>
          <c:smooth val="1"/>
          <c:extLst>
            <c:ext xmlns:c16="http://schemas.microsoft.com/office/drawing/2014/chart" uri="{C3380CC4-5D6E-409C-BE32-E72D297353CC}">
              <c16:uniqueId val="{00000000-D8CA-4748-883F-591F6E043D87}"/>
            </c:ext>
          </c:extLst>
        </c:ser>
        <c:ser>
          <c:idx val="2"/>
          <c:order val="1"/>
          <c:tx>
            <c:strRef>
              <c:f>Sheet1!$A$3</c:f>
              <c:strCache>
                <c:ptCount val="1"/>
                <c:pt idx="0">
                  <c:v>沪深300</c:v>
                </c:pt>
              </c:strCache>
            </c:strRef>
          </c:tx>
          <c:spPr>
            <a:ln w="25277">
              <a:solidFill>
                <a:srgbClr val="969696"/>
              </a:solidFill>
              <a:prstDash val="solid"/>
            </a:ln>
          </c:spPr>
          <c:marker>
            <c:symbol val="none"/>
          </c:marker>
          <c:cat>
            <c:numRef>
              <c:f>Sheet1!$B$1:$IK$1</c:f>
              <c:numCache>
                <c:formatCode>m/d/yyyy</c:formatCode>
                <c:ptCount val="244"/>
                <c:pt idx="0">
                  <c:v>42626</c:v>
                </c:pt>
                <c:pt idx="1">
                  <c:v>42627</c:v>
                </c:pt>
                <c:pt idx="2">
                  <c:v>42632</c:v>
                </c:pt>
                <c:pt idx="3">
                  <c:v>42633</c:v>
                </c:pt>
                <c:pt idx="4">
                  <c:v>42634</c:v>
                </c:pt>
                <c:pt idx="5">
                  <c:v>42635</c:v>
                </c:pt>
                <c:pt idx="6">
                  <c:v>42636</c:v>
                </c:pt>
                <c:pt idx="7">
                  <c:v>42639</c:v>
                </c:pt>
                <c:pt idx="8">
                  <c:v>42640</c:v>
                </c:pt>
                <c:pt idx="9">
                  <c:v>42641</c:v>
                </c:pt>
                <c:pt idx="10">
                  <c:v>42642</c:v>
                </c:pt>
                <c:pt idx="11">
                  <c:v>42643</c:v>
                </c:pt>
                <c:pt idx="12">
                  <c:v>42653</c:v>
                </c:pt>
                <c:pt idx="13">
                  <c:v>42654</c:v>
                </c:pt>
                <c:pt idx="14">
                  <c:v>42655</c:v>
                </c:pt>
                <c:pt idx="15">
                  <c:v>42656</c:v>
                </c:pt>
                <c:pt idx="16">
                  <c:v>42657</c:v>
                </c:pt>
                <c:pt idx="17">
                  <c:v>42660</c:v>
                </c:pt>
                <c:pt idx="18">
                  <c:v>42661</c:v>
                </c:pt>
                <c:pt idx="19">
                  <c:v>42662</c:v>
                </c:pt>
                <c:pt idx="20">
                  <c:v>42663</c:v>
                </c:pt>
                <c:pt idx="21">
                  <c:v>42664</c:v>
                </c:pt>
                <c:pt idx="22">
                  <c:v>42667</c:v>
                </c:pt>
                <c:pt idx="23">
                  <c:v>42668</c:v>
                </c:pt>
                <c:pt idx="24">
                  <c:v>42669</c:v>
                </c:pt>
                <c:pt idx="25">
                  <c:v>42670</c:v>
                </c:pt>
                <c:pt idx="26">
                  <c:v>42671</c:v>
                </c:pt>
                <c:pt idx="27">
                  <c:v>42674</c:v>
                </c:pt>
                <c:pt idx="28">
                  <c:v>42675</c:v>
                </c:pt>
                <c:pt idx="29">
                  <c:v>42676</c:v>
                </c:pt>
                <c:pt idx="30">
                  <c:v>42677</c:v>
                </c:pt>
                <c:pt idx="31">
                  <c:v>42678</c:v>
                </c:pt>
                <c:pt idx="32">
                  <c:v>42681</c:v>
                </c:pt>
                <c:pt idx="33">
                  <c:v>42682</c:v>
                </c:pt>
                <c:pt idx="34">
                  <c:v>42683</c:v>
                </c:pt>
                <c:pt idx="35">
                  <c:v>42684</c:v>
                </c:pt>
                <c:pt idx="36">
                  <c:v>42685</c:v>
                </c:pt>
                <c:pt idx="37">
                  <c:v>42688</c:v>
                </c:pt>
                <c:pt idx="38">
                  <c:v>42689</c:v>
                </c:pt>
                <c:pt idx="39">
                  <c:v>42690</c:v>
                </c:pt>
                <c:pt idx="40">
                  <c:v>42691</c:v>
                </c:pt>
                <c:pt idx="41">
                  <c:v>42692</c:v>
                </c:pt>
                <c:pt idx="42">
                  <c:v>42695</c:v>
                </c:pt>
                <c:pt idx="43">
                  <c:v>42696</c:v>
                </c:pt>
                <c:pt idx="44">
                  <c:v>42697</c:v>
                </c:pt>
                <c:pt idx="45">
                  <c:v>42698</c:v>
                </c:pt>
                <c:pt idx="46">
                  <c:v>42699</c:v>
                </c:pt>
                <c:pt idx="47">
                  <c:v>42702</c:v>
                </c:pt>
                <c:pt idx="48">
                  <c:v>42703</c:v>
                </c:pt>
                <c:pt idx="49">
                  <c:v>42704</c:v>
                </c:pt>
                <c:pt idx="50">
                  <c:v>42705</c:v>
                </c:pt>
                <c:pt idx="51">
                  <c:v>42706</c:v>
                </c:pt>
                <c:pt idx="52">
                  <c:v>42709</c:v>
                </c:pt>
                <c:pt idx="53">
                  <c:v>42710</c:v>
                </c:pt>
                <c:pt idx="54">
                  <c:v>42711</c:v>
                </c:pt>
                <c:pt idx="55">
                  <c:v>42712</c:v>
                </c:pt>
                <c:pt idx="56">
                  <c:v>42713</c:v>
                </c:pt>
                <c:pt idx="57">
                  <c:v>42716</c:v>
                </c:pt>
                <c:pt idx="58">
                  <c:v>42717</c:v>
                </c:pt>
                <c:pt idx="59">
                  <c:v>42718</c:v>
                </c:pt>
                <c:pt idx="60">
                  <c:v>42719</c:v>
                </c:pt>
                <c:pt idx="61">
                  <c:v>42720</c:v>
                </c:pt>
                <c:pt idx="62">
                  <c:v>42723</c:v>
                </c:pt>
                <c:pt idx="63">
                  <c:v>42724</c:v>
                </c:pt>
                <c:pt idx="64">
                  <c:v>42725</c:v>
                </c:pt>
                <c:pt idx="65">
                  <c:v>42726</c:v>
                </c:pt>
                <c:pt idx="66">
                  <c:v>42727</c:v>
                </c:pt>
                <c:pt idx="67">
                  <c:v>42730</c:v>
                </c:pt>
                <c:pt idx="68">
                  <c:v>42731</c:v>
                </c:pt>
                <c:pt idx="69">
                  <c:v>42732</c:v>
                </c:pt>
                <c:pt idx="70">
                  <c:v>42733</c:v>
                </c:pt>
                <c:pt idx="71">
                  <c:v>42734</c:v>
                </c:pt>
                <c:pt idx="72">
                  <c:v>42738</c:v>
                </c:pt>
                <c:pt idx="73">
                  <c:v>42739</c:v>
                </c:pt>
                <c:pt idx="74">
                  <c:v>42740</c:v>
                </c:pt>
                <c:pt idx="75">
                  <c:v>42741</c:v>
                </c:pt>
                <c:pt idx="76">
                  <c:v>42744</c:v>
                </c:pt>
                <c:pt idx="77">
                  <c:v>42745</c:v>
                </c:pt>
                <c:pt idx="78">
                  <c:v>42746</c:v>
                </c:pt>
                <c:pt idx="79">
                  <c:v>42747</c:v>
                </c:pt>
                <c:pt idx="80">
                  <c:v>42748</c:v>
                </c:pt>
                <c:pt idx="81">
                  <c:v>42751</c:v>
                </c:pt>
                <c:pt idx="82">
                  <c:v>42752</c:v>
                </c:pt>
                <c:pt idx="83">
                  <c:v>42753</c:v>
                </c:pt>
                <c:pt idx="84">
                  <c:v>42754</c:v>
                </c:pt>
                <c:pt idx="85">
                  <c:v>42755</c:v>
                </c:pt>
                <c:pt idx="86">
                  <c:v>42758</c:v>
                </c:pt>
                <c:pt idx="87">
                  <c:v>42759</c:v>
                </c:pt>
                <c:pt idx="88">
                  <c:v>42760</c:v>
                </c:pt>
                <c:pt idx="89">
                  <c:v>42761</c:v>
                </c:pt>
                <c:pt idx="90">
                  <c:v>42769</c:v>
                </c:pt>
                <c:pt idx="91">
                  <c:v>42772</c:v>
                </c:pt>
                <c:pt idx="92">
                  <c:v>42773</c:v>
                </c:pt>
                <c:pt idx="93">
                  <c:v>42774</c:v>
                </c:pt>
                <c:pt idx="94">
                  <c:v>42775</c:v>
                </c:pt>
                <c:pt idx="95">
                  <c:v>42776</c:v>
                </c:pt>
                <c:pt idx="96">
                  <c:v>42779</c:v>
                </c:pt>
                <c:pt idx="97">
                  <c:v>42780</c:v>
                </c:pt>
                <c:pt idx="98">
                  <c:v>42781</c:v>
                </c:pt>
                <c:pt idx="99">
                  <c:v>42782</c:v>
                </c:pt>
                <c:pt idx="100">
                  <c:v>42783</c:v>
                </c:pt>
                <c:pt idx="101">
                  <c:v>42786</c:v>
                </c:pt>
                <c:pt idx="102">
                  <c:v>42787</c:v>
                </c:pt>
                <c:pt idx="103">
                  <c:v>42788</c:v>
                </c:pt>
                <c:pt idx="104">
                  <c:v>42789</c:v>
                </c:pt>
                <c:pt idx="105">
                  <c:v>42790</c:v>
                </c:pt>
                <c:pt idx="106">
                  <c:v>42793</c:v>
                </c:pt>
                <c:pt idx="107">
                  <c:v>42794</c:v>
                </c:pt>
                <c:pt idx="108">
                  <c:v>42795</c:v>
                </c:pt>
                <c:pt idx="109">
                  <c:v>42796</c:v>
                </c:pt>
                <c:pt idx="110">
                  <c:v>42797</c:v>
                </c:pt>
                <c:pt idx="111">
                  <c:v>42800</c:v>
                </c:pt>
                <c:pt idx="112">
                  <c:v>42801</c:v>
                </c:pt>
                <c:pt idx="113">
                  <c:v>42802</c:v>
                </c:pt>
                <c:pt idx="114">
                  <c:v>42803</c:v>
                </c:pt>
                <c:pt idx="115">
                  <c:v>42804</c:v>
                </c:pt>
                <c:pt idx="116">
                  <c:v>42807</c:v>
                </c:pt>
                <c:pt idx="117">
                  <c:v>42808</c:v>
                </c:pt>
                <c:pt idx="118">
                  <c:v>42809</c:v>
                </c:pt>
                <c:pt idx="119">
                  <c:v>42810</c:v>
                </c:pt>
                <c:pt idx="120">
                  <c:v>42811</c:v>
                </c:pt>
                <c:pt idx="121">
                  <c:v>42814</c:v>
                </c:pt>
                <c:pt idx="122">
                  <c:v>42815</c:v>
                </c:pt>
                <c:pt idx="123">
                  <c:v>42816</c:v>
                </c:pt>
                <c:pt idx="124">
                  <c:v>42817</c:v>
                </c:pt>
                <c:pt idx="125">
                  <c:v>42818</c:v>
                </c:pt>
                <c:pt idx="126">
                  <c:v>42821</c:v>
                </c:pt>
                <c:pt idx="127">
                  <c:v>42822</c:v>
                </c:pt>
                <c:pt idx="128">
                  <c:v>42823</c:v>
                </c:pt>
                <c:pt idx="129">
                  <c:v>42824</c:v>
                </c:pt>
                <c:pt idx="130">
                  <c:v>42825</c:v>
                </c:pt>
                <c:pt idx="131">
                  <c:v>42830</c:v>
                </c:pt>
                <c:pt idx="132">
                  <c:v>42831</c:v>
                </c:pt>
                <c:pt idx="133">
                  <c:v>42832</c:v>
                </c:pt>
                <c:pt idx="134">
                  <c:v>42835</c:v>
                </c:pt>
                <c:pt idx="135">
                  <c:v>42836</c:v>
                </c:pt>
                <c:pt idx="136">
                  <c:v>42837</c:v>
                </c:pt>
                <c:pt idx="137">
                  <c:v>42838</c:v>
                </c:pt>
                <c:pt idx="138">
                  <c:v>42839</c:v>
                </c:pt>
                <c:pt idx="139">
                  <c:v>42842</c:v>
                </c:pt>
                <c:pt idx="140">
                  <c:v>42843</c:v>
                </c:pt>
                <c:pt idx="141">
                  <c:v>42844</c:v>
                </c:pt>
                <c:pt idx="142">
                  <c:v>42845</c:v>
                </c:pt>
                <c:pt idx="143">
                  <c:v>42846</c:v>
                </c:pt>
                <c:pt idx="144">
                  <c:v>42849</c:v>
                </c:pt>
                <c:pt idx="145">
                  <c:v>42850</c:v>
                </c:pt>
                <c:pt idx="146">
                  <c:v>42851</c:v>
                </c:pt>
                <c:pt idx="147">
                  <c:v>42852</c:v>
                </c:pt>
                <c:pt idx="148">
                  <c:v>42853</c:v>
                </c:pt>
                <c:pt idx="149">
                  <c:v>42857</c:v>
                </c:pt>
                <c:pt idx="150">
                  <c:v>42858</c:v>
                </c:pt>
                <c:pt idx="151">
                  <c:v>42859</c:v>
                </c:pt>
                <c:pt idx="152">
                  <c:v>42860</c:v>
                </c:pt>
                <c:pt idx="153">
                  <c:v>42863</c:v>
                </c:pt>
                <c:pt idx="154">
                  <c:v>42864</c:v>
                </c:pt>
                <c:pt idx="155">
                  <c:v>42865</c:v>
                </c:pt>
                <c:pt idx="156">
                  <c:v>42866</c:v>
                </c:pt>
                <c:pt idx="157">
                  <c:v>42867</c:v>
                </c:pt>
                <c:pt idx="158">
                  <c:v>42870</c:v>
                </c:pt>
                <c:pt idx="159">
                  <c:v>42871</c:v>
                </c:pt>
                <c:pt idx="160">
                  <c:v>42872</c:v>
                </c:pt>
                <c:pt idx="161">
                  <c:v>42873</c:v>
                </c:pt>
                <c:pt idx="162">
                  <c:v>42874</c:v>
                </c:pt>
                <c:pt idx="163">
                  <c:v>42877</c:v>
                </c:pt>
                <c:pt idx="164">
                  <c:v>42878</c:v>
                </c:pt>
                <c:pt idx="165">
                  <c:v>42879</c:v>
                </c:pt>
                <c:pt idx="166">
                  <c:v>42880</c:v>
                </c:pt>
                <c:pt idx="167">
                  <c:v>42881</c:v>
                </c:pt>
                <c:pt idx="168">
                  <c:v>42886</c:v>
                </c:pt>
                <c:pt idx="169">
                  <c:v>42887</c:v>
                </c:pt>
                <c:pt idx="170">
                  <c:v>42888</c:v>
                </c:pt>
                <c:pt idx="171">
                  <c:v>42891</c:v>
                </c:pt>
                <c:pt idx="172">
                  <c:v>42892</c:v>
                </c:pt>
                <c:pt idx="173">
                  <c:v>42893</c:v>
                </c:pt>
                <c:pt idx="174">
                  <c:v>42894</c:v>
                </c:pt>
                <c:pt idx="175">
                  <c:v>42895</c:v>
                </c:pt>
                <c:pt idx="176">
                  <c:v>42898</c:v>
                </c:pt>
                <c:pt idx="177">
                  <c:v>42899</c:v>
                </c:pt>
                <c:pt idx="178">
                  <c:v>42900</c:v>
                </c:pt>
                <c:pt idx="179">
                  <c:v>42901</c:v>
                </c:pt>
                <c:pt idx="180">
                  <c:v>42902</c:v>
                </c:pt>
                <c:pt idx="181">
                  <c:v>42905</c:v>
                </c:pt>
                <c:pt idx="182">
                  <c:v>42906</c:v>
                </c:pt>
                <c:pt idx="183">
                  <c:v>42907</c:v>
                </c:pt>
                <c:pt idx="184">
                  <c:v>42908</c:v>
                </c:pt>
                <c:pt idx="185">
                  <c:v>42909</c:v>
                </c:pt>
                <c:pt idx="186">
                  <c:v>42912</c:v>
                </c:pt>
                <c:pt idx="187">
                  <c:v>42913</c:v>
                </c:pt>
                <c:pt idx="188">
                  <c:v>42914</c:v>
                </c:pt>
                <c:pt idx="189">
                  <c:v>42915</c:v>
                </c:pt>
                <c:pt idx="190">
                  <c:v>42916</c:v>
                </c:pt>
                <c:pt idx="191">
                  <c:v>42919</c:v>
                </c:pt>
                <c:pt idx="192">
                  <c:v>42920</c:v>
                </c:pt>
                <c:pt idx="193">
                  <c:v>42921</c:v>
                </c:pt>
                <c:pt idx="194">
                  <c:v>42922</c:v>
                </c:pt>
                <c:pt idx="195">
                  <c:v>42923</c:v>
                </c:pt>
                <c:pt idx="196">
                  <c:v>42926</c:v>
                </c:pt>
                <c:pt idx="197">
                  <c:v>42927</c:v>
                </c:pt>
                <c:pt idx="198">
                  <c:v>42928</c:v>
                </c:pt>
                <c:pt idx="199">
                  <c:v>42929</c:v>
                </c:pt>
                <c:pt idx="200">
                  <c:v>42930</c:v>
                </c:pt>
                <c:pt idx="201">
                  <c:v>42933</c:v>
                </c:pt>
                <c:pt idx="202">
                  <c:v>42934</c:v>
                </c:pt>
                <c:pt idx="203">
                  <c:v>42935</c:v>
                </c:pt>
                <c:pt idx="204">
                  <c:v>42936</c:v>
                </c:pt>
                <c:pt idx="205">
                  <c:v>42937</c:v>
                </c:pt>
                <c:pt idx="206">
                  <c:v>42940</c:v>
                </c:pt>
                <c:pt idx="207">
                  <c:v>42941</c:v>
                </c:pt>
                <c:pt idx="208">
                  <c:v>42942</c:v>
                </c:pt>
                <c:pt idx="209">
                  <c:v>42943</c:v>
                </c:pt>
                <c:pt idx="210">
                  <c:v>42944</c:v>
                </c:pt>
                <c:pt idx="211">
                  <c:v>42947</c:v>
                </c:pt>
                <c:pt idx="212">
                  <c:v>42948</c:v>
                </c:pt>
                <c:pt idx="213">
                  <c:v>42949</c:v>
                </c:pt>
                <c:pt idx="214">
                  <c:v>42950</c:v>
                </c:pt>
                <c:pt idx="215">
                  <c:v>42951</c:v>
                </c:pt>
                <c:pt idx="216">
                  <c:v>42954</c:v>
                </c:pt>
                <c:pt idx="217">
                  <c:v>42955</c:v>
                </c:pt>
                <c:pt idx="218">
                  <c:v>42956</c:v>
                </c:pt>
                <c:pt idx="219">
                  <c:v>42957</c:v>
                </c:pt>
                <c:pt idx="220">
                  <c:v>42958</c:v>
                </c:pt>
                <c:pt idx="221">
                  <c:v>42961</c:v>
                </c:pt>
                <c:pt idx="222">
                  <c:v>42962</c:v>
                </c:pt>
                <c:pt idx="223">
                  <c:v>42963</c:v>
                </c:pt>
                <c:pt idx="224">
                  <c:v>42964</c:v>
                </c:pt>
                <c:pt idx="225">
                  <c:v>42965</c:v>
                </c:pt>
                <c:pt idx="226">
                  <c:v>42968</c:v>
                </c:pt>
                <c:pt idx="227">
                  <c:v>42969</c:v>
                </c:pt>
                <c:pt idx="228">
                  <c:v>42970</c:v>
                </c:pt>
                <c:pt idx="229">
                  <c:v>42971</c:v>
                </c:pt>
                <c:pt idx="230">
                  <c:v>42972</c:v>
                </c:pt>
                <c:pt idx="231">
                  <c:v>42975</c:v>
                </c:pt>
                <c:pt idx="232">
                  <c:v>42976</c:v>
                </c:pt>
                <c:pt idx="233">
                  <c:v>42977</c:v>
                </c:pt>
                <c:pt idx="234">
                  <c:v>42978</c:v>
                </c:pt>
                <c:pt idx="235">
                  <c:v>42979</c:v>
                </c:pt>
                <c:pt idx="236">
                  <c:v>42982</c:v>
                </c:pt>
                <c:pt idx="237">
                  <c:v>42983</c:v>
                </c:pt>
                <c:pt idx="238">
                  <c:v>42984</c:v>
                </c:pt>
                <c:pt idx="239">
                  <c:v>42985</c:v>
                </c:pt>
                <c:pt idx="240">
                  <c:v>42986</c:v>
                </c:pt>
                <c:pt idx="241">
                  <c:v>42989</c:v>
                </c:pt>
                <c:pt idx="242">
                  <c:v>42990</c:v>
                </c:pt>
                <c:pt idx="243">
                  <c:v>42991</c:v>
                </c:pt>
              </c:numCache>
            </c:numRef>
          </c:cat>
          <c:val>
            <c:numRef>
              <c:f>Sheet1!$B$3:$IK$3</c:f>
              <c:numCache>
                <c:formatCode>0.00E+00</c:formatCode>
                <c:ptCount val="244"/>
                <c:pt idx="0" formatCode="General">
                  <c:v>0</c:v>
                </c:pt>
                <c:pt idx="1">
                  <c:v>-6.6263170050422397E-3</c:v>
                </c:pt>
                <c:pt idx="2">
                  <c:v>8.5604752643364502E-4</c:v>
                </c:pt>
                <c:pt idx="3">
                  <c:v>-8.9868120833069799E-4</c:v>
                </c:pt>
                <c:pt idx="4">
                  <c:v>1.93323810788648E-3</c:v>
                </c:pt>
                <c:pt idx="5">
                  <c:v>9.4432071815977493E-3</c:v>
                </c:pt>
                <c:pt idx="6">
                  <c:v>4.7028938455060398E-3</c:v>
                </c:pt>
                <c:pt idx="7">
                  <c:v>-1.22840212947574E-2</c:v>
                </c:pt>
                <c:pt idx="8">
                  <c:v>-6.00521480474547E-3</c:v>
                </c:pt>
                <c:pt idx="9">
                  <c:v>-9.0306726337463505E-3</c:v>
                </c:pt>
                <c:pt idx="10">
                  <c:v>-4.89091144984266E-3</c:v>
                </c:pt>
                <c:pt idx="11">
                  <c:v>-2.1620490913044602E-3</c:v>
                </c:pt>
                <c:pt idx="12">
                  <c:v>1.0285759154049501E-2</c:v>
                </c:pt>
                <c:pt idx="13">
                  <c:v>1.41776928921062E-2</c:v>
                </c:pt>
                <c:pt idx="14">
                  <c:v>1.21693090859123E-2</c:v>
                </c:pt>
                <c:pt idx="15">
                  <c:v>1.2977815456273901E-2</c:v>
                </c:pt>
                <c:pt idx="16">
                  <c:v>1.3960230442718401E-2</c:v>
                </c:pt>
                <c:pt idx="17">
                  <c:v>5.3813521502250597E-3</c:v>
                </c:pt>
                <c:pt idx="18">
                  <c:v>1.8709438575752701E-2</c:v>
                </c:pt>
                <c:pt idx="19">
                  <c:v>1.7147634919500599E-2</c:v>
                </c:pt>
                <c:pt idx="20">
                  <c:v>1.7872714228883899E-2</c:v>
                </c:pt>
                <c:pt idx="21">
                  <c:v>2.0674881982913899E-2</c:v>
                </c:pt>
                <c:pt idx="22">
                  <c:v>3.2893572527714202E-2</c:v>
                </c:pt>
                <c:pt idx="23">
                  <c:v>3.2855846319992402E-2</c:v>
                </c:pt>
                <c:pt idx="24">
                  <c:v>2.8974647681693898E-2</c:v>
                </c:pt>
                <c:pt idx="25">
                  <c:v>2.6181988158878299E-2</c:v>
                </c:pt>
                <c:pt idx="26">
                  <c:v>2.44739417722055E-2</c:v>
                </c:pt>
                <c:pt idx="27">
                  <c:v>2.3293571546219201E-2</c:v>
                </c:pt>
                <c:pt idx="28">
                  <c:v>3.0278686256894401E-2</c:v>
                </c:pt>
                <c:pt idx="29">
                  <c:v>2.23963012367141E-2</c:v>
                </c:pt>
                <c:pt idx="30" formatCode="General">
                  <c:v>3.2129172081501997E-2</c:v>
                </c:pt>
                <c:pt idx="31">
                  <c:v>2.87828881282985E-2</c:v>
                </c:pt>
                <c:pt idx="32">
                  <c:v>2.95241621024602E-2</c:v>
                </c:pt>
                <c:pt idx="33">
                  <c:v>3.3979535219255098E-2</c:v>
                </c:pt>
                <c:pt idx="34">
                  <c:v>2.8439364936035699E-2</c:v>
                </c:pt>
                <c:pt idx="35">
                  <c:v>3.9958771082585699E-2</c:v>
                </c:pt>
                <c:pt idx="36">
                  <c:v>4.8120268696479902E-2</c:v>
                </c:pt>
                <c:pt idx="37">
                  <c:v>5.2115903498200798E-2</c:v>
                </c:pt>
                <c:pt idx="38">
                  <c:v>5.1999811062244397E-2</c:v>
                </c:pt>
                <c:pt idx="39">
                  <c:v>5.1914666385304703E-2</c:v>
                </c:pt>
                <c:pt idx="40">
                  <c:v>5.4044172788485098E-2</c:v>
                </c:pt>
                <c:pt idx="41">
                  <c:v>4.81921325214325E-2</c:v>
                </c:pt>
                <c:pt idx="42">
                  <c:v>5.5447587715733201E-2</c:v>
                </c:pt>
                <c:pt idx="43">
                  <c:v>6.3806580493464896E-2</c:v>
                </c:pt>
                <c:pt idx="44">
                  <c:v>6.5758896407207598E-2</c:v>
                </c:pt>
                <c:pt idx="45">
                  <c:v>7.0056402214129704E-2</c:v>
                </c:pt>
                <c:pt idx="46">
                  <c:v>8.0042560069784302E-2</c:v>
                </c:pt>
                <c:pt idx="47">
                  <c:v>8.4269827652574195E-2</c:v>
                </c:pt>
                <c:pt idx="48">
                  <c:v>9.3152263894516099E-2</c:v>
                </c:pt>
                <c:pt idx="49">
                  <c:v>8.5165533704685895E-2</c:v>
                </c:pt>
                <c:pt idx="50" formatCode="General">
                  <c:v>9.3457631475066999E-2</c:v>
                </c:pt>
                <c:pt idx="51">
                  <c:v>8.2390878477750507E-2</c:v>
                </c:pt>
                <c:pt idx="52">
                  <c:v>6.4126670496541305E-2</c:v>
                </c:pt>
                <c:pt idx="53">
                  <c:v>6.09815929845203E-2</c:v>
                </c:pt>
                <c:pt idx="54">
                  <c:v>6.6071257138457906E-2</c:v>
                </c:pt>
                <c:pt idx="55">
                  <c:v>6.4352199606604502E-2</c:v>
                </c:pt>
                <c:pt idx="56">
                  <c:v>7.1577780551863798E-2</c:v>
                </c:pt>
                <c:pt idx="57">
                  <c:v>4.56537415043188E-2</c:v>
                </c:pt>
                <c:pt idx="58">
                  <c:v>4.43827363646596E-2</c:v>
                </c:pt>
                <c:pt idx="59">
                  <c:v>3.63804249443231E-2</c:v>
                </c:pt>
                <c:pt idx="60">
                  <c:v>2.45682879632232E-2</c:v>
                </c:pt>
                <c:pt idx="61" formatCode="General">
                  <c:v>2.6284891757988999E-2</c:v>
                </c:pt>
                <c:pt idx="62">
                  <c:v>2.1056039367757899E-2</c:v>
                </c:pt>
                <c:pt idx="63">
                  <c:v>1.49466634236441E-2</c:v>
                </c:pt>
                <c:pt idx="64">
                  <c:v>2.3986200182619401E-2</c:v>
                </c:pt>
                <c:pt idx="65">
                  <c:v>2.3107762305261299E-2</c:v>
                </c:pt>
                <c:pt idx="66">
                  <c:v>1.44973228194789E-2</c:v>
                </c:pt>
                <c:pt idx="67">
                  <c:v>1.9037196507227801E-2</c:v>
                </c:pt>
                <c:pt idx="68">
                  <c:v>1.71921702476403E-2</c:v>
                </c:pt>
                <c:pt idx="69">
                  <c:v>1.2745845286355599E-2</c:v>
                </c:pt>
                <c:pt idx="70">
                  <c:v>1.1480974489415499E-2</c:v>
                </c:pt>
                <c:pt idx="71">
                  <c:v>1.5258502735763501E-2</c:v>
                </c:pt>
                <c:pt idx="72">
                  <c:v>2.5118354474834102E-2</c:v>
                </c:pt>
                <c:pt idx="73" formatCode="General">
                  <c:v>3.3118917607496003E-2</c:v>
                </c:pt>
                <c:pt idx="74">
                  <c:v>3.2958657903962699E-2</c:v>
                </c:pt>
                <c:pt idx="75">
                  <c:v>2.6786680992401599E-2</c:v>
                </c:pt>
                <c:pt idx="76">
                  <c:v>3.17662030228201E-2</c:v>
                </c:pt>
                <c:pt idx="77">
                  <c:v>3.0039446890854499E-2</c:v>
                </c:pt>
                <c:pt idx="78">
                  <c:v>2.27468789231038E-2</c:v>
                </c:pt>
                <c:pt idx="79">
                  <c:v>1.7572162107367499E-2</c:v>
                </c:pt>
                <c:pt idx="80">
                  <c:v>1.8273961586132498E-2</c:v>
                </c:pt>
                <c:pt idx="81" formatCode="General">
                  <c:v>1.8130816698785E-2</c:v>
                </c:pt>
                <c:pt idx="82">
                  <c:v>2.0250477481901199E-2</c:v>
                </c:pt>
                <c:pt idx="83">
                  <c:v>2.4240560703461901E-2</c:v>
                </c:pt>
                <c:pt idx="84">
                  <c:v>2.11500174982127E-2</c:v>
                </c:pt>
                <c:pt idx="85">
                  <c:v>2.9001976178506798E-2</c:v>
                </c:pt>
                <c:pt idx="86">
                  <c:v>3.1821228077009399E-2</c:v>
                </c:pt>
                <c:pt idx="87">
                  <c:v>3.19347440890239E-2</c:v>
                </c:pt>
                <c:pt idx="88">
                  <c:v>3.5447667462188602E-2</c:v>
                </c:pt>
                <c:pt idx="89">
                  <c:v>3.9145571940044199E-2</c:v>
                </c:pt>
                <c:pt idx="90">
                  <c:v>3.1947442178452197E-2</c:v>
                </c:pt>
                <c:pt idx="91">
                  <c:v>3.4619807240548799E-2</c:v>
                </c:pt>
                <c:pt idx="92">
                  <c:v>3.2313233034785102E-2</c:v>
                </c:pt>
                <c:pt idx="93">
                  <c:v>3.7712344107181599E-2</c:v>
                </c:pt>
                <c:pt idx="94" formatCode="General">
                  <c:v>4.1701077773344003E-2</c:v>
                </c:pt>
                <c:pt idx="95">
                  <c:v>4.6974894895705402E-2</c:v>
                </c:pt>
                <c:pt idx="96">
                  <c:v>5.3964426333138499E-2</c:v>
                </c:pt>
                <c:pt idx="97">
                  <c:v>5.3820023905533497E-2</c:v>
                </c:pt>
                <c:pt idx="98">
                  <c:v>4.9498042071162603E-2</c:v>
                </c:pt>
                <c:pt idx="99">
                  <c:v>5.53931454241023E-2</c:v>
                </c:pt>
                <c:pt idx="100">
                  <c:v>4.9414860383893297E-2</c:v>
                </c:pt>
                <c:pt idx="101">
                  <c:v>6.4735596026540804E-2</c:v>
                </c:pt>
                <c:pt idx="102">
                  <c:v>6.8241495577292102E-2</c:v>
                </c:pt>
                <c:pt idx="103">
                  <c:v>7.0368180182821802E-2</c:v>
                </c:pt>
                <c:pt idx="104">
                  <c:v>6.53278668160584E-2</c:v>
                </c:pt>
                <c:pt idx="105">
                  <c:v>6.5489844135553102E-2</c:v>
                </c:pt>
                <c:pt idx="106">
                  <c:v>5.70155870581317E-2</c:v>
                </c:pt>
                <c:pt idx="107">
                  <c:v>5.9036086191195797E-2</c:v>
                </c:pt>
                <c:pt idx="108">
                  <c:v>6.0762075530321501E-2</c:v>
                </c:pt>
                <c:pt idx="109">
                  <c:v>5.3602898844995299E-2</c:v>
                </c:pt>
                <c:pt idx="110">
                  <c:v>5.1384260442108198E-2</c:v>
                </c:pt>
                <c:pt idx="111">
                  <c:v>5.7095701574041598E-2</c:v>
                </c:pt>
                <c:pt idx="112">
                  <c:v>5.93876453724205E-2</c:v>
                </c:pt>
                <c:pt idx="113">
                  <c:v>5.77849869936597E-2</c:v>
                </c:pt>
                <c:pt idx="114">
                  <c:v>5.1102387394171202E-2</c:v>
                </c:pt>
                <c:pt idx="115">
                  <c:v>5.13930938956235E-2</c:v>
                </c:pt>
                <c:pt idx="116">
                  <c:v>6.0657914390953402E-2</c:v>
                </c:pt>
                <c:pt idx="117">
                  <c:v>6.0227099501799303E-2</c:v>
                </c:pt>
                <c:pt idx="118" formatCode="General">
                  <c:v>6.2358844940072003E-2</c:v>
                </c:pt>
                <c:pt idx="119" formatCode="General">
                  <c:v>6.7837733139528997E-2</c:v>
                </c:pt>
                <c:pt idx="120">
                  <c:v>5.68874713104459E-2</c:v>
                </c:pt>
                <c:pt idx="121">
                  <c:v>5.8055296805571602E-2</c:v>
                </c:pt>
                <c:pt idx="122">
                  <c:v>6.31879627019694E-2</c:v>
                </c:pt>
                <c:pt idx="123">
                  <c:v>5.8189516224262897E-2</c:v>
                </c:pt>
                <c:pt idx="124">
                  <c:v>6.1848038221862703E-2</c:v>
                </c:pt>
                <c:pt idx="125">
                  <c:v>7.0320025592477894E-2</c:v>
                </c:pt>
                <c:pt idx="126">
                  <c:v>6.6774007440344202E-2</c:v>
                </c:pt>
                <c:pt idx="127">
                  <c:v>6.4249970785192706E-2</c:v>
                </c:pt>
                <c:pt idx="128">
                  <c:v>6.2834164485652294E-2</c:v>
                </c:pt>
                <c:pt idx="129">
                  <c:v>5.4112570709801598E-2</c:v>
                </c:pt>
                <c:pt idx="130">
                  <c:v>6.0028377469418102E-2</c:v>
                </c:pt>
                <c:pt idx="131">
                  <c:v>7.4704086975164702E-2</c:v>
                </c:pt>
                <c:pt idx="132">
                  <c:v>7.7818400758450104E-2</c:v>
                </c:pt>
                <c:pt idx="133" formatCode="General">
                  <c:v>7.8866299853420002E-2</c:v>
                </c:pt>
                <c:pt idx="134">
                  <c:v>7.5086256526557302E-2</c:v>
                </c:pt>
                <c:pt idx="135">
                  <c:v>7.8824770353212295E-2</c:v>
                </c:pt>
                <c:pt idx="136" formatCode="General">
                  <c:v>7.6404986852569995E-2</c:v>
                </c:pt>
                <c:pt idx="137">
                  <c:v>7.7977678967148495E-2</c:v>
                </c:pt>
                <c:pt idx="138">
                  <c:v>6.9370674713288505E-2</c:v>
                </c:pt>
                <c:pt idx="139">
                  <c:v>6.7357751493482401E-2</c:v>
                </c:pt>
                <c:pt idx="140">
                  <c:v>6.2082584815722902E-2</c:v>
                </c:pt>
                <c:pt idx="141">
                  <c:v>5.6909248227098301E-2</c:v>
                </c:pt>
                <c:pt idx="142">
                  <c:v>6.1716119181690801E-2</c:v>
                </c:pt>
                <c:pt idx="143">
                  <c:v>6.3322826226646103E-2</c:v>
                </c:pt>
                <c:pt idx="144">
                  <c:v>5.2425841164077398E-2</c:v>
                </c:pt>
                <c:pt idx="145">
                  <c:v>5.5405782170103501E-2</c:v>
                </c:pt>
                <c:pt idx="146">
                  <c:v>5.6696723923599097E-2</c:v>
                </c:pt>
                <c:pt idx="147">
                  <c:v>5.7168148161552898E-2</c:v>
                </c:pt>
                <c:pt idx="148" formatCode="General">
                  <c:v>5.5031188531968998E-2</c:v>
                </c:pt>
                <c:pt idx="149">
                  <c:v>5.09897608618506E-2</c:v>
                </c:pt>
                <c:pt idx="150">
                  <c:v>4.6864906130754197E-2</c:v>
                </c:pt>
                <c:pt idx="151">
                  <c:v>4.4183646271715102E-2</c:v>
                </c:pt>
                <c:pt idx="152">
                  <c:v>3.7486109547705697E-2</c:v>
                </c:pt>
                <c:pt idx="153">
                  <c:v>3.0205350189689301E-2</c:v>
                </c:pt>
                <c:pt idx="154">
                  <c:v>2.82791359042158E-2</c:v>
                </c:pt>
                <c:pt idx="155" formatCode="General">
                  <c:v>2.3729999358961001E-2</c:v>
                </c:pt>
                <c:pt idx="156">
                  <c:v>2.9540816842942099E-2</c:v>
                </c:pt>
                <c:pt idx="157">
                  <c:v>3.8353658966737501E-2</c:v>
                </c:pt>
                <c:pt idx="158">
                  <c:v>4.2590956199872701E-2</c:v>
                </c:pt>
                <c:pt idx="159">
                  <c:v>5.1625432126104903E-2</c:v>
                </c:pt>
                <c:pt idx="160">
                  <c:v>4.5894882516601898E-2</c:v>
                </c:pt>
                <c:pt idx="161" formatCode="General">
                  <c:v>4.2259394975912003E-2</c:v>
                </c:pt>
                <c:pt idx="162">
                  <c:v>4.4018877826283297E-2</c:v>
                </c:pt>
                <c:pt idx="163">
                  <c:v>4.62853641023784E-2</c:v>
                </c:pt>
                <c:pt idx="164">
                  <c:v>5.0258976613738501E-2</c:v>
                </c:pt>
                <c:pt idx="165">
                  <c:v>5.0250664579354301E-2</c:v>
                </c:pt>
                <c:pt idx="166">
                  <c:v>6.9111069329421196E-2</c:v>
                </c:pt>
                <c:pt idx="167">
                  <c:v>6.7508901698078105E-2</c:v>
                </c:pt>
                <c:pt idx="168">
                  <c:v>7.13275300406431E-2</c:v>
                </c:pt>
                <c:pt idx="169">
                  <c:v>7.2816243003398701E-2</c:v>
                </c:pt>
                <c:pt idx="170">
                  <c:v>6.9371564192982599E-2</c:v>
                </c:pt>
                <c:pt idx="171">
                  <c:v>6.3926230848198498E-2</c:v>
                </c:pt>
                <c:pt idx="172" formatCode="General">
                  <c:v>7.1326640560949006E-2</c:v>
                </c:pt>
                <c:pt idx="173">
                  <c:v>8.38990373069253E-2</c:v>
                </c:pt>
                <c:pt idx="174">
                  <c:v>9.2213157367667706E-2</c:v>
                </c:pt>
                <c:pt idx="175" formatCode="General">
                  <c:v>9.6872712081864001E-2</c:v>
                </c:pt>
                <c:pt idx="176">
                  <c:v>9.6326479534452503E-2</c:v>
                </c:pt>
                <c:pt idx="177">
                  <c:v>9.8742797131458698E-2</c:v>
                </c:pt>
                <c:pt idx="178">
                  <c:v>8.4336691988210893E-2</c:v>
                </c:pt>
                <c:pt idx="179">
                  <c:v>8.2341159630013205E-2</c:v>
                </c:pt>
                <c:pt idx="180">
                  <c:v>7.9264326680740904E-2</c:v>
                </c:pt>
                <c:pt idx="181">
                  <c:v>8.9970042937331796E-2</c:v>
                </c:pt>
                <c:pt idx="182">
                  <c:v>8.7770482340300895E-2</c:v>
                </c:pt>
                <c:pt idx="183" formatCode="General">
                  <c:v>0.100487281513882</c:v>
                </c:pt>
                <c:pt idx="184" formatCode="General">
                  <c:v>0.10121956867596001</c:v>
                </c:pt>
                <c:pt idx="185" formatCode="General">
                  <c:v>0.111200328310022</c:v>
                </c:pt>
                <c:pt idx="186" formatCode="General">
                  <c:v>0.12506664196571299</c:v>
                </c:pt>
                <c:pt idx="187" formatCode="General">
                  <c:v>0.12709812157224401</c:v>
                </c:pt>
                <c:pt idx="188" formatCode="General">
                  <c:v>0.11834177674489101</c:v>
                </c:pt>
                <c:pt idx="189" formatCode="General">
                  <c:v>0.12529238577777199</c:v>
                </c:pt>
                <c:pt idx="190" formatCode="General">
                  <c:v>0.124669688648368</c:v>
                </c:pt>
                <c:pt idx="191" formatCode="General">
                  <c:v>0.11977712092599101</c:v>
                </c:pt>
                <c:pt idx="192" formatCode="General">
                  <c:v>0.110311155332906</c:v>
                </c:pt>
                <c:pt idx="193" formatCode="General">
                  <c:v>0.122486414731256</c:v>
                </c:pt>
                <c:pt idx="194" formatCode="General">
                  <c:v>0.122614377120374</c:v>
                </c:pt>
                <c:pt idx="195" formatCode="General">
                  <c:v>0.12133616412801999</c:v>
                </c:pt>
                <c:pt idx="196" formatCode="General">
                  <c:v>0.120648350950654</c:v>
                </c:pt>
                <c:pt idx="197" formatCode="General">
                  <c:v>0.125899900408946</c:v>
                </c:pt>
                <c:pt idx="198" formatCode="General">
                  <c:v>0.122223895534597</c:v>
                </c:pt>
                <c:pt idx="199" formatCode="General">
                  <c:v>0.13084169623164299</c:v>
                </c:pt>
                <c:pt idx="200" formatCode="General">
                  <c:v>0.135802385829914</c:v>
                </c:pt>
                <c:pt idx="201" formatCode="General">
                  <c:v>0.123675863784466</c:v>
                </c:pt>
                <c:pt idx="202" formatCode="General">
                  <c:v>0.12478716131143699</c:v>
                </c:pt>
                <c:pt idx="203" formatCode="General">
                  <c:v>0.14397719496750799</c:v>
                </c:pt>
                <c:pt idx="204" formatCode="General">
                  <c:v>0.14954033836420999</c:v>
                </c:pt>
                <c:pt idx="205" formatCode="General">
                  <c:v>0.143624776978303</c:v>
                </c:pt>
                <c:pt idx="206" formatCode="General">
                  <c:v>0.148185967507</c:v>
                </c:pt>
                <c:pt idx="207" formatCode="General">
                  <c:v>0.140852483473314</c:v>
                </c:pt>
                <c:pt idx="208" formatCode="General">
                  <c:v>0.136506117626635</c:v>
                </c:pt>
                <c:pt idx="209" formatCode="General">
                  <c:v>0.138593726469045</c:v>
                </c:pt>
                <c:pt idx="210" formatCode="General">
                  <c:v>0.14156787052120101</c:v>
                </c:pt>
                <c:pt idx="211" formatCode="General">
                  <c:v>0.14646976244451099</c:v>
                </c:pt>
                <c:pt idx="212" formatCode="General">
                  <c:v>0.15644101384735801</c:v>
                </c:pt>
                <c:pt idx="213" formatCode="General">
                  <c:v>0.153517907526624</c:v>
                </c:pt>
                <c:pt idx="214" formatCode="General">
                  <c:v>0.143388236723059</c:v>
                </c:pt>
                <c:pt idx="215" formatCode="General">
                  <c:v>0.137178196214927</c:v>
                </c:pt>
                <c:pt idx="216" formatCode="General">
                  <c:v>0.14307182732561399</c:v>
                </c:pt>
                <c:pt idx="217" formatCode="General">
                  <c:v>0.144733651439899</c:v>
                </c:pt>
                <c:pt idx="218" formatCode="General">
                  <c:v>0.144375129779688</c:v>
                </c:pt>
                <c:pt idx="219" formatCode="General">
                  <c:v>0.13973658518930401</c:v>
                </c:pt>
                <c:pt idx="220" formatCode="General">
                  <c:v>0.11870483781871401</c:v>
                </c:pt>
                <c:pt idx="221" formatCode="General">
                  <c:v>0.13322261867116</c:v>
                </c:pt>
                <c:pt idx="222" formatCode="General">
                  <c:v>0.13671106601687599</c:v>
                </c:pt>
                <c:pt idx="223" formatCode="General">
                  <c:v>0.13528915604632999</c:v>
                </c:pt>
                <c:pt idx="224" formatCode="General">
                  <c:v>0.141379423512874</c:v>
                </c:pt>
                <c:pt idx="225" formatCode="General">
                  <c:v>0.14242158699740201</c:v>
                </c:pt>
                <c:pt idx="226" formatCode="General">
                  <c:v>0.147426995954094</c:v>
                </c:pt>
                <c:pt idx="227" formatCode="General">
                  <c:v>0.15089409578714799</c:v>
                </c:pt>
                <c:pt idx="228" formatCode="General">
                  <c:v>0.152056676419249</c:v>
                </c:pt>
                <c:pt idx="229" formatCode="General">
                  <c:v>0.14547986355994899</c:v>
                </c:pt>
                <c:pt idx="230" formatCode="General">
                  <c:v>0.16422291833380201</c:v>
                </c:pt>
                <c:pt idx="231" formatCode="General">
                  <c:v>0.178625588245127</c:v>
                </c:pt>
                <c:pt idx="232" formatCode="General">
                  <c:v>0.17611839036073901</c:v>
                </c:pt>
                <c:pt idx="233" formatCode="General">
                  <c:v>0.176045667727806</c:v>
                </c:pt>
                <c:pt idx="234" formatCode="General">
                  <c:v>0.17230135694728099</c:v>
                </c:pt>
                <c:pt idx="235" formatCode="General">
                  <c:v>0.174891736518938</c:v>
                </c:pt>
                <c:pt idx="236" formatCode="General">
                  <c:v>0.17951641749477701</c:v>
                </c:pt>
                <c:pt idx="237" formatCode="General">
                  <c:v>0.18302222503038801</c:v>
                </c:pt>
                <c:pt idx="238" formatCode="General">
                  <c:v>0.180692248307151</c:v>
                </c:pt>
                <c:pt idx="239" formatCode="General">
                  <c:v>0.17468715618926001</c:v>
                </c:pt>
                <c:pt idx="240" formatCode="General">
                  <c:v>0.173496541610934</c:v>
                </c:pt>
                <c:pt idx="241" formatCode="General">
                  <c:v>0.17339096957274</c:v>
                </c:pt>
                <c:pt idx="242" formatCode="General">
                  <c:v>0.17716015511298999</c:v>
                </c:pt>
                <c:pt idx="243" formatCode="General">
                  <c:v>0.17859313757214401</c:v>
                </c:pt>
              </c:numCache>
            </c:numRef>
          </c:val>
          <c:smooth val="0"/>
          <c:extLst>
            <c:ext xmlns:c16="http://schemas.microsoft.com/office/drawing/2014/chart" uri="{C3380CC4-5D6E-409C-BE32-E72D297353CC}">
              <c16:uniqueId val="{00000001-D8CA-4748-883F-591F6E043D87}"/>
            </c:ext>
          </c:extLst>
        </c:ser>
        <c:dLbls>
          <c:showLegendKey val="0"/>
          <c:showVal val="0"/>
          <c:showCatName val="0"/>
          <c:showSerName val="0"/>
          <c:showPercent val="0"/>
          <c:showBubbleSize val="0"/>
        </c:dLbls>
        <c:smooth val="0"/>
        <c:axId val="-780642464"/>
        <c:axId val="-780646272"/>
      </c:lineChart>
      <c:dateAx>
        <c:axId val="-780642464"/>
        <c:scaling>
          <c:orientation val="minMax"/>
        </c:scaling>
        <c:delete val="0"/>
        <c:axPos val="b"/>
        <c:numFmt formatCode="yyyy/mm" sourceLinked="0"/>
        <c:majorTickMark val="out"/>
        <c:minorTickMark val="none"/>
        <c:tickLblPos val="nextTo"/>
        <c:spPr>
          <a:ln w="12639">
            <a:solidFill>
              <a:srgbClr val="C0C0C0"/>
            </a:solidFill>
            <a:prstDash val="solid"/>
          </a:ln>
        </c:spPr>
        <c:txPr>
          <a:bodyPr rot="-5400000" vert="horz"/>
          <a:lstStyle/>
          <a:p>
            <a:pPr>
              <a:defRPr sz="796" b="0" i="0" u="none" strike="noStrike" baseline="0">
                <a:solidFill>
                  <a:srgbClr val="000000"/>
                </a:solidFill>
                <a:latin typeface="宋体"/>
                <a:ea typeface="宋体"/>
                <a:cs typeface="宋体"/>
              </a:defRPr>
            </a:pPr>
            <a:endParaRPr lang="zh-CN"/>
          </a:p>
        </c:txPr>
        <c:crossAx val="-780646272"/>
        <c:crosses val="autoZero"/>
        <c:auto val="0"/>
        <c:lblOffset val="100"/>
        <c:baseTimeUnit val="days"/>
        <c:majorUnit val="1"/>
        <c:majorTimeUnit val="months"/>
        <c:minorUnit val="1"/>
        <c:minorTimeUnit val="months"/>
      </c:dateAx>
      <c:valAx>
        <c:axId val="-780646272"/>
        <c:scaling>
          <c:orientation val="minMax"/>
          <c:max val="0.18302222503038812"/>
          <c:min val="-1.4421226242375518E-2"/>
        </c:scaling>
        <c:delete val="0"/>
        <c:axPos val="l"/>
        <c:numFmt formatCode="0%;[Red]\-0%" sourceLinked="0"/>
        <c:majorTickMark val="out"/>
        <c:minorTickMark val="none"/>
        <c:tickLblPos val="nextTo"/>
        <c:spPr>
          <a:ln w="12639">
            <a:solidFill>
              <a:srgbClr val="C0C0C0"/>
            </a:solidFill>
            <a:prstDash val="solid"/>
          </a:ln>
        </c:spPr>
        <c:txPr>
          <a:bodyPr rot="0" vert="horz"/>
          <a:lstStyle/>
          <a:p>
            <a:pPr>
              <a:defRPr sz="796" b="0" i="0" u="none" strike="noStrike" baseline="0">
                <a:solidFill>
                  <a:srgbClr val="000000"/>
                </a:solidFill>
                <a:latin typeface="Arial"/>
                <a:ea typeface="Arial"/>
                <a:cs typeface="Arial"/>
              </a:defRPr>
            </a:pPr>
            <a:endParaRPr lang="zh-CN"/>
          </a:p>
        </c:txPr>
        <c:crossAx val="-780642464"/>
        <c:crosses val="autoZero"/>
        <c:crossBetween val="between"/>
        <c:majorUnit val="3.9488690254552726E-2"/>
      </c:valAx>
      <c:spPr>
        <a:noFill/>
        <a:ln w="25277">
          <a:noFill/>
        </a:ln>
      </c:spPr>
    </c:plotArea>
    <c:legend>
      <c:legendPos val="b"/>
      <c:layout>
        <c:manualLayout>
          <c:xMode val="edge"/>
          <c:yMode val="edge"/>
          <c:x val="0.20967741935483872"/>
          <c:y val="0.83206106870229013"/>
          <c:w val="0.72580645161290325"/>
          <c:h val="0.16030534351145037"/>
        </c:manualLayout>
      </c:layout>
      <c:overlay val="0"/>
      <c:spPr>
        <a:solidFill>
          <a:srgbClr val="FFFFFF"/>
        </a:solidFill>
        <a:ln w="25277">
          <a:noFill/>
        </a:ln>
      </c:spPr>
      <c:txPr>
        <a:bodyPr/>
        <a:lstStyle/>
        <a:p>
          <a:pPr>
            <a:defRPr sz="731" b="0" i="0" u="none" strike="noStrike" baseline="0">
              <a:solidFill>
                <a:srgbClr val="000000"/>
              </a:solidFill>
              <a:latin typeface="Arial"/>
              <a:ea typeface="Arial"/>
              <a:cs typeface="Arial"/>
            </a:defRPr>
          </a:pPr>
          <a:endParaRPr lang="zh-CN"/>
        </a:p>
      </c:txPr>
    </c:legend>
    <c:plotVisOnly val="1"/>
    <c:dispBlanksAs val="gap"/>
    <c:showDLblsOverMax val="0"/>
  </c:chart>
  <c:spPr>
    <a:noFill/>
    <a:ln>
      <a:noFill/>
    </a:ln>
  </c:spPr>
  <c:txPr>
    <a:bodyPr/>
    <a:lstStyle/>
    <a:p>
      <a:pPr>
        <a:defRPr sz="995" b="0" i="0" u="none" strike="noStrike" baseline="0">
          <a:solidFill>
            <a:srgbClr val="000000"/>
          </a:solidFill>
          <a:latin typeface="Arial"/>
          <a:ea typeface="Arial"/>
          <a:cs typeface="Arial"/>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22338145231846E-2"/>
          <c:y val="6.8376068376068383E-2"/>
          <c:w val="0.84331014873140853"/>
          <c:h val="0.74966025080198317"/>
        </c:manualLayout>
      </c:layout>
      <c:barChart>
        <c:barDir val="col"/>
        <c:grouping val="clustered"/>
        <c:varyColors val="0"/>
        <c:ser>
          <c:idx val="0"/>
          <c:order val="0"/>
          <c:tx>
            <c:strRef>
              <c:f>Sheet2!$B$1</c:f>
              <c:strCache>
                <c:ptCount val="1"/>
                <c:pt idx="0">
                  <c:v>银行理财产品资金余额（万亿元）</c:v>
                </c:pt>
              </c:strCache>
            </c:strRef>
          </c:tx>
          <c:spPr>
            <a:solidFill>
              <a:srgbClr val="5B9BD5"/>
            </a:solidFill>
            <a:ln w="25400">
              <a:noFill/>
            </a:ln>
          </c:spPr>
          <c:invertIfNegative val="0"/>
          <c:cat>
            <c:numRef>
              <c:f>Sheet2!$A$8:$A$17</c:f>
              <c:numCache>
                <c:formatCode>yyyy\-mm;@</c:formatCode>
                <c:ptCount val="10"/>
                <c:pt idx="0">
                  <c:v>41274</c:v>
                </c:pt>
                <c:pt idx="1">
                  <c:v>41455</c:v>
                </c:pt>
                <c:pt idx="2">
                  <c:v>41639</c:v>
                </c:pt>
                <c:pt idx="3">
                  <c:v>41820</c:v>
                </c:pt>
                <c:pt idx="4">
                  <c:v>42004</c:v>
                </c:pt>
                <c:pt idx="5">
                  <c:v>42185</c:v>
                </c:pt>
                <c:pt idx="6">
                  <c:v>42369</c:v>
                </c:pt>
                <c:pt idx="7">
                  <c:v>42551</c:v>
                </c:pt>
                <c:pt idx="8">
                  <c:v>42735</c:v>
                </c:pt>
                <c:pt idx="9">
                  <c:v>42916</c:v>
                </c:pt>
              </c:numCache>
            </c:numRef>
          </c:cat>
          <c:val>
            <c:numRef>
              <c:f>Sheet2!$B$8:$B$17</c:f>
              <c:numCache>
                <c:formatCode>###,###,###,###,##0.00_ </c:formatCode>
                <c:ptCount val="10"/>
                <c:pt idx="0">
                  <c:v>7.1</c:v>
                </c:pt>
                <c:pt idx="1">
                  <c:v>9.08</c:v>
                </c:pt>
                <c:pt idx="2">
                  <c:v>10.210000000000001</c:v>
                </c:pt>
                <c:pt idx="3">
                  <c:v>12.65</c:v>
                </c:pt>
                <c:pt idx="4">
                  <c:v>15.02</c:v>
                </c:pt>
                <c:pt idx="5">
                  <c:v>18.52</c:v>
                </c:pt>
                <c:pt idx="6">
                  <c:v>23.5</c:v>
                </c:pt>
                <c:pt idx="7">
                  <c:v>26.28</c:v>
                </c:pt>
                <c:pt idx="8">
                  <c:v>29.05</c:v>
                </c:pt>
                <c:pt idx="9">
                  <c:v>28.38</c:v>
                </c:pt>
              </c:numCache>
            </c:numRef>
          </c:val>
          <c:extLst>
            <c:ext xmlns:c16="http://schemas.microsoft.com/office/drawing/2014/chart" uri="{C3380CC4-5D6E-409C-BE32-E72D297353CC}">
              <c16:uniqueId val="{00000000-A931-4457-88D5-F38920D9CB4C}"/>
            </c:ext>
          </c:extLst>
        </c:ser>
        <c:dLbls>
          <c:showLegendKey val="0"/>
          <c:showVal val="0"/>
          <c:showCatName val="0"/>
          <c:showSerName val="0"/>
          <c:showPercent val="0"/>
          <c:showBubbleSize val="0"/>
        </c:dLbls>
        <c:gapWidth val="219"/>
        <c:overlap val="-27"/>
        <c:axId val="-780644640"/>
        <c:axId val="-780645184"/>
      </c:barChart>
      <c:lineChart>
        <c:grouping val="standard"/>
        <c:varyColors val="0"/>
        <c:ser>
          <c:idx val="1"/>
          <c:order val="1"/>
          <c:tx>
            <c:strRef>
              <c:f>Sheet2!$C$1</c:f>
              <c:strCache>
                <c:ptCount val="1"/>
                <c:pt idx="0">
                  <c:v>同比增速</c:v>
                </c:pt>
              </c:strCache>
            </c:strRef>
          </c:tx>
          <c:spPr>
            <a:ln w="28575" cap="rnd">
              <a:solidFill>
                <a:schemeClr val="bg1">
                  <a:lumMod val="85000"/>
                </a:schemeClr>
              </a:solidFill>
              <a:round/>
            </a:ln>
            <a:effectLst/>
          </c:spPr>
          <c:marker>
            <c:symbol val="none"/>
          </c:marker>
          <c:cat>
            <c:numRef>
              <c:f>Sheet2!$A$8:$A$17</c:f>
              <c:numCache>
                <c:formatCode>yyyy\-mm;@</c:formatCode>
                <c:ptCount val="10"/>
                <c:pt idx="0">
                  <c:v>41274</c:v>
                </c:pt>
                <c:pt idx="1">
                  <c:v>41455</c:v>
                </c:pt>
                <c:pt idx="2">
                  <c:v>41639</c:v>
                </c:pt>
                <c:pt idx="3">
                  <c:v>41820</c:v>
                </c:pt>
                <c:pt idx="4">
                  <c:v>42004</c:v>
                </c:pt>
                <c:pt idx="5">
                  <c:v>42185</c:v>
                </c:pt>
                <c:pt idx="6">
                  <c:v>42369</c:v>
                </c:pt>
                <c:pt idx="7">
                  <c:v>42551</c:v>
                </c:pt>
                <c:pt idx="8">
                  <c:v>42735</c:v>
                </c:pt>
                <c:pt idx="9">
                  <c:v>42916</c:v>
                </c:pt>
              </c:numCache>
            </c:numRef>
          </c:cat>
          <c:val>
            <c:numRef>
              <c:f>Sheet2!$C$8:$C$17</c:f>
              <c:numCache>
                <c:formatCode>General</c:formatCode>
                <c:ptCount val="10"/>
                <c:pt idx="0">
                  <c:v>0.5468409586056644</c:v>
                </c:pt>
                <c:pt idx="1">
                  <c:v>0.51333333333333342</c:v>
                </c:pt>
                <c:pt idx="2">
                  <c:v>0.43802816901408459</c:v>
                </c:pt>
                <c:pt idx="3">
                  <c:v>0.39317180616740099</c:v>
                </c:pt>
                <c:pt idx="4">
                  <c:v>0.47110675808031321</c:v>
                </c:pt>
                <c:pt idx="5">
                  <c:v>0.46403162055335967</c:v>
                </c:pt>
                <c:pt idx="6">
                  <c:v>0.5645805592543276</c:v>
                </c:pt>
                <c:pt idx="7">
                  <c:v>0.41900647948164149</c:v>
                </c:pt>
                <c:pt idx="8">
                  <c:v>0.23617021276595751</c:v>
                </c:pt>
                <c:pt idx="9">
                  <c:v>7.9908675799086781E-2</c:v>
                </c:pt>
              </c:numCache>
            </c:numRef>
          </c:val>
          <c:smooth val="0"/>
          <c:extLst>
            <c:ext xmlns:c16="http://schemas.microsoft.com/office/drawing/2014/chart" uri="{C3380CC4-5D6E-409C-BE32-E72D297353CC}">
              <c16:uniqueId val="{00000001-A931-4457-88D5-F38920D9CB4C}"/>
            </c:ext>
          </c:extLst>
        </c:ser>
        <c:dLbls>
          <c:showLegendKey val="0"/>
          <c:showVal val="0"/>
          <c:showCatName val="0"/>
          <c:showSerName val="0"/>
          <c:showPercent val="0"/>
          <c:showBubbleSize val="0"/>
        </c:dLbls>
        <c:marker val="1"/>
        <c:smooth val="0"/>
        <c:axId val="-780643008"/>
        <c:axId val="-727984720"/>
      </c:lineChart>
      <c:catAx>
        <c:axId val="-780644640"/>
        <c:scaling>
          <c:orientation val="minMax"/>
        </c:scaling>
        <c:delete val="0"/>
        <c:axPos val="b"/>
        <c:numFmt formatCode="yyyy\-mm;@" sourceLinked="1"/>
        <c:majorTickMark val="out"/>
        <c:minorTickMark val="none"/>
        <c:tickLblPos val="nextTo"/>
        <c:spPr>
          <a:noFill/>
          <a:ln w="9525" cap="flat" cmpd="sng" algn="ctr">
            <a:solidFill>
              <a:schemeClr val="tx1">
                <a:lumMod val="15000"/>
                <a:lumOff val="85000"/>
              </a:schemeClr>
            </a:solidFill>
            <a:round/>
          </a:ln>
          <a:effectLst/>
        </c:spPr>
        <c:txPr>
          <a:bodyPr rot="-18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5184"/>
        <c:crosses val="autoZero"/>
        <c:auto val="0"/>
        <c:lblAlgn val="ctr"/>
        <c:lblOffset val="100"/>
        <c:noMultiLvlLbl val="0"/>
      </c:catAx>
      <c:valAx>
        <c:axId val="-780645184"/>
        <c:scaling>
          <c:orientation val="minMax"/>
        </c:scaling>
        <c:delete val="0"/>
        <c:axPos val="l"/>
        <c:numFmt formatCode="#,##0_);[Red]\(#,##0\)" sourceLinked="0"/>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4640"/>
        <c:crosses val="autoZero"/>
        <c:crossBetween val="between"/>
      </c:valAx>
      <c:catAx>
        <c:axId val="-780643008"/>
        <c:scaling>
          <c:orientation val="minMax"/>
        </c:scaling>
        <c:delete val="1"/>
        <c:axPos val="b"/>
        <c:numFmt formatCode="yyyy\-mm;@" sourceLinked="1"/>
        <c:majorTickMark val="out"/>
        <c:minorTickMark val="none"/>
        <c:tickLblPos val="nextTo"/>
        <c:crossAx val="-727984720"/>
        <c:crosses val="autoZero"/>
        <c:auto val="0"/>
        <c:lblAlgn val="ctr"/>
        <c:lblOffset val="100"/>
        <c:noMultiLvlLbl val="0"/>
      </c:catAx>
      <c:valAx>
        <c:axId val="-727984720"/>
        <c:scaling>
          <c:orientation val="minMax"/>
        </c:scaling>
        <c:delete val="0"/>
        <c:axPos val="r"/>
        <c:numFmt formatCode="0%" sourceLinked="0"/>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3008"/>
        <c:crosses val="max"/>
        <c:crossBetween val="between"/>
      </c:valAx>
      <c:spPr>
        <a:noFill/>
        <a:ln w="25400">
          <a:noFill/>
        </a:ln>
      </c:spPr>
    </c:plotArea>
    <c:legend>
      <c:legendPos val="b"/>
      <c:layout>
        <c:manualLayout>
          <c:xMode val="edge"/>
          <c:yMode val="edge"/>
          <c:x val="0.11146675415573054"/>
          <c:y val="0.93036487388229017"/>
          <c:w val="0.73"/>
          <c:h val="6.9027807334893887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楷体_GB2312" panose="02010609030101010101" pitchFamily="49" charset="-122"/>
              <a:ea typeface="楷体_GB2312" panose="02010609030101010101" pitchFamily="49" charset="-122"/>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89461-DB46-4779-9080-A45DF0E6C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行业点评模板.dotx</Template>
  <TotalTime>277</TotalTime>
  <Pages>11</Pages>
  <Words>1885</Words>
  <Characters>10749</Characters>
  <Application>Microsoft Office Word</Application>
  <DocSecurity>0</DocSecurity>
  <Lines>89</Lines>
  <Paragraphs>25</Paragraphs>
  <ScaleCrop>false</ScaleCrop>
  <Company/>
  <LinksUpToDate>false</LinksUpToDate>
  <CharactersWithSpaces>12609</CharactersWithSpaces>
  <SharedDoc>false</SharedDoc>
  <HLinks>
    <vt:vector size="126" baseType="variant">
      <vt:variant>
        <vt:i4>1769521</vt:i4>
      </vt:variant>
      <vt:variant>
        <vt:i4>128</vt:i4>
      </vt:variant>
      <vt:variant>
        <vt:i4>0</vt:i4>
      </vt:variant>
      <vt:variant>
        <vt:i4>5</vt:i4>
      </vt:variant>
      <vt:variant>
        <vt:lpwstr/>
      </vt:variant>
      <vt:variant>
        <vt:lpwstr>_Toc420402585</vt:lpwstr>
      </vt:variant>
      <vt:variant>
        <vt:i4>1769521</vt:i4>
      </vt:variant>
      <vt:variant>
        <vt:i4>122</vt:i4>
      </vt:variant>
      <vt:variant>
        <vt:i4>0</vt:i4>
      </vt:variant>
      <vt:variant>
        <vt:i4>5</vt:i4>
      </vt:variant>
      <vt:variant>
        <vt:lpwstr/>
      </vt:variant>
      <vt:variant>
        <vt:lpwstr>_Toc420402584</vt:lpwstr>
      </vt:variant>
      <vt:variant>
        <vt:i4>1769521</vt:i4>
      </vt:variant>
      <vt:variant>
        <vt:i4>116</vt:i4>
      </vt:variant>
      <vt:variant>
        <vt:i4>0</vt:i4>
      </vt:variant>
      <vt:variant>
        <vt:i4>5</vt:i4>
      </vt:variant>
      <vt:variant>
        <vt:lpwstr/>
      </vt:variant>
      <vt:variant>
        <vt:lpwstr>_Toc420402583</vt:lpwstr>
      </vt:variant>
      <vt:variant>
        <vt:i4>1769521</vt:i4>
      </vt:variant>
      <vt:variant>
        <vt:i4>110</vt:i4>
      </vt:variant>
      <vt:variant>
        <vt:i4>0</vt:i4>
      </vt:variant>
      <vt:variant>
        <vt:i4>5</vt:i4>
      </vt:variant>
      <vt:variant>
        <vt:lpwstr/>
      </vt:variant>
      <vt:variant>
        <vt:lpwstr>_Toc420402582</vt:lpwstr>
      </vt:variant>
      <vt:variant>
        <vt:i4>1769521</vt:i4>
      </vt:variant>
      <vt:variant>
        <vt:i4>104</vt:i4>
      </vt:variant>
      <vt:variant>
        <vt:i4>0</vt:i4>
      </vt:variant>
      <vt:variant>
        <vt:i4>5</vt:i4>
      </vt:variant>
      <vt:variant>
        <vt:lpwstr/>
      </vt:variant>
      <vt:variant>
        <vt:lpwstr>_Toc420402581</vt:lpwstr>
      </vt:variant>
      <vt:variant>
        <vt:i4>1769521</vt:i4>
      </vt:variant>
      <vt:variant>
        <vt:i4>98</vt:i4>
      </vt:variant>
      <vt:variant>
        <vt:i4>0</vt:i4>
      </vt:variant>
      <vt:variant>
        <vt:i4>5</vt:i4>
      </vt:variant>
      <vt:variant>
        <vt:lpwstr/>
      </vt:variant>
      <vt:variant>
        <vt:lpwstr>_Toc420402580</vt:lpwstr>
      </vt:variant>
      <vt:variant>
        <vt:i4>1310769</vt:i4>
      </vt:variant>
      <vt:variant>
        <vt:i4>92</vt:i4>
      </vt:variant>
      <vt:variant>
        <vt:i4>0</vt:i4>
      </vt:variant>
      <vt:variant>
        <vt:i4>5</vt:i4>
      </vt:variant>
      <vt:variant>
        <vt:lpwstr/>
      </vt:variant>
      <vt:variant>
        <vt:lpwstr>_Toc420402579</vt:lpwstr>
      </vt:variant>
      <vt:variant>
        <vt:i4>1310769</vt:i4>
      </vt:variant>
      <vt:variant>
        <vt:i4>86</vt:i4>
      </vt:variant>
      <vt:variant>
        <vt:i4>0</vt:i4>
      </vt:variant>
      <vt:variant>
        <vt:i4>5</vt:i4>
      </vt:variant>
      <vt:variant>
        <vt:lpwstr/>
      </vt:variant>
      <vt:variant>
        <vt:lpwstr>_Toc420402578</vt:lpwstr>
      </vt:variant>
      <vt:variant>
        <vt:i4>1310769</vt:i4>
      </vt:variant>
      <vt:variant>
        <vt:i4>80</vt:i4>
      </vt:variant>
      <vt:variant>
        <vt:i4>0</vt:i4>
      </vt:variant>
      <vt:variant>
        <vt:i4>5</vt:i4>
      </vt:variant>
      <vt:variant>
        <vt:lpwstr/>
      </vt:variant>
      <vt:variant>
        <vt:lpwstr>_Toc420402577</vt:lpwstr>
      </vt:variant>
      <vt:variant>
        <vt:i4>1310769</vt:i4>
      </vt:variant>
      <vt:variant>
        <vt:i4>74</vt:i4>
      </vt:variant>
      <vt:variant>
        <vt:i4>0</vt:i4>
      </vt:variant>
      <vt:variant>
        <vt:i4>5</vt:i4>
      </vt:variant>
      <vt:variant>
        <vt:lpwstr/>
      </vt:variant>
      <vt:variant>
        <vt:lpwstr>_Toc420402576</vt:lpwstr>
      </vt:variant>
      <vt:variant>
        <vt:i4>1310769</vt:i4>
      </vt:variant>
      <vt:variant>
        <vt:i4>68</vt:i4>
      </vt:variant>
      <vt:variant>
        <vt:i4>0</vt:i4>
      </vt:variant>
      <vt:variant>
        <vt:i4>5</vt:i4>
      </vt:variant>
      <vt:variant>
        <vt:lpwstr/>
      </vt:variant>
      <vt:variant>
        <vt:lpwstr>_Toc420402575</vt:lpwstr>
      </vt:variant>
      <vt:variant>
        <vt:i4>1245235</vt:i4>
      </vt:variant>
      <vt:variant>
        <vt:i4>59</vt:i4>
      </vt:variant>
      <vt:variant>
        <vt:i4>0</vt:i4>
      </vt:variant>
      <vt:variant>
        <vt:i4>5</vt:i4>
      </vt:variant>
      <vt:variant>
        <vt:lpwstr/>
      </vt:variant>
      <vt:variant>
        <vt:lpwstr>_Toc420401737</vt:lpwstr>
      </vt:variant>
      <vt:variant>
        <vt:i4>1245235</vt:i4>
      </vt:variant>
      <vt:variant>
        <vt:i4>53</vt:i4>
      </vt:variant>
      <vt:variant>
        <vt:i4>0</vt:i4>
      </vt:variant>
      <vt:variant>
        <vt:i4>5</vt:i4>
      </vt:variant>
      <vt:variant>
        <vt:lpwstr/>
      </vt:variant>
      <vt:variant>
        <vt:lpwstr>_Toc420401736</vt:lpwstr>
      </vt:variant>
      <vt:variant>
        <vt:i4>1245235</vt:i4>
      </vt:variant>
      <vt:variant>
        <vt:i4>47</vt:i4>
      </vt:variant>
      <vt:variant>
        <vt:i4>0</vt:i4>
      </vt:variant>
      <vt:variant>
        <vt:i4>5</vt:i4>
      </vt:variant>
      <vt:variant>
        <vt:lpwstr/>
      </vt:variant>
      <vt:variant>
        <vt:lpwstr>_Toc420401735</vt:lpwstr>
      </vt:variant>
      <vt:variant>
        <vt:i4>1245235</vt:i4>
      </vt:variant>
      <vt:variant>
        <vt:i4>41</vt:i4>
      </vt:variant>
      <vt:variant>
        <vt:i4>0</vt:i4>
      </vt:variant>
      <vt:variant>
        <vt:i4>5</vt:i4>
      </vt:variant>
      <vt:variant>
        <vt:lpwstr/>
      </vt:variant>
      <vt:variant>
        <vt:lpwstr>_Toc420401734</vt:lpwstr>
      </vt:variant>
      <vt:variant>
        <vt:i4>1245235</vt:i4>
      </vt:variant>
      <vt:variant>
        <vt:i4>35</vt:i4>
      </vt:variant>
      <vt:variant>
        <vt:i4>0</vt:i4>
      </vt:variant>
      <vt:variant>
        <vt:i4>5</vt:i4>
      </vt:variant>
      <vt:variant>
        <vt:lpwstr/>
      </vt:variant>
      <vt:variant>
        <vt:lpwstr>_Toc420401733</vt:lpwstr>
      </vt:variant>
      <vt:variant>
        <vt:i4>1245235</vt:i4>
      </vt:variant>
      <vt:variant>
        <vt:i4>29</vt:i4>
      </vt:variant>
      <vt:variant>
        <vt:i4>0</vt:i4>
      </vt:variant>
      <vt:variant>
        <vt:i4>5</vt:i4>
      </vt:variant>
      <vt:variant>
        <vt:lpwstr/>
      </vt:variant>
      <vt:variant>
        <vt:lpwstr>_Toc420401732</vt:lpwstr>
      </vt:variant>
      <vt:variant>
        <vt:i4>1245235</vt:i4>
      </vt:variant>
      <vt:variant>
        <vt:i4>23</vt:i4>
      </vt:variant>
      <vt:variant>
        <vt:i4>0</vt:i4>
      </vt:variant>
      <vt:variant>
        <vt:i4>5</vt:i4>
      </vt:variant>
      <vt:variant>
        <vt:lpwstr/>
      </vt:variant>
      <vt:variant>
        <vt:lpwstr>_Toc420401731</vt:lpwstr>
      </vt:variant>
      <vt:variant>
        <vt:i4>1245235</vt:i4>
      </vt:variant>
      <vt:variant>
        <vt:i4>17</vt:i4>
      </vt:variant>
      <vt:variant>
        <vt:i4>0</vt:i4>
      </vt:variant>
      <vt:variant>
        <vt:i4>5</vt:i4>
      </vt:variant>
      <vt:variant>
        <vt:lpwstr/>
      </vt:variant>
      <vt:variant>
        <vt:lpwstr>_Toc420401730</vt:lpwstr>
      </vt:variant>
      <vt:variant>
        <vt:i4>1179699</vt:i4>
      </vt:variant>
      <vt:variant>
        <vt:i4>11</vt:i4>
      </vt:variant>
      <vt:variant>
        <vt:i4>0</vt:i4>
      </vt:variant>
      <vt:variant>
        <vt:i4>5</vt:i4>
      </vt:variant>
      <vt:variant>
        <vt:lpwstr/>
      </vt:variant>
      <vt:variant>
        <vt:lpwstr>_Toc420401729</vt:lpwstr>
      </vt:variant>
      <vt:variant>
        <vt:i4>1179699</vt:i4>
      </vt:variant>
      <vt:variant>
        <vt:i4>5</vt:i4>
      </vt:variant>
      <vt:variant>
        <vt:i4>0</vt:i4>
      </vt:variant>
      <vt:variant>
        <vt:i4>5</vt:i4>
      </vt:variant>
      <vt:variant>
        <vt:lpwstr/>
      </vt:variant>
      <vt:variant>
        <vt:lpwstr>_Toc420401728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东吴证券研究所</dc:title>
  <dc:subject/>
  <dc:creator>user</dc:creator>
  <cp:keywords/>
  <cp:lastModifiedBy>microsoft chan</cp:lastModifiedBy>
  <cp:revision>9</cp:revision>
  <cp:lastPrinted>2011-05-03T06:12:00Z</cp:lastPrinted>
  <dcterms:created xsi:type="dcterms:W3CDTF">2017-09-24T11:48:00Z</dcterms:created>
  <dcterms:modified xsi:type="dcterms:W3CDTF">2017-09-27T06:10:00Z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nkdocver">
    <vt:lpwstr>1</vt:lpwstr>
  </property>
  <property fmtid="{D5CDD505-2E9C-101B-9397-08002B2CF9AE}" pid="3" name="snkdocid">
    <vt:lpwstr>1000023</vt:lpwstr>
  </property>
  <property fmtid="{D5CDD505-2E9C-101B-9397-08002B2CF9AE}" pid="4" name="WSURL">
    <vt:lpwstr>http://192.168.3.7:8088</vt:lpwstr>
  </property>
  <property fmtid="{D5CDD505-2E9C-101B-9397-08002B2CF9AE}" pid="5" name="doctypeid">
    <vt:lpwstr>100529</vt:lpwstr>
  </property>
  <property fmtid="{D5CDD505-2E9C-101B-9397-08002B2CF9AE}" pid="6" name="templateid">
    <vt:lpwstr>1000037</vt:lpwstr>
  </property>
  <property fmtid="{D5CDD505-2E9C-101B-9397-08002B2CF9AE}" pid="7" name="templatetype">
    <vt:lpwstr>0</vt:lpwstr>
  </property>
  <property fmtid="{D5CDD505-2E9C-101B-9397-08002B2CF9AE}" pid="8" name="researcherunitid">
    <vt:lpwstr>999000922</vt:lpwstr>
  </property>
  <property fmtid="{D5CDD505-2E9C-101B-9397-08002B2CF9AE}" pid="9" name="loadTime">
    <vt:lpwstr>20170947135747</vt:lpwstr>
  </property>
  <property fmtid="{D5CDD505-2E9C-101B-9397-08002B2CF9AE}" pid="10" name="qualityno">
    <vt:lpwstr>S0600517040002,,,</vt:lpwstr>
  </property>
  <property fmtid="{D5CDD505-2E9C-101B-9397-08002B2CF9AE}" pid="11" name="industryrankname">
    <vt:lpwstr>增持</vt:lpwstr>
  </property>
  <property fmtid="{D5CDD505-2E9C-101B-9397-08002B2CF9AE}" pid="12" name="authorid">
    <vt:lpwstr>999004936,999005241,,</vt:lpwstr>
  </property>
  <property fmtid="{D5CDD505-2E9C-101B-9397-08002B2CF9AE}" pid="13" name="date">
    <vt:lpwstr>2017-09-14</vt:lpwstr>
  </property>
  <property fmtid="{D5CDD505-2E9C-101B-9397-08002B2CF9AE}" pid="14" name="authorname">
    <vt:lpwstr>matt,jiangjsy,,</vt:lpwstr>
  </property>
  <property fmtid="{D5CDD505-2E9C-101B-9397-08002B2CF9AE}" pid="15" name="reporttype">
    <vt:lpwstr>行业深度报告</vt:lpwstr>
  </property>
  <property fmtid="{D5CDD505-2E9C-101B-9397-08002B2CF9AE}" pid="16" name="investrankname">
    <vt:lpwstr>增持</vt:lpwstr>
  </property>
  <property fmtid="{D5CDD505-2E9C-101B-9397-08002B2CF9AE}" pid="17" name="industrycode">
    <vt:lpwstr>074401</vt:lpwstr>
  </property>
  <property fmtid="{D5CDD505-2E9C-101B-9397-08002B2CF9AE}" pid="18" name="industryrank">
    <vt:lpwstr>30</vt:lpwstr>
  </property>
  <property fmtid="{D5CDD505-2E9C-101B-9397-08002B2CF9AE}" pid="19" name="industryname">
    <vt:lpwstr>银行</vt:lpwstr>
  </property>
  <property fmtid="{D5CDD505-2E9C-101B-9397-08002B2CF9AE}" pid="20" name="doctypename">
    <vt:lpwstr>行业深度报告</vt:lpwstr>
  </property>
</Properties>
</file>