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5150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适配；功能全流程（安装、浏览、搜索、详情、收藏、资料扩展）已在官方模拟器上实测通过，开发与验证全程使用 openvela 官方手表模拟器，符合大赛初赛"模拟器验证"的要求。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前缀匹配"的完整检索链路，5150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≤4，超限淘汰最久未用（淘汰的只是内存副本，storage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手势体系：分类行"滑动翻页归位"（左滑/右滑一格一格对齐）、资料页与搜索态"左滑返回/退出"。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通过：5150 条资料均可按设计命中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5150 条 / 2.3MB 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≤4（LRU）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5150 条资料、纯本地秒级检索（热缓存 66~138ms）、渐进式结果加载、蓝牙资料免重装扩展、语音/AI 双链路搜索、完整的资料生产工具链与质量校验体系。功能全流程已在 openvela 官方模拟器实测通过；全流程（数据生产 → 应用开发 → 模拟器部署与实测 → 质量审查）均有日志与实测数据留存，可复现、可核实。本队为中学生团队（青少年组）。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全部性能数据来自官方模拟器实测（符合初赛验证要求）；真机大词量场景的耗时调优需等决赛阶段获得样机后进行。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5150 条），索引结构与渐进加载已为此预留扩展空间。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