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ABB8" w14:textId="77777777" w:rsidR="00F95B5C" w:rsidRDefault="00F95B5C" w:rsidP="00F95B5C">
      <w:pPr>
        <w:pStyle w:val="3"/>
        <w:shd w:val="clear" w:color="auto" w:fill="F9F9FE"/>
        <w:spacing w:before="0" w:beforeAutospacing="0" w:after="0" w:afterAutospacing="0"/>
        <w:ind w:left="1100" w:hanging="440"/>
        <w:rPr>
          <w:rFonts w:ascii="Segoe UI" w:hAnsi="Segoe UI" w:cs="Segoe UI"/>
        </w:rPr>
      </w:pPr>
      <w:r>
        <w:rPr>
          <w:rFonts w:ascii="Segoe UI" w:hAnsi="Segoe UI" w:cs="Segoe UI"/>
        </w:rPr>
        <w:t>Summary of "Europe Views the World Muslims, c.1500-1700"</w:t>
      </w:r>
    </w:p>
    <w:p w14:paraId="788DB14B" w14:textId="77777777" w:rsidR="00F95B5C" w:rsidRDefault="00F95B5C" w:rsidP="00F95B5C">
      <w:pPr>
        <w:pStyle w:val="4"/>
        <w:shd w:val="clear" w:color="auto" w:fill="F9F9FE"/>
        <w:spacing w:after="0"/>
        <w:ind w:left="1320" w:hanging="440"/>
        <w:rPr>
          <w:rFonts w:ascii="Segoe UI" w:hAnsi="Segoe UI" w:cs="Segoe UI"/>
        </w:rPr>
      </w:pPr>
      <w:r>
        <w:rPr>
          <w:rFonts w:ascii="Segoe UI" w:hAnsi="Segoe UI" w:cs="Segoe UI"/>
        </w:rPr>
        <w:t>Introduction</w:t>
      </w:r>
    </w:p>
    <w:p w14:paraId="6ED78966" w14:textId="77777777" w:rsidR="00F95B5C" w:rsidRDefault="00F95B5C" w:rsidP="00F95B5C">
      <w:pPr>
        <w:pStyle w:val="a3"/>
        <w:shd w:val="clear" w:color="auto" w:fill="F9F9FE"/>
        <w:spacing w:before="0" w:beforeAutospacing="0" w:after="0" w:afterAutospacing="0"/>
        <w:ind w:left="720"/>
        <w:rPr>
          <w:rFonts w:ascii="Segoe UI" w:hAnsi="Segoe UI" w:cs="Segoe UI"/>
          <w:sz w:val="21"/>
          <w:szCs w:val="21"/>
        </w:rPr>
      </w:pPr>
      <w:r>
        <w:rPr>
          <w:rFonts w:ascii="Segoe UI" w:hAnsi="Segoe UI" w:cs="Segoe UI"/>
          <w:sz w:val="21"/>
          <w:szCs w:val="21"/>
        </w:rPr>
        <w:t>The period from 1500 to 1700 marked a significant era in European history, characterized by exploration, cultural exchange, and conflict. This document examines how Europeans viewed Muslims during this time, influenced by political, military, and cultural interactions. The images included in the text serve as visual representations of these complex relationships, illustrating both admiration and animosity.</w:t>
      </w:r>
    </w:p>
    <w:p w14:paraId="5DBEF155" w14:textId="77777777" w:rsidR="00F95B5C" w:rsidRDefault="00F95B5C" w:rsidP="00F95B5C">
      <w:pPr>
        <w:pStyle w:val="4"/>
        <w:shd w:val="clear" w:color="auto" w:fill="F9F9FE"/>
        <w:spacing w:after="0"/>
        <w:ind w:left="1320" w:hanging="440"/>
        <w:rPr>
          <w:rFonts w:ascii="Segoe UI" w:hAnsi="Segoe UI" w:cs="Segoe UI"/>
          <w:sz w:val="24"/>
        </w:rPr>
      </w:pPr>
      <w:r>
        <w:rPr>
          <w:rFonts w:ascii="Segoe UI" w:hAnsi="Segoe UI" w:cs="Segoe UI"/>
        </w:rPr>
        <w:t>Key Themes</w:t>
      </w:r>
    </w:p>
    <w:p w14:paraId="013D3DA6"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Cultural Perceptions and Artistic Representations</w:t>
      </w:r>
    </w:p>
    <w:p w14:paraId="2572AEC5"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European artists and historians depicted Muslims through various lenses, often reflecting the political climate of their times. The artwork served not only as a record of encounters but also as a means of shaping public perception.</w:t>
      </w:r>
    </w:p>
    <w:p w14:paraId="3BA78E84"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For instance, the </w:t>
      </w:r>
      <w:r>
        <w:rPr>
          <w:rStyle w:val="a4"/>
          <w:rFonts w:ascii="Segoe UI" w:hAnsi="Segoe UI" w:cs="Segoe UI"/>
          <w:sz w:val="21"/>
          <w:szCs w:val="21"/>
        </w:rPr>
        <w:t>Turkish Rider</w:t>
      </w:r>
      <w:r>
        <w:rPr>
          <w:rFonts w:ascii="Segoe UI" w:hAnsi="Segoe UI" w:cs="Segoe UI"/>
          <w:sz w:val="21"/>
          <w:szCs w:val="21"/>
        </w:rPr>
        <w:t> (Fig. 1, Page </w:t>
      </w:r>
      <w:r>
        <w:rPr>
          <w:rFonts w:ascii="Segoe UI" w:hAnsi="Segoe UI" w:cs="Segoe UI"/>
          <w:color w:val="FFFFFF"/>
          <w:sz w:val="18"/>
          <w:szCs w:val="18"/>
          <w:shd w:val="clear" w:color="auto" w:fill="9CB6DA"/>
        </w:rPr>
        <w:t>5</w:t>
      </w:r>
      <w:r>
        <w:rPr>
          <w:rFonts w:ascii="Segoe UI" w:hAnsi="Segoe UI" w:cs="Segoe UI"/>
          <w:sz w:val="21"/>
          <w:szCs w:val="21"/>
        </w:rPr>
        <w:t xml:space="preserve">) illustrates a romanticized view of the Ottoman Empire, showcasing the exoticism associated with Turkish culture. This </w:t>
      </w:r>
      <w:proofErr w:type="spellStart"/>
      <w:r>
        <w:rPr>
          <w:rFonts w:ascii="Segoe UI" w:hAnsi="Segoe UI" w:cs="Segoe UI"/>
          <w:sz w:val="21"/>
          <w:szCs w:val="21"/>
        </w:rPr>
        <w:t>drypoint</w:t>
      </w:r>
      <w:proofErr w:type="spellEnd"/>
      <w:r>
        <w:rPr>
          <w:rFonts w:ascii="Segoe UI" w:hAnsi="Segoe UI" w:cs="Segoe UI"/>
          <w:sz w:val="21"/>
          <w:szCs w:val="21"/>
        </w:rPr>
        <w:t xml:space="preserve"> engraving captures the elegance and martial prowess of a Turkish horseman, symbolizing both admiration and the perceived threat of the Ottoman military.</w:t>
      </w:r>
    </w:p>
    <w:p w14:paraId="26131FDB"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Military Encounters and Sieges</w:t>
      </w:r>
    </w:p>
    <w:p w14:paraId="46B9D1B3"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document discusses significant military events, such as the </w:t>
      </w:r>
      <w:r>
        <w:rPr>
          <w:rStyle w:val="a4"/>
          <w:rFonts w:ascii="Segoe UI" w:hAnsi="Segoe UI" w:cs="Segoe UI"/>
          <w:sz w:val="21"/>
          <w:szCs w:val="21"/>
        </w:rPr>
        <w:t>Siege of Vienna</w:t>
      </w:r>
      <w:r>
        <w:rPr>
          <w:rFonts w:ascii="Segoe UI" w:hAnsi="Segoe UI" w:cs="Segoe UI"/>
          <w:sz w:val="21"/>
          <w:szCs w:val="21"/>
        </w:rPr>
        <w:t> and the </w:t>
      </w:r>
      <w:r>
        <w:rPr>
          <w:rStyle w:val="a4"/>
          <w:rFonts w:ascii="Segoe UI" w:hAnsi="Segoe UI" w:cs="Segoe UI"/>
          <w:sz w:val="21"/>
          <w:szCs w:val="21"/>
        </w:rPr>
        <w:t>conquest of Rhodes</w:t>
      </w:r>
      <w:r>
        <w:rPr>
          <w:rFonts w:ascii="Segoe UI" w:hAnsi="Segoe UI" w:cs="Segoe UI"/>
          <w:sz w:val="21"/>
          <w:szCs w:val="21"/>
        </w:rPr>
        <w:t>, which were pivotal in shaping European views of Muslims. These events were often depicted in manuscripts, emphasizing the grandeur of Ottoman military campaigns.</w:t>
      </w:r>
    </w:p>
    <w:p w14:paraId="61AEA242"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w:t>
      </w:r>
      <w:r>
        <w:rPr>
          <w:rStyle w:val="a4"/>
          <w:rFonts w:ascii="Segoe UI" w:hAnsi="Segoe UI" w:cs="Segoe UI"/>
          <w:sz w:val="21"/>
          <w:szCs w:val="21"/>
        </w:rPr>
        <w:t>Siege of Vienna</w:t>
      </w:r>
      <w:r>
        <w:rPr>
          <w:rFonts w:ascii="Segoe UI" w:hAnsi="Segoe UI" w:cs="Segoe UI"/>
          <w:sz w:val="21"/>
          <w:szCs w:val="21"/>
        </w:rPr>
        <w:t> is particularly notable in later manuscripts like the </w:t>
      </w:r>
      <w:proofErr w:type="spellStart"/>
      <w:r>
        <w:rPr>
          <w:rStyle w:val="a4"/>
          <w:rFonts w:ascii="Segoe UI" w:hAnsi="Segoe UI" w:cs="Segoe UI"/>
          <w:sz w:val="21"/>
          <w:szCs w:val="21"/>
        </w:rPr>
        <w:t>Hilnername</w:t>
      </w:r>
      <w:proofErr w:type="spellEnd"/>
      <w:r>
        <w:rPr>
          <w:rFonts w:ascii="Segoe UI" w:hAnsi="Segoe UI" w:cs="Segoe UI"/>
          <w:sz w:val="21"/>
          <w:szCs w:val="21"/>
        </w:rPr>
        <w:t> (c.1588), which portrays the Ottoman camp with the sultan's red tent at its center, surrounded by Janissaries. This image (Page </w:t>
      </w:r>
      <w:r>
        <w:rPr>
          <w:rFonts w:ascii="Segoe UI" w:hAnsi="Segoe UI" w:cs="Segoe UI"/>
          <w:color w:val="FFFFFF"/>
          <w:sz w:val="18"/>
          <w:szCs w:val="18"/>
          <w:shd w:val="clear" w:color="auto" w:fill="9CB6DA"/>
        </w:rPr>
        <w:t>29</w:t>
      </w:r>
      <w:r>
        <w:rPr>
          <w:rFonts w:ascii="Segoe UI" w:hAnsi="Segoe UI" w:cs="Segoe UI"/>
          <w:sz w:val="21"/>
          <w:szCs w:val="21"/>
        </w:rPr>
        <w:t>) highlights the organized military structure of the Ottomans and their cultural practices, contrasting with the European defenders depicted in armor.</w:t>
      </w:r>
    </w:p>
    <w:p w14:paraId="03939CD7"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Historical Narratives and Royal Imagery</w:t>
      </w:r>
    </w:p>
    <w:p w14:paraId="50F495EF"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w:t>
      </w:r>
      <w:proofErr w:type="spellStart"/>
      <w:r>
        <w:rPr>
          <w:rStyle w:val="a4"/>
          <w:rFonts w:ascii="Segoe UI" w:hAnsi="Segoe UI" w:cs="Segoe UI"/>
          <w:sz w:val="21"/>
          <w:szCs w:val="21"/>
        </w:rPr>
        <w:t>Shahnama</w:t>
      </w:r>
      <w:proofErr w:type="spellEnd"/>
      <w:r>
        <w:rPr>
          <w:rStyle w:val="a4"/>
          <w:rFonts w:ascii="Segoe UI" w:hAnsi="Segoe UI" w:cs="Segoe UI"/>
          <w:sz w:val="21"/>
          <w:szCs w:val="21"/>
        </w:rPr>
        <w:t>-y Al-</w:t>
      </w:r>
      <w:proofErr w:type="spellStart"/>
      <w:r>
        <w:rPr>
          <w:rStyle w:val="a4"/>
          <w:rFonts w:ascii="Segoe UI" w:hAnsi="Segoe UI" w:cs="Segoe UI"/>
          <w:sz w:val="21"/>
          <w:szCs w:val="21"/>
        </w:rPr>
        <w:t>i</w:t>
      </w:r>
      <w:proofErr w:type="spellEnd"/>
      <w:r>
        <w:rPr>
          <w:rStyle w:val="a4"/>
          <w:rFonts w:ascii="Segoe UI" w:hAnsi="Segoe UI" w:cs="Segoe UI"/>
          <w:sz w:val="21"/>
          <w:szCs w:val="21"/>
        </w:rPr>
        <w:t xml:space="preserve"> Uthman</w:t>
      </w:r>
      <w:r>
        <w:rPr>
          <w:rFonts w:ascii="Segoe UI" w:hAnsi="Segoe UI" w:cs="Segoe UI"/>
          <w:sz w:val="21"/>
          <w:szCs w:val="21"/>
        </w:rPr>
        <w:t> (Page </w:t>
      </w:r>
      <w:r>
        <w:rPr>
          <w:rFonts w:ascii="Segoe UI" w:hAnsi="Segoe UI" w:cs="Segoe UI"/>
          <w:color w:val="FFFFFF"/>
          <w:sz w:val="18"/>
          <w:szCs w:val="18"/>
          <w:shd w:val="clear" w:color="auto" w:fill="9CB6DA"/>
        </w:rPr>
        <w:t>28</w:t>
      </w:r>
      <w:r>
        <w:rPr>
          <w:rFonts w:ascii="Segoe UI" w:hAnsi="Segoe UI" w:cs="Segoe UI"/>
          <w:sz w:val="21"/>
          <w:szCs w:val="21"/>
        </w:rPr>
        <w:t>) serves as a visual history of the Ottoman sultans, commissioned by Suleyman the Magnificent. This illustrated manuscript combines Persian artistic traditions with Ottoman history, showcasing military victories and court ceremonies.</w:t>
      </w:r>
    </w:p>
    <w:p w14:paraId="5228C3A5"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images within this manuscript often depict Europeans as subservient or defeated, reinforcing the narrative of Ottoman superiority. The use of elaborate Persian calligraphy and decorative patterns reflects the cultural pride of the Ottomans while simultaneously presenting a view of their European rivals.</w:t>
      </w:r>
    </w:p>
    <w:p w14:paraId="00E67846"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Urban Landscapes and Architectural Grandeur</w:t>
      </w:r>
    </w:p>
    <w:p w14:paraId="24A0B50D"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panoramic views of cities like Istanbul (Page </w:t>
      </w:r>
      <w:r>
        <w:rPr>
          <w:rFonts w:ascii="Segoe UI" w:hAnsi="Segoe UI" w:cs="Segoe UI"/>
          <w:color w:val="FFFFFF"/>
          <w:sz w:val="18"/>
          <w:szCs w:val="18"/>
          <w:shd w:val="clear" w:color="auto" w:fill="9CB6DA"/>
        </w:rPr>
        <w:t>22</w:t>
      </w:r>
      <w:r>
        <w:rPr>
          <w:rFonts w:ascii="Segoe UI" w:hAnsi="Segoe UI" w:cs="Segoe UI"/>
          <w:sz w:val="21"/>
          <w:szCs w:val="21"/>
        </w:rPr>
        <w:t>) illustrate the architectural splendor of the Ottoman Empire, featuring mosques, palaces, and ancient Roman columns. These images not only document the physical landscape but also symbolize the cultural richness of the empire.</w:t>
      </w:r>
    </w:p>
    <w:p w14:paraId="444E803A"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 xml:space="preserve">The depiction of a European artist (Fig. 23) in the panorama emphasizes the curiosity and fascination Europeans had for the Ottoman world. The </w:t>
      </w:r>
      <w:r>
        <w:rPr>
          <w:rFonts w:ascii="Segoe UI" w:hAnsi="Segoe UI" w:cs="Segoe UI"/>
          <w:sz w:val="21"/>
          <w:szCs w:val="21"/>
        </w:rPr>
        <w:lastRenderedPageBreak/>
        <w:t>artist, preparing to document the scene, represents the intersection of cultures and the desire for knowledge about the "other."</w:t>
      </w:r>
    </w:p>
    <w:p w14:paraId="129A0182"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Social Structures and Military Recruitment</w:t>
      </w:r>
    </w:p>
    <w:p w14:paraId="39389E83"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 xml:space="preserve">The document also addresses the social structures within the Ottoman Empire, particularly the </w:t>
      </w:r>
      <w:proofErr w:type="spellStart"/>
      <w:r>
        <w:rPr>
          <w:rFonts w:ascii="Segoe UI" w:hAnsi="Segoe UI" w:cs="Segoe UI"/>
          <w:sz w:val="21"/>
          <w:szCs w:val="21"/>
        </w:rPr>
        <w:t>devshirme</w:t>
      </w:r>
      <w:proofErr w:type="spellEnd"/>
      <w:r>
        <w:rPr>
          <w:rFonts w:ascii="Segoe UI" w:hAnsi="Segoe UI" w:cs="Segoe UI"/>
          <w:sz w:val="21"/>
          <w:szCs w:val="21"/>
        </w:rPr>
        <w:t xml:space="preserve"> system, where Christian boys were recruited to serve as Janissaries. This process is illustrated in the </w:t>
      </w:r>
      <w:proofErr w:type="spellStart"/>
      <w:r>
        <w:rPr>
          <w:rStyle w:val="a4"/>
          <w:rFonts w:ascii="Segoe UI" w:hAnsi="Segoe UI" w:cs="Segoe UI"/>
          <w:sz w:val="21"/>
          <w:szCs w:val="21"/>
        </w:rPr>
        <w:t>Stileyman-nama</w:t>
      </w:r>
      <w:proofErr w:type="spellEnd"/>
      <w:r>
        <w:rPr>
          <w:rFonts w:ascii="Segoe UI" w:hAnsi="Segoe UI" w:cs="Segoe UI"/>
          <w:sz w:val="21"/>
          <w:szCs w:val="21"/>
        </w:rPr>
        <w:t>, showing the boys in uniform, which highlights the complexities of loyalty and identity within the empire (Page </w:t>
      </w:r>
      <w:r>
        <w:rPr>
          <w:rFonts w:ascii="Segoe UI" w:hAnsi="Segoe UI" w:cs="Segoe UI"/>
          <w:color w:val="FFFFFF"/>
          <w:sz w:val="18"/>
          <w:szCs w:val="18"/>
          <w:shd w:val="clear" w:color="auto" w:fill="9CB6DA"/>
        </w:rPr>
        <w:t>29</w:t>
      </w:r>
      <w:r>
        <w:rPr>
          <w:rFonts w:ascii="Segoe UI" w:hAnsi="Segoe UI" w:cs="Segoe UI"/>
          <w:sz w:val="21"/>
          <w:szCs w:val="21"/>
        </w:rPr>
        <w:t>).</w:t>
      </w:r>
    </w:p>
    <w:p w14:paraId="4C25C99A"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portrayal of these boys, alongside Ottoman officials, underscores the transformative nature of their recruitment and the blending of cultures within the empire.</w:t>
      </w:r>
    </w:p>
    <w:p w14:paraId="60B3F3C2" w14:textId="77777777" w:rsidR="00F95B5C" w:rsidRDefault="00F95B5C" w:rsidP="00F95B5C">
      <w:pPr>
        <w:pStyle w:val="4"/>
        <w:shd w:val="clear" w:color="auto" w:fill="F9F9FE"/>
        <w:spacing w:after="0"/>
        <w:ind w:left="1320" w:hanging="440"/>
        <w:rPr>
          <w:rFonts w:ascii="Segoe UI" w:hAnsi="Segoe UI" w:cs="Segoe UI"/>
          <w:sz w:val="24"/>
        </w:rPr>
      </w:pPr>
      <w:r>
        <w:rPr>
          <w:rFonts w:ascii="Segoe UI" w:hAnsi="Segoe UI" w:cs="Segoe UI"/>
        </w:rPr>
        <w:t>Conclusion</w:t>
      </w:r>
    </w:p>
    <w:p w14:paraId="729B3902" w14:textId="77777777" w:rsidR="00F95B5C" w:rsidRDefault="00F95B5C" w:rsidP="00F95B5C">
      <w:pPr>
        <w:pStyle w:val="a3"/>
        <w:shd w:val="clear" w:color="auto" w:fill="F9F9FE"/>
        <w:spacing w:before="0" w:beforeAutospacing="0" w:after="0" w:afterAutospacing="0"/>
        <w:ind w:left="720"/>
        <w:rPr>
          <w:rFonts w:ascii="Segoe UI" w:hAnsi="Segoe UI" w:cs="Segoe UI"/>
          <w:sz w:val="21"/>
          <w:szCs w:val="21"/>
        </w:rPr>
      </w:pPr>
      <w:r>
        <w:rPr>
          <w:rFonts w:ascii="Segoe UI" w:hAnsi="Segoe UI" w:cs="Segoe UI"/>
          <w:sz w:val="21"/>
          <w:szCs w:val="21"/>
        </w:rPr>
        <w:t>The period from 1500 to 1700 was marked by a dynamic interplay between Europe and the Muslim world, characterized by both conflict and cultural exchange. The images and narratives presented in this document reveal how Europeans constructed their understanding of Muslims, often oscillating between admiration and fear. Through art and literature, these perceptions were solidified, influencing future generations' views of the Islamic world.</w:t>
      </w:r>
    </w:p>
    <w:p w14:paraId="47E6F245" w14:textId="77777777" w:rsidR="00F95B5C" w:rsidRDefault="004859E8" w:rsidP="00F95B5C">
      <w:pPr>
        <w:shd w:val="clear" w:color="auto" w:fill="F9F9FE"/>
        <w:ind w:left="720"/>
        <w:rPr>
          <w:rFonts w:ascii="Segoe UI" w:hAnsi="Segoe UI" w:cs="Segoe UI"/>
          <w:sz w:val="21"/>
          <w:szCs w:val="21"/>
        </w:rPr>
      </w:pPr>
      <w:r>
        <w:rPr>
          <w:rFonts w:ascii="Segoe UI" w:hAnsi="Segoe UI" w:cs="Segoe UI"/>
          <w:sz w:val="21"/>
          <w:szCs w:val="21"/>
        </w:rPr>
        <w:pict w14:anchorId="715532C5">
          <v:rect id="_x0000_i1025" style="width:0;height:1.5pt" o:hralign="center" o:hrstd="t" o:hr="t" fillcolor="#a0a0a0" stroked="f"/>
        </w:pict>
      </w:r>
    </w:p>
    <w:p w14:paraId="01E91451" w14:textId="77777777" w:rsidR="00F95B5C" w:rsidRDefault="00F95B5C" w:rsidP="00F95B5C">
      <w:pPr>
        <w:pStyle w:val="a3"/>
        <w:shd w:val="clear" w:color="auto" w:fill="F9F9FE"/>
        <w:spacing w:before="0" w:beforeAutospacing="0" w:after="0" w:afterAutospacing="0"/>
        <w:ind w:left="720"/>
        <w:rPr>
          <w:rFonts w:ascii="Segoe UI" w:hAnsi="Segoe UI" w:cs="Segoe UI"/>
          <w:sz w:val="21"/>
          <w:szCs w:val="21"/>
        </w:rPr>
      </w:pPr>
      <w:r>
        <w:rPr>
          <w:rFonts w:ascii="Segoe UI" w:hAnsi="Segoe UI" w:cs="Segoe UI"/>
          <w:sz w:val="21"/>
          <w:szCs w:val="21"/>
        </w:rPr>
        <w:t>This summary encapsulates the main themes and important information from the PDF, along with explanations of the referenced images. If you need further details or specific sections expanded, feel free to ask!</w:t>
      </w:r>
    </w:p>
    <w:p w14:paraId="65BD1355" w14:textId="77777777" w:rsidR="00F95B5C" w:rsidRDefault="00F95B5C" w:rsidP="00F95B5C">
      <w:pPr>
        <w:pStyle w:val="a3"/>
        <w:shd w:val="clear" w:color="auto" w:fill="1777FF"/>
        <w:spacing w:before="0" w:beforeAutospacing="0" w:after="0" w:afterAutospacing="0"/>
        <w:ind w:left="720"/>
        <w:rPr>
          <w:rFonts w:ascii="Segoe UI" w:hAnsi="Segoe UI" w:cs="Segoe UI"/>
          <w:color w:val="FFFFFF"/>
          <w:sz w:val="21"/>
          <w:szCs w:val="21"/>
        </w:rPr>
      </w:pPr>
      <w:r>
        <w:rPr>
          <w:rFonts w:ascii="Segoe UI" w:hAnsi="Segoe UI" w:cs="Segoe UI"/>
          <w:color w:val="FFFFFF"/>
          <w:sz w:val="21"/>
          <w:szCs w:val="21"/>
        </w:rPr>
        <w:t>What about the picture of people are getting tortured and decapitated person on the ground? What is the information about the picture and what does that picture imply?</w:t>
      </w:r>
    </w:p>
    <w:p w14:paraId="219B8EA8" w14:textId="77777777" w:rsidR="00F95B5C" w:rsidRDefault="00F95B5C" w:rsidP="00F95B5C">
      <w:pPr>
        <w:pStyle w:val="a3"/>
        <w:shd w:val="clear" w:color="auto" w:fill="F9F9FE"/>
        <w:spacing w:before="0" w:beforeAutospacing="0" w:after="0" w:afterAutospacing="0"/>
        <w:ind w:left="720"/>
        <w:rPr>
          <w:rFonts w:ascii="Segoe UI" w:hAnsi="Segoe UI" w:cs="Segoe UI"/>
          <w:sz w:val="21"/>
          <w:szCs w:val="21"/>
        </w:rPr>
      </w:pPr>
      <w:r>
        <w:rPr>
          <w:rFonts w:ascii="Segoe UI" w:hAnsi="Segoe UI" w:cs="Segoe UI"/>
          <w:sz w:val="21"/>
          <w:szCs w:val="21"/>
        </w:rPr>
        <w:t>The image you are referring to likely depicts scenes of violence and persecution, which were common themes in European art during the period of conflict between Christians and Muslims. This type of imagery often served to convey the brutality of the "other" and reinforce the narrative of Christian martyrdom in the face of Islamic aggression.</w:t>
      </w:r>
    </w:p>
    <w:p w14:paraId="67BC874A" w14:textId="77777777" w:rsidR="00F95B5C" w:rsidRDefault="00F95B5C" w:rsidP="00F95B5C">
      <w:pPr>
        <w:pStyle w:val="3"/>
        <w:shd w:val="clear" w:color="auto" w:fill="F9F9FE"/>
        <w:spacing w:before="0" w:beforeAutospacing="0" w:after="0" w:afterAutospacing="0"/>
        <w:ind w:left="720"/>
        <w:rPr>
          <w:rFonts w:ascii="Segoe UI" w:hAnsi="Segoe UI" w:cs="Segoe UI"/>
        </w:rPr>
      </w:pPr>
      <w:r>
        <w:rPr>
          <w:rFonts w:ascii="Segoe UI" w:hAnsi="Segoe UI" w:cs="Segoe UI"/>
        </w:rPr>
        <w:t>Description and Implications of the Image</w:t>
      </w:r>
    </w:p>
    <w:p w14:paraId="469F0DEE"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Content of the Image</w:t>
      </w:r>
    </w:p>
    <w:p w14:paraId="5EE63A73"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 xml:space="preserve">The image likely shows figures in traditional Turkish garb overseeing the torture and execution of Christian martyrs. This aligns with the depictions found in works by artists like Albrecht </w:t>
      </w:r>
      <w:proofErr w:type="spellStart"/>
      <w:r>
        <w:rPr>
          <w:rFonts w:ascii="Segoe UI" w:hAnsi="Segoe UI" w:cs="Segoe UI"/>
          <w:sz w:val="21"/>
          <w:szCs w:val="21"/>
        </w:rPr>
        <w:t>Dürer</w:t>
      </w:r>
      <w:proofErr w:type="spellEnd"/>
      <w:r>
        <w:rPr>
          <w:rFonts w:ascii="Segoe UI" w:hAnsi="Segoe UI" w:cs="Segoe UI"/>
          <w:sz w:val="21"/>
          <w:szCs w:val="21"/>
        </w:rPr>
        <w:t>, who often portrayed Turks as sadistic persecutors in his art.</w:t>
      </w:r>
    </w:p>
    <w:p w14:paraId="415D498F"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scene may include a decapitated figure on the ground, symbolizing the ultimate sacrifice of the martyrs and the violent oppression they faced. The presence of tormentors in recognizable Turkish attire emphasizes the perceived threat posed by the Ottoman Empire to Christian Europe.</w:t>
      </w:r>
    </w:p>
    <w:p w14:paraId="32DBCF7D"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Historical Context</w:t>
      </w:r>
    </w:p>
    <w:p w14:paraId="35B3AE66"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Such images were often inspired by historical events, such as the persecution of Christians during the early centuries of Islam or the Ottoman conquests in Europe. They served to remind viewers of the ongoing struggle between Christianity and Islam, framing the Ottomans as the embodiment of evil and oppression.</w:t>
      </w:r>
    </w:p>
    <w:p w14:paraId="49365D8A"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 xml:space="preserve">The depiction of martyrdom was particularly poignant in the context of the Reformation and the Counter-Reformation, where religious identity was a matter of life and death. Artists used these images to evoke </w:t>
      </w:r>
      <w:r>
        <w:rPr>
          <w:rFonts w:ascii="Segoe UI" w:hAnsi="Segoe UI" w:cs="Segoe UI"/>
          <w:sz w:val="21"/>
          <w:szCs w:val="21"/>
        </w:rPr>
        <w:lastRenderedPageBreak/>
        <w:t>sympathy for Christian victims and to rally support against perceived Islamic threats.</w:t>
      </w:r>
    </w:p>
    <w:p w14:paraId="45AF52D8"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Cultural Implications</w:t>
      </w:r>
    </w:p>
    <w:p w14:paraId="720A0EE5"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The portrayal of violence against Christians by Muslims reinforced stereotypes and fears that contributed to a broader narrative of conflict between the two faiths. It served to justify military campaigns and the need for defense against the Ottoman Empire.</w:t>
      </w:r>
    </w:p>
    <w:p w14:paraId="06EA4CA6"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Additionally, such imagery played a role in shaping public perception, creating a dichotomy between the "civilized" Christian world and the "barbaric" Muslim world. This framing was crucial in maintaining a sense of unity among Christians in Europe against a common enemy.</w:t>
      </w:r>
    </w:p>
    <w:p w14:paraId="658B2DAE" w14:textId="77777777" w:rsidR="00F95B5C" w:rsidRDefault="00F95B5C" w:rsidP="00F95B5C">
      <w:pPr>
        <w:pStyle w:val="a3"/>
        <w:numPr>
          <w:ilvl w:val="1"/>
          <w:numId w:val="5"/>
        </w:numPr>
        <w:shd w:val="clear" w:color="auto" w:fill="F9F9FE"/>
        <w:spacing w:before="0" w:beforeAutospacing="0" w:after="0" w:afterAutospacing="0"/>
        <w:rPr>
          <w:rFonts w:ascii="Segoe UI" w:hAnsi="Segoe UI" w:cs="Segoe UI"/>
          <w:sz w:val="21"/>
          <w:szCs w:val="21"/>
        </w:rPr>
      </w:pPr>
      <w:r>
        <w:rPr>
          <w:rStyle w:val="a4"/>
          <w:rFonts w:ascii="Segoe UI" w:hAnsi="Segoe UI" w:cs="Segoe UI"/>
          <w:sz w:val="21"/>
          <w:szCs w:val="21"/>
        </w:rPr>
        <w:t>Artistic Techniques</w:t>
      </w:r>
    </w:p>
    <w:p w14:paraId="276460F3" w14:textId="77777777" w:rsidR="00F95B5C" w:rsidRDefault="00F95B5C" w:rsidP="00F95B5C">
      <w:pPr>
        <w:widowControl/>
        <w:numPr>
          <w:ilvl w:val="2"/>
          <w:numId w:val="5"/>
        </w:numPr>
        <w:shd w:val="clear" w:color="auto" w:fill="F9F9FE"/>
        <w:wordWrap/>
        <w:autoSpaceDE/>
        <w:autoSpaceDN/>
        <w:spacing w:before="100" w:beforeAutospacing="1" w:after="100" w:afterAutospacing="1"/>
        <w:rPr>
          <w:rFonts w:ascii="Segoe UI" w:hAnsi="Segoe UI" w:cs="Segoe UI"/>
          <w:sz w:val="21"/>
          <w:szCs w:val="21"/>
        </w:rPr>
      </w:pPr>
      <w:r>
        <w:rPr>
          <w:rFonts w:ascii="Segoe UI" w:hAnsi="Segoe UI" w:cs="Segoe UI"/>
          <w:sz w:val="21"/>
          <w:szCs w:val="21"/>
        </w:rPr>
        <w:t>Artists often employed dramatic contrasts of light and shadow, expressive figures, and detailed backgrounds to heighten the emotional impact of these scenes. The use of vivid colors and dynamic compositions aimed to draw viewers into the narrative, making the horror of the events more palpable.</w:t>
      </w:r>
    </w:p>
    <w:p w14:paraId="50E823F7" w14:textId="77777777" w:rsidR="00F95B5C" w:rsidRDefault="00F95B5C" w:rsidP="00F95B5C">
      <w:pPr>
        <w:pStyle w:val="3"/>
        <w:shd w:val="clear" w:color="auto" w:fill="F9F9FE"/>
        <w:spacing w:before="0" w:beforeAutospacing="0" w:after="0" w:afterAutospacing="0"/>
        <w:ind w:left="720"/>
        <w:rPr>
          <w:rFonts w:ascii="Segoe UI" w:hAnsi="Segoe UI" w:cs="Segoe UI"/>
        </w:rPr>
      </w:pPr>
      <w:r>
        <w:rPr>
          <w:rFonts w:ascii="Segoe UI" w:hAnsi="Segoe UI" w:cs="Segoe UI"/>
        </w:rPr>
        <w:t>Conclusion</w:t>
      </w:r>
    </w:p>
    <w:p w14:paraId="74B8A4D3" w14:textId="77777777" w:rsidR="00F95B5C" w:rsidRDefault="00F95B5C" w:rsidP="00F95B5C">
      <w:pPr>
        <w:pStyle w:val="a3"/>
        <w:shd w:val="clear" w:color="auto" w:fill="F9F9FE"/>
        <w:spacing w:before="0" w:beforeAutospacing="0" w:after="0" w:afterAutospacing="0"/>
        <w:ind w:left="720"/>
        <w:rPr>
          <w:rFonts w:ascii="Segoe UI" w:hAnsi="Segoe UI" w:cs="Segoe UI"/>
          <w:sz w:val="21"/>
          <w:szCs w:val="21"/>
        </w:rPr>
      </w:pPr>
      <w:r>
        <w:rPr>
          <w:rFonts w:ascii="Segoe UI" w:hAnsi="Segoe UI" w:cs="Segoe UI"/>
          <w:sz w:val="21"/>
          <w:szCs w:val="21"/>
        </w:rPr>
        <w:t>The image of torture and decapitation serves as a powerful representation of the historical tensions between Christians and Muslims during the period from 1500 to 1700. It reflects the fears, prejudices, and cultural narratives that shaped European views of the Ottoman Empire and Islam as a whole. By depicting such violence, artists not only documented historical events but also influenced public sentiment and political action in their time.</w:t>
      </w:r>
    </w:p>
    <w:p w14:paraId="5AFD86F2" w14:textId="77777777"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p>
    <w:p w14:paraId="5DC4375A" w14:textId="77777777" w:rsid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p>
    <w:p w14:paraId="63DE26E2" w14:textId="77777777" w:rsid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p>
    <w:p w14:paraId="34454CC1" w14:textId="77777777" w:rsid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p>
    <w:p w14:paraId="0FB9D203" w14:textId="77777777" w:rsid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p>
    <w:p w14:paraId="1A0CF5E2" w14:textId="77777777" w:rsid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p>
    <w:p w14:paraId="48A8525F" w14:textId="66BA744F"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kern w:val="0"/>
          <w:sz w:val="21"/>
          <w:szCs w:val="21"/>
          <w14:ligatures w14:val="none"/>
        </w:rPr>
        <w:t>Certainly! Below is a more detailed summary of "Europe Views the World, c.1500-1700," structured to cover key themes, explanations for significant images, and important information from the text. This summary aims to be approximately three pages in length.</w:t>
      </w:r>
    </w:p>
    <w:p w14:paraId="7C6CDE19" w14:textId="77777777" w:rsidR="00F95B5C" w:rsidRPr="00F95B5C" w:rsidRDefault="004859E8" w:rsidP="00F95B5C">
      <w:pPr>
        <w:widowControl/>
        <w:wordWrap/>
        <w:autoSpaceDE/>
        <w:autoSpaceDN/>
        <w:spacing w:after="0"/>
        <w:rPr>
          <w:rFonts w:ascii="굴림" w:eastAsia="굴림" w:hAnsi="굴림" w:cs="굴림"/>
          <w:kern w:val="0"/>
          <w:sz w:val="24"/>
          <w14:ligatures w14:val="none"/>
        </w:rPr>
      </w:pPr>
      <w:r>
        <w:rPr>
          <w:rFonts w:ascii="굴림" w:eastAsia="굴림" w:hAnsi="굴림" w:cs="굴림"/>
          <w:kern w:val="0"/>
          <w:sz w:val="24"/>
          <w14:ligatures w14:val="none"/>
        </w:rPr>
        <w:pict w14:anchorId="3E511BE7">
          <v:rect id="_x0000_i1026" style="width:0;height:1.5pt" o:hralign="center" o:hrstd="t" o:hr="t" fillcolor="#a0a0a0" stroked="f"/>
        </w:pict>
      </w:r>
    </w:p>
    <w:p w14:paraId="7791723E" w14:textId="77777777" w:rsidR="00F95B5C" w:rsidRPr="00F95B5C" w:rsidRDefault="00F95B5C" w:rsidP="00F95B5C">
      <w:pPr>
        <w:widowControl/>
        <w:shd w:val="clear" w:color="auto" w:fill="F9F9FE"/>
        <w:wordWrap/>
        <w:autoSpaceDE/>
        <w:autoSpaceDN/>
        <w:spacing w:after="0"/>
        <w:outlineLvl w:val="2"/>
        <w:rPr>
          <w:rFonts w:ascii="Segoe UI" w:eastAsia="굴림" w:hAnsi="Segoe UI" w:cs="Segoe UI"/>
          <w:b/>
          <w:bCs/>
          <w:kern w:val="0"/>
          <w:sz w:val="27"/>
          <w:szCs w:val="27"/>
          <w14:ligatures w14:val="none"/>
        </w:rPr>
      </w:pPr>
      <w:r w:rsidRPr="00F95B5C">
        <w:rPr>
          <w:rFonts w:ascii="Segoe UI" w:eastAsia="굴림" w:hAnsi="Segoe UI" w:cs="Segoe UI"/>
          <w:b/>
          <w:bCs/>
          <w:kern w:val="0"/>
          <w:sz w:val="27"/>
          <w:szCs w:val="27"/>
          <w14:ligatures w14:val="none"/>
        </w:rPr>
        <w:t>Summary of "Europe Views the World, c.1500-1700"</w:t>
      </w:r>
    </w:p>
    <w:p w14:paraId="21D8BCD2" w14:textId="77777777"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Introduction:</w:t>
      </w:r>
      <w:r w:rsidRPr="00F95B5C">
        <w:rPr>
          <w:rFonts w:ascii="Segoe UI" w:eastAsia="굴림" w:hAnsi="Segoe UI" w:cs="Segoe UI"/>
          <w:kern w:val="0"/>
          <w:sz w:val="21"/>
          <w:szCs w:val="21"/>
          <w14:ligatures w14:val="none"/>
        </w:rPr>
        <w:t> The period from 1500 to 1700 marked a significant transformation in European perceptions of the world, particularly the Americas. This document explores how artistic representations, cartographic advancements, and cultural narratives shaped these views, reflecting the complexities of colonial encounters and the evolving understanding of geography and humanity.</w:t>
      </w:r>
    </w:p>
    <w:p w14:paraId="12D0875A" w14:textId="77777777" w:rsidR="00F95B5C" w:rsidRPr="00F95B5C" w:rsidRDefault="00F95B5C" w:rsidP="00F95B5C">
      <w:pPr>
        <w:widowControl/>
        <w:shd w:val="clear" w:color="auto" w:fill="F9F9FE"/>
        <w:wordWrap/>
        <w:autoSpaceDE/>
        <w:autoSpaceDN/>
        <w:spacing w:before="120"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1. Artistic Representations and Allegories:</w:t>
      </w:r>
    </w:p>
    <w:p w14:paraId="64E550F9" w14:textId="77777777" w:rsidR="00F95B5C" w:rsidRPr="00F95B5C" w:rsidRDefault="00F95B5C" w:rsidP="00F95B5C">
      <w:pPr>
        <w:widowControl/>
        <w:numPr>
          <w:ilvl w:val="0"/>
          <w:numId w:val="1"/>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Allegorical Figures of the Continents:</w:t>
      </w:r>
      <w:r w:rsidRPr="00F95B5C">
        <w:rPr>
          <w:rFonts w:ascii="Segoe UI" w:eastAsia="굴림" w:hAnsi="Segoe UI" w:cs="Segoe UI"/>
          <w:kern w:val="0"/>
          <w:sz w:val="21"/>
          <w:szCs w:val="21"/>
          <w14:ligatures w14:val="none"/>
        </w:rPr>
        <w:t xml:space="preserve"> The document discusses the use of allegorical figures to represent continents, particularly in the context of European superiority. For instance, Europe is often depicted as a regal figure, adorned with a crown and scepter, symbolizing imperial power and Christian dominion. In contrast, America is portrayed as a nude figure, holding a spear and a severed head, which illustrates the perceived savagery </w:t>
      </w:r>
      <w:r w:rsidRPr="00F95B5C">
        <w:rPr>
          <w:rFonts w:ascii="Segoe UI" w:eastAsia="굴림" w:hAnsi="Segoe UI" w:cs="Segoe UI"/>
          <w:kern w:val="0"/>
          <w:sz w:val="21"/>
          <w:szCs w:val="21"/>
          <w14:ligatures w14:val="none"/>
        </w:rPr>
        <w:lastRenderedPageBreak/>
        <w:t>and violent nature attributed to indigenous peoples </w:t>
      </w:r>
      <w:r w:rsidRPr="00F95B5C">
        <w:rPr>
          <w:rFonts w:ascii="Segoe UI" w:eastAsia="굴림" w:hAnsi="Segoe UI" w:cs="Segoe UI"/>
          <w:color w:val="FFFFFF"/>
          <w:kern w:val="0"/>
          <w:sz w:val="18"/>
          <w:szCs w:val="18"/>
          <w:shd w:val="clear" w:color="auto" w:fill="9CB6DA"/>
          <w14:ligatures w14:val="none"/>
        </w:rPr>
        <w:t>21</w:t>
      </w:r>
      <w:r w:rsidRPr="00F95B5C">
        <w:rPr>
          <w:rFonts w:ascii="Segoe UI" w:eastAsia="굴림" w:hAnsi="Segoe UI" w:cs="Segoe UI"/>
          <w:kern w:val="0"/>
          <w:sz w:val="21"/>
          <w:szCs w:val="21"/>
          <w14:ligatures w14:val="none"/>
        </w:rPr>
        <w:t>. This stark contrast serves to reinforce the narrative of European civilization versus barbarism.</w:t>
      </w:r>
    </w:p>
    <w:p w14:paraId="4C605306" w14:textId="77777777" w:rsidR="00F95B5C" w:rsidRPr="00F95B5C" w:rsidRDefault="00F95B5C" w:rsidP="00F95B5C">
      <w:pPr>
        <w:widowControl/>
        <w:numPr>
          <w:ilvl w:val="0"/>
          <w:numId w:val="1"/>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Imagery of Cannibalism:</w:t>
      </w:r>
      <w:r w:rsidRPr="00F95B5C">
        <w:rPr>
          <w:rFonts w:ascii="Segoe UI" w:eastAsia="굴림" w:hAnsi="Segoe UI" w:cs="Segoe UI"/>
          <w:kern w:val="0"/>
          <w:sz w:val="21"/>
          <w:szCs w:val="21"/>
          <w14:ligatures w14:val="none"/>
        </w:rPr>
        <w:t> A woodcut broadsheet from 1505 illustrates the gruesome practices attributed to indigenous peoples, depicting dismembered limbs and cannibalistic acts. This imagery was not only shocking but also served to justify European colonialism by portraying the natives as barbaric and in need of civilization </w:t>
      </w:r>
      <w:r w:rsidRPr="00F95B5C">
        <w:rPr>
          <w:rFonts w:ascii="Segoe UI" w:eastAsia="굴림" w:hAnsi="Segoe UI" w:cs="Segoe UI"/>
          <w:color w:val="FFFFFF"/>
          <w:kern w:val="0"/>
          <w:sz w:val="18"/>
          <w:szCs w:val="18"/>
          <w:shd w:val="clear" w:color="auto" w:fill="9CB6DA"/>
          <w14:ligatures w14:val="none"/>
        </w:rPr>
        <w:t>5</w:t>
      </w:r>
      <w:r w:rsidRPr="00F95B5C">
        <w:rPr>
          <w:rFonts w:ascii="Segoe UI" w:eastAsia="굴림" w:hAnsi="Segoe UI" w:cs="Segoe UI"/>
          <w:kern w:val="0"/>
          <w:sz w:val="21"/>
          <w:szCs w:val="21"/>
          <w14:ligatures w14:val="none"/>
        </w:rPr>
        <w:t>. Such representations became a standard iconography in European art and maps, influencing public perception and policy regarding the New World.</w:t>
      </w:r>
    </w:p>
    <w:p w14:paraId="265DDC9B" w14:textId="77777777"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2. Cartographic Developments:</w:t>
      </w:r>
    </w:p>
    <w:p w14:paraId="79E4EE76" w14:textId="77777777" w:rsidR="00F95B5C" w:rsidRPr="00F95B5C" w:rsidRDefault="00F95B5C" w:rsidP="00F95B5C">
      <w:pPr>
        <w:widowControl/>
        <w:numPr>
          <w:ilvl w:val="0"/>
          <w:numId w:val="2"/>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Hans Holbein's Universal Cosmographic Map (1532):</w:t>
      </w:r>
      <w:r w:rsidRPr="00F95B5C">
        <w:rPr>
          <w:rFonts w:ascii="Segoe UI" w:eastAsia="굴림" w:hAnsi="Segoe UI" w:cs="Segoe UI"/>
          <w:kern w:val="0"/>
          <w:sz w:val="21"/>
          <w:szCs w:val="21"/>
          <w14:ligatures w14:val="none"/>
        </w:rPr>
        <w:t> This map exemplifies the expansion of cartographic knowledge during the Renaissance. It features labeled characters, such as "</w:t>
      </w:r>
      <w:proofErr w:type="spellStart"/>
      <w:r w:rsidRPr="00F95B5C">
        <w:rPr>
          <w:rFonts w:ascii="Segoe UI" w:eastAsia="굴림" w:hAnsi="Segoe UI" w:cs="Segoe UI"/>
          <w:kern w:val="0"/>
          <w:sz w:val="21"/>
          <w:szCs w:val="21"/>
          <w14:ligatures w14:val="none"/>
        </w:rPr>
        <w:t>Canibali</w:t>
      </w:r>
      <w:proofErr w:type="spellEnd"/>
      <w:r w:rsidRPr="00F95B5C">
        <w:rPr>
          <w:rFonts w:ascii="Segoe UI" w:eastAsia="굴림" w:hAnsi="Segoe UI" w:cs="Segoe UI"/>
          <w:kern w:val="0"/>
          <w:sz w:val="21"/>
          <w:szCs w:val="21"/>
          <w14:ligatures w14:val="none"/>
        </w:rPr>
        <w:t>," engaged in the act of cannibalism, reinforcing the exotic and savage image of the Americas. The map also includes fantastical creatures and elements derived from ancient reports, showcasing the blend of myth and reality in European cartography </w:t>
      </w:r>
      <w:r w:rsidRPr="00F95B5C">
        <w:rPr>
          <w:rFonts w:ascii="Segoe UI" w:eastAsia="굴림" w:hAnsi="Segoe UI" w:cs="Segoe UI"/>
          <w:color w:val="FFFFFF"/>
          <w:kern w:val="0"/>
          <w:sz w:val="18"/>
          <w:szCs w:val="18"/>
          <w:shd w:val="clear" w:color="auto" w:fill="9CB6DA"/>
          <w14:ligatures w14:val="none"/>
        </w:rPr>
        <w:t>6</w:t>
      </w:r>
      <w:r w:rsidRPr="00F95B5C">
        <w:rPr>
          <w:rFonts w:ascii="Segoe UI" w:eastAsia="굴림" w:hAnsi="Segoe UI" w:cs="Segoe UI"/>
          <w:kern w:val="0"/>
          <w:sz w:val="21"/>
          <w:szCs w:val="21"/>
          <w14:ligatures w14:val="none"/>
        </w:rPr>
        <w:t>. This blending reflects the limited understanding of the Americas and the tendency to project European fears and fantasies onto the new lands.</w:t>
      </w:r>
    </w:p>
    <w:p w14:paraId="5E9D21FF" w14:textId="77777777" w:rsidR="00F95B5C" w:rsidRPr="00F95B5C" w:rsidRDefault="00F95B5C" w:rsidP="00F95B5C">
      <w:pPr>
        <w:widowControl/>
        <w:numPr>
          <w:ilvl w:val="0"/>
          <w:numId w:val="2"/>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Scientific Exploration and Documentation:</w:t>
      </w:r>
      <w:r w:rsidRPr="00F95B5C">
        <w:rPr>
          <w:rFonts w:ascii="Segoe UI" w:eastAsia="굴림" w:hAnsi="Segoe UI" w:cs="Segoe UI"/>
          <w:kern w:val="0"/>
          <w:sz w:val="21"/>
          <w:szCs w:val="21"/>
          <w14:ligatures w14:val="none"/>
        </w:rPr>
        <w:t xml:space="preserve"> The document highlights the contributions of naturalists like </w:t>
      </w:r>
      <w:proofErr w:type="spellStart"/>
      <w:r w:rsidRPr="00F95B5C">
        <w:rPr>
          <w:rFonts w:ascii="Segoe UI" w:eastAsia="굴림" w:hAnsi="Segoe UI" w:cs="Segoe UI"/>
          <w:kern w:val="0"/>
          <w:sz w:val="21"/>
          <w:szCs w:val="21"/>
          <w14:ligatures w14:val="none"/>
        </w:rPr>
        <w:t>Marcgraf</w:t>
      </w:r>
      <w:proofErr w:type="spellEnd"/>
      <w:r w:rsidRPr="00F95B5C">
        <w:rPr>
          <w:rFonts w:ascii="Segoe UI" w:eastAsia="굴림" w:hAnsi="Segoe UI" w:cs="Segoe UI"/>
          <w:kern w:val="0"/>
          <w:sz w:val="21"/>
          <w:szCs w:val="21"/>
          <w14:ligatures w14:val="none"/>
        </w:rPr>
        <w:t xml:space="preserve"> and </w:t>
      </w:r>
      <w:proofErr w:type="spellStart"/>
      <w:r w:rsidRPr="00F95B5C">
        <w:rPr>
          <w:rFonts w:ascii="Segoe UI" w:eastAsia="굴림" w:hAnsi="Segoe UI" w:cs="Segoe UI"/>
          <w:kern w:val="0"/>
          <w:sz w:val="21"/>
          <w:szCs w:val="21"/>
          <w14:ligatures w14:val="none"/>
        </w:rPr>
        <w:t>Piso</w:t>
      </w:r>
      <w:proofErr w:type="spellEnd"/>
      <w:r w:rsidRPr="00F95B5C">
        <w:rPr>
          <w:rFonts w:ascii="Segoe UI" w:eastAsia="굴림" w:hAnsi="Segoe UI" w:cs="Segoe UI"/>
          <w:kern w:val="0"/>
          <w:sz w:val="21"/>
          <w:szCs w:val="21"/>
          <w14:ligatures w14:val="none"/>
        </w:rPr>
        <w:t xml:space="preserve">, who published "Historia </w:t>
      </w:r>
      <w:proofErr w:type="spellStart"/>
      <w:r w:rsidRPr="00F95B5C">
        <w:rPr>
          <w:rFonts w:ascii="Segoe UI" w:eastAsia="굴림" w:hAnsi="Segoe UI" w:cs="Segoe UI"/>
          <w:kern w:val="0"/>
          <w:sz w:val="21"/>
          <w:szCs w:val="21"/>
          <w14:ligatures w14:val="none"/>
        </w:rPr>
        <w:t>naturalis</w:t>
      </w:r>
      <w:proofErr w:type="spellEnd"/>
      <w:r w:rsidRPr="00F95B5C">
        <w:rPr>
          <w:rFonts w:ascii="Segoe UI" w:eastAsia="굴림" w:hAnsi="Segoe UI" w:cs="Segoe UI"/>
          <w:kern w:val="0"/>
          <w:sz w:val="21"/>
          <w:szCs w:val="21"/>
          <w14:ligatures w14:val="none"/>
        </w:rPr>
        <w:t xml:space="preserve"> </w:t>
      </w:r>
      <w:proofErr w:type="spellStart"/>
      <w:r w:rsidRPr="00F95B5C">
        <w:rPr>
          <w:rFonts w:ascii="Segoe UI" w:eastAsia="굴림" w:hAnsi="Segoe UI" w:cs="Segoe UI"/>
          <w:kern w:val="0"/>
          <w:sz w:val="21"/>
          <w:szCs w:val="21"/>
          <w14:ligatures w14:val="none"/>
        </w:rPr>
        <w:t>Brasiliae</w:t>
      </w:r>
      <w:proofErr w:type="spellEnd"/>
      <w:r w:rsidRPr="00F95B5C">
        <w:rPr>
          <w:rFonts w:ascii="Segoe UI" w:eastAsia="굴림" w:hAnsi="Segoe UI" w:cs="Segoe UI"/>
          <w:kern w:val="0"/>
          <w:sz w:val="21"/>
          <w:szCs w:val="21"/>
          <w14:ligatures w14:val="none"/>
        </w:rPr>
        <w:t>" in 1648. This work included detailed illustrations of Brazilian flora and fauna, marking a shift towards a more scientific approach to exploration. The combination of vivid artistic representation and scientific description aimed to catalog the natural world and assert European dominance over it </w:t>
      </w:r>
      <w:r w:rsidRPr="00F95B5C">
        <w:rPr>
          <w:rFonts w:ascii="Segoe UI" w:eastAsia="굴림" w:hAnsi="Segoe UI" w:cs="Segoe UI"/>
          <w:color w:val="FFFFFF"/>
          <w:kern w:val="0"/>
          <w:sz w:val="18"/>
          <w:szCs w:val="18"/>
          <w:shd w:val="clear" w:color="auto" w:fill="9CB6DA"/>
          <w14:ligatures w14:val="none"/>
        </w:rPr>
        <w:t>20</w:t>
      </w:r>
      <w:r w:rsidRPr="00F95B5C">
        <w:rPr>
          <w:rFonts w:ascii="Segoe UI" w:eastAsia="굴림" w:hAnsi="Segoe UI" w:cs="Segoe UI"/>
          <w:kern w:val="0"/>
          <w:sz w:val="21"/>
          <w:szCs w:val="21"/>
          <w14:ligatures w14:val="none"/>
        </w:rPr>
        <w:t>.</w:t>
      </w:r>
    </w:p>
    <w:p w14:paraId="4D2E1AAA" w14:textId="77777777"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3. Cultural Encounters and Confrontations:</w:t>
      </w:r>
    </w:p>
    <w:p w14:paraId="7CC1BC3A" w14:textId="77777777" w:rsidR="00F95B5C" w:rsidRPr="00F95B5C" w:rsidRDefault="00F95B5C" w:rsidP="00F95B5C">
      <w:pPr>
        <w:widowControl/>
        <w:numPr>
          <w:ilvl w:val="0"/>
          <w:numId w:val="3"/>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Codex Duran (1579-81):</w:t>
      </w:r>
      <w:r w:rsidRPr="00F95B5C">
        <w:rPr>
          <w:rFonts w:ascii="Segoe UI" w:eastAsia="굴림" w:hAnsi="Segoe UI" w:cs="Segoe UI"/>
          <w:kern w:val="0"/>
          <w:sz w:val="21"/>
          <w:szCs w:val="21"/>
          <w14:ligatures w14:val="none"/>
        </w:rPr>
        <w:t> This manuscript provides a visual account of the encounters between indigenous peoples and European invaders. It illustrates the stark contrast between the well-armed Spanish troops and the naked indigenous warriors, highlighting the power dynamics at play during these confrontations. The imagery serves to document the violence and cultural clash that characterized the colonial experience </w:t>
      </w:r>
      <w:r w:rsidRPr="00F95B5C">
        <w:rPr>
          <w:rFonts w:ascii="Segoe UI" w:eastAsia="굴림" w:hAnsi="Segoe UI" w:cs="Segoe UI"/>
          <w:color w:val="FFFFFF"/>
          <w:kern w:val="0"/>
          <w:sz w:val="18"/>
          <w:szCs w:val="18"/>
          <w:shd w:val="clear" w:color="auto" w:fill="9CB6DA"/>
          <w14:ligatures w14:val="none"/>
        </w:rPr>
        <w:t>20</w:t>
      </w:r>
      <w:r w:rsidRPr="00F95B5C">
        <w:rPr>
          <w:rFonts w:ascii="Segoe UI" w:eastAsia="굴림" w:hAnsi="Segoe UI" w:cs="Segoe UI"/>
          <w:kern w:val="0"/>
          <w:sz w:val="21"/>
          <w:szCs w:val="21"/>
          <w14:ligatures w14:val="none"/>
        </w:rPr>
        <w:t>.</w:t>
      </w:r>
    </w:p>
    <w:p w14:paraId="2F5F006C" w14:textId="77777777" w:rsidR="00F95B5C" w:rsidRPr="00F95B5C" w:rsidRDefault="00F95B5C" w:rsidP="00F95B5C">
      <w:pPr>
        <w:widowControl/>
        <w:numPr>
          <w:ilvl w:val="0"/>
          <w:numId w:val="3"/>
        </w:numPr>
        <w:shd w:val="clear" w:color="auto" w:fill="F9F9FE"/>
        <w:wordWrap/>
        <w:autoSpaceDE/>
        <w:autoSpaceDN/>
        <w:spacing w:after="0"/>
        <w:rPr>
          <w:rFonts w:ascii="Segoe UI" w:eastAsia="굴림" w:hAnsi="Segoe UI" w:cs="Segoe UI"/>
          <w:kern w:val="0"/>
          <w:sz w:val="21"/>
          <w:szCs w:val="21"/>
          <w14:ligatures w14:val="none"/>
        </w:rPr>
      </w:pPr>
      <w:proofErr w:type="spellStart"/>
      <w:r w:rsidRPr="00F95B5C">
        <w:rPr>
          <w:rFonts w:ascii="Segoe UI" w:eastAsia="굴림" w:hAnsi="Segoe UI" w:cs="Segoe UI"/>
          <w:b/>
          <w:bCs/>
          <w:kern w:val="0"/>
          <w:sz w:val="21"/>
          <w:szCs w:val="21"/>
          <w14:ligatures w14:val="none"/>
        </w:rPr>
        <w:t>Guaman</w:t>
      </w:r>
      <w:proofErr w:type="spellEnd"/>
      <w:r w:rsidRPr="00F95B5C">
        <w:rPr>
          <w:rFonts w:ascii="Segoe UI" w:eastAsia="굴림" w:hAnsi="Segoe UI" w:cs="Segoe UI"/>
          <w:b/>
          <w:bCs/>
          <w:kern w:val="0"/>
          <w:sz w:val="21"/>
          <w:szCs w:val="21"/>
          <w14:ligatures w14:val="none"/>
        </w:rPr>
        <w:t xml:space="preserve"> Poma de Ayala's Manuscript:</w:t>
      </w:r>
      <w:r w:rsidRPr="00F95B5C">
        <w:rPr>
          <w:rFonts w:ascii="Segoe UI" w:eastAsia="굴림" w:hAnsi="Segoe UI" w:cs="Segoe UI"/>
          <w:kern w:val="0"/>
          <w:sz w:val="21"/>
          <w:szCs w:val="21"/>
          <w14:ligatures w14:val="none"/>
        </w:rPr>
        <w:t xml:space="preserve"> This early 17th-century work from Peru combines history with a plea against colonial abuses. It features illustrations that reflect both European artistic conventions and Andean culture, showcasing the complexities of identity and representation in the colonial context. </w:t>
      </w:r>
      <w:proofErr w:type="spellStart"/>
      <w:r w:rsidRPr="00F95B5C">
        <w:rPr>
          <w:rFonts w:ascii="Segoe UI" w:eastAsia="굴림" w:hAnsi="Segoe UI" w:cs="Segoe UI"/>
          <w:kern w:val="0"/>
          <w:sz w:val="21"/>
          <w:szCs w:val="21"/>
          <w14:ligatures w14:val="none"/>
        </w:rPr>
        <w:t>Guaman</w:t>
      </w:r>
      <w:proofErr w:type="spellEnd"/>
      <w:r w:rsidRPr="00F95B5C">
        <w:rPr>
          <w:rFonts w:ascii="Segoe UI" w:eastAsia="굴림" w:hAnsi="Segoe UI" w:cs="Segoe UI"/>
          <w:kern w:val="0"/>
          <w:sz w:val="21"/>
          <w:szCs w:val="21"/>
          <w14:ligatures w14:val="none"/>
        </w:rPr>
        <w:t xml:space="preserve"> Poma's work serves as a critical commentary on the impact of colonialism on indigenous societies </w:t>
      </w:r>
      <w:r w:rsidRPr="00F95B5C">
        <w:rPr>
          <w:rFonts w:ascii="Segoe UI" w:eastAsia="굴림" w:hAnsi="Segoe UI" w:cs="Segoe UI"/>
          <w:color w:val="FFFFFF"/>
          <w:kern w:val="0"/>
          <w:sz w:val="18"/>
          <w:szCs w:val="18"/>
          <w:shd w:val="clear" w:color="auto" w:fill="9CB6DA"/>
          <w14:ligatures w14:val="none"/>
        </w:rPr>
        <w:t>20</w:t>
      </w:r>
      <w:r w:rsidRPr="00F95B5C">
        <w:rPr>
          <w:rFonts w:ascii="Segoe UI" w:eastAsia="굴림" w:hAnsi="Segoe UI" w:cs="Segoe UI"/>
          <w:kern w:val="0"/>
          <w:sz w:val="21"/>
          <w:szCs w:val="21"/>
          <w14:ligatures w14:val="none"/>
        </w:rPr>
        <w:t>.</w:t>
      </w:r>
    </w:p>
    <w:p w14:paraId="6A9FF2BE" w14:textId="77777777"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4. Thematic Analysis of Cannibalism:</w:t>
      </w:r>
    </w:p>
    <w:p w14:paraId="1530561E" w14:textId="77777777" w:rsidR="00F95B5C" w:rsidRPr="00F95B5C" w:rsidRDefault="00F95B5C" w:rsidP="00F95B5C">
      <w:pPr>
        <w:widowControl/>
        <w:numPr>
          <w:ilvl w:val="0"/>
          <w:numId w:val="4"/>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Literary Reflections on Cannibalism:</w:t>
      </w:r>
      <w:r w:rsidRPr="00F95B5C">
        <w:rPr>
          <w:rFonts w:ascii="Segoe UI" w:eastAsia="굴림" w:hAnsi="Segoe UI" w:cs="Segoe UI"/>
          <w:kern w:val="0"/>
          <w:sz w:val="21"/>
          <w:szCs w:val="21"/>
          <w14:ligatures w14:val="none"/>
        </w:rPr>
        <w:t> The document discusses how cannibalism became a recurring theme in European literature and art, often used to depict the "otherness" of indigenous peoples. Figures like Shakespeare and Montaigne grappled with the moral implications of colonialism, questioning the narratives that justified the brutal treatment of native populations. This literary engagement reflects a growing awareness of the ethical dilemmas posed by colonial expansion </w:t>
      </w:r>
      <w:r w:rsidRPr="00F95B5C">
        <w:rPr>
          <w:rFonts w:ascii="Segoe UI" w:eastAsia="굴림" w:hAnsi="Segoe UI" w:cs="Segoe UI"/>
          <w:color w:val="FFFFFF"/>
          <w:kern w:val="0"/>
          <w:sz w:val="18"/>
          <w:szCs w:val="18"/>
          <w:shd w:val="clear" w:color="auto" w:fill="9CB6DA"/>
          <w14:ligatures w14:val="none"/>
        </w:rPr>
        <w:t>6</w:t>
      </w:r>
      <w:r w:rsidRPr="00F95B5C">
        <w:rPr>
          <w:rFonts w:ascii="Segoe UI" w:eastAsia="굴림" w:hAnsi="Segoe UI" w:cs="Segoe UI"/>
          <w:kern w:val="0"/>
          <w:sz w:val="21"/>
          <w:szCs w:val="21"/>
          <w14:ligatures w14:val="none"/>
        </w:rPr>
        <w:t>.</w:t>
      </w:r>
    </w:p>
    <w:p w14:paraId="7A64705F" w14:textId="77777777" w:rsidR="00F95B5C" w:rsidRPr="00F95B5C" w:rsidRDefault="00F95B5C" w:rsidP="00F95B5C">
      <w:pPr>
        <w:widowControl/>
        <w:numPr>
          <w:ilvl w:val="0"/>
          <w:numId w:val="4"/>
        </w:numPr>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Impact on European Consciousness:</w:t>
      </w:r>
      <w:r w:rsidRPr="00F95B5C">
        <w:rPr>
          <w:rFonts w:ascii="Segoe UI" w:eastAsia="굴림" w:hAnsi="Segoe UI" w:cs="Segoe UI"/>
          <w:kern w:val="0"/>
          <w:sz w:val="21"/>
          <w:szCs w:val="21"/>
          <w14:ligatures w14:val="none"/>
        </w:rPr>
        <w:t> The portrayal of cannibalism and savagery in art and literature contributed to a broader European consciousness about the New World. These representations not only shaped public perception but also influenced policies and attitudes towards colonization, reinforcing the idea of European superiority and the need to civilize the "savage" lands </w:t>
      </w:r>
      <w:r w:rsidRPr="00F95B5C">
        <w:rPr>
          <w:rFonts w:ascii="Segoe UI" w:eastAsia="굴림" w:hAnsi="Segoe UI" w:cs="Segoe UI"/>
          <w:color w:val="FFFFFF"/>
          <w:kern w:val="0"/>
          <w:sz w:val="18"/>
          <w:szCs w:val="18"/>
          <w:shd w:val="clear" w:color="auto" w:fill="9CB6DA"/>
          <w14:ligatures w14:val="none"/>
        </w:rPr>
        <w:t>5</w:t>
      </w:r>
      <w:r w:rsidRPr="00F95B5C">
        <w:rPr>
          <w:rFonts w:ascii="Segoe UI" w:eastAsia="굴림" w:hAnsi="Segoe UI" w:cs="Segoe UI"/>
          <w:kern w:val="0"/>
          <w:sz w:val="21"/>
          <w:szCs w:val="21"/>
          <w14:ligatures w14:val="none"/>
        </w:rPr>
        <w:t>.</w:t>
      </w:r>
    </w:p>
    <w:p w14:paraId="7A37E48B" w14:textId="77777777" w:rsidR="00F95B5C" w:rsidRPr="00F95B5C" w:rsidRDefault="00F95B5C" w:rsidP="00F95B5C">
      <w:pPr>
        <w:widowControl/>
        <w:shd w:val="clear" w:color="auto" w:fill="F9F9FE"/>
        <w:wordWrap/>
        <w:autoSpaceDE/>
        <w:autoSpaceDN/>
        <w:spacing w:after="0"/>
        <w:rPr>
          <w:rFonts w:ascii="Segoe UI" w:eastAsia="굴림" w:hAnsi="Segoe UI" w:cs="Segoe UI"/>
          <w:kern w:val="0"/>
          <w:sz w:val="21"/>
          <w:szCs w:val="21"/>
          <w14:ligatures w14:val="none"/>
        </w:rPr>
      </w:pPr>
      <w:r w:rsidRPr="00F95B5C">
        <w:rPr>
          <w:rFonts w:ascii="Segoe UI" w:eastAsia="굴림" w:hAnsi="Segoe UI" w:cs="Segoe UI"/>
          <w:b/>
          <w:bCs/>
          <w:kern w:val="0"/>
          <w:sz w:val="21"/>
          <w:szCs w:val="21"/>
          <w14:ligatures w14:val="none"/>
        </w:rPr>
        <w:t>5. Conclusion:</w:t>
      </w:r>
      <w:r w:rsidRPr="00F95B5C">
        <w:rPr>
          <w:rFonts w:ascii="Segoe UI" w:eastAsia="굴림" w:hAnsi="Segoe UI" w:cs="Segoe UI"/>
          <w:kern w:val="0"/>
          <w:sz w:val="21"/>
          <w:szCs w:val="21"/>
          <w14:ligatures w14:val="none"/>
        </w:rPr>
        <w:t xml:space="preserve"> The document encapsulates the complex interplay between art, science, and cultural narratives in shaping European views of the world during the early modern period. It highlights how artistic representations, particularly of the Americas, served to reinforce colonial ideologies and perceptions of superiority. The evolving understanding of geography and </w:t>
      </w:r>
      <w:r w:rsidRPr="00F95B5C">
        <w:rPr>
          <w:rFonts w:ascii="Segoe UI" w:eastAsia="굴림" w:hAnsi="Segoe UI" w:cs="Segoe UI"/>
          <w:kern w:val="0"/>
          <w:sz w:val="21"/>
          <w:szCs w:val="21"/>
          <w14:ligatures w14:val="none"/>
        </w:rPr>
        <w:lastRenderedPageBreak/>
        <w:t>humanity during this time laid the groundwork for future interactions between Europe and the rest of the world, with lasting implications for global history.</w:t>
      </w:r>
    </w:p>
    <w:p w14:paraId="1EB14CCF" w14:textId="02801453" w:rsidR="00DC431C" w:rsidRDefault="00DC431C"/>
    <w:p w14:paraId="06986010" w14:textId="1EAA0A3A" w:rsidR="00C47066" w:rsidRDefault="00C47066"/>
    <w:p w14:paraId="7C571751" w14:textId="34268197" w:rsidR="00C47066" w:rsidRDefault="00C47066"/>
    <w:p w14:paraId="4446432A" w14:textId="568B7CC5" w:rsidR="00C47066" w:rsidRDefault="00C47066"/>
    <w:p w14:paraId="403E7B97" w14:textId="27300CF5" w:rsidR="00C47066" w:rsidRDefault="00C47066">
      <w:r>
        <w:rPr>
          <w:rFonts w:hint="eastAsia"/>
        </w:rPr>
        <w:t>A</w:t>
      </w:r>
      <w:r>
        <w:t>frica</w:t>
      </w:r>
    </w:p>
    <w:p w14:paraId="796DE592" w14:textId="080D18B0" w:rsidR="00C47066" w:rsidRDefault="00C47066"/>
    <w:p w14:paraId="7978DB25" w14:textId="0667AB48" w:rsidR="00C47066" w:rsidRDefault="00C47066">
      <w:r>
        <w:rPr>
          <w:rFonts w:hint="eastAsia"/>
        </w:rPr>
        <w:t>E</w:t>
      </w:r>
      <w:r>
        <w:t>uropeans were limited to access to the Empire of Mali since Muslims were in control of Sahara dessert</w:t>
      </w:r>
    </w:p>
    <w:p w14:paraId="5222A94B" w14:textId="16C58EAC" w:rsidR="00DA37B3" w:rsidRDefault="00DA37B3"/>
    <w:p w14:paraId="33FF0998" w14:textId="34DCA8A4" w:rsidR="00DA37B3" w:rsidRDefault="00DA37B3">
      <w:r>
        <w:rPr>
          <w:rFonts w:hint="eastAsia"/>
        </w:rPr>
        <w:t>T</w:t>
      </w:r>
      <w:r>
        <w:t xml:space="preserve">he meeting of the three kings picture represents of the meeting of the three </w:t>
      </w:r>
      <w:proofErr w:type="gramStart"/>
      <w:r>
        <w:t>continent</w:t>
      </w:r>
      <w:proofErr w:type="gramEnd"/>
      <w:r>
        <w:t xml:space="preserve"> (Asia, Africa, Europe)</w:t>
      </w:r>
    </w:p>
    <w:p w14:paraId="103E6EE7" w14:textId="463146CB" w:rsidR="0031582E" w:rsidRDefault="0031582E"/>
    <w:p w14:paraId="6B75C065" w14:textId="6880CC68" w:rsidR="0031582E" w:rsidRDefault="0031582E">
      <w:r>
        <w:t>Left side is inferior position traditionally (The Adoration)</w:t>
      </w:r>
    </w:p>
    <w:p w14:paraId="302EB13C" w14:textId="0A522384" w:rsidR="004859E8" w:rsidRDefault="004859E8"/>
    <w:p w14:paraId="0C2934D4" w14:textId="32544207" w:rsidR="004859E8" w:rsidRDefault="004859E8">
      <w:r>
        <w:t>“Adoration of the Magi” (Antwerp, c. 1520)</w:t>
      </w:r>
      <w:r>
        <w:br/>
      </w:r>
      <w:r>
        <w:br/>
        <w:t xml:space="preserve">-&gt; The oldest person represents </w:t>
      </w:r>
      <w:proofErr w:type="gramStart"/>
      <w:r>
        <w:t>Europe( The</w:t>
      </w:r>
      <w:proofErr w:type="gramEnd"/>
      <w:r>
        <w:t xml:space="preserve"> oldest region so called -&gt; wrong -&gt; European perspective -&gt; wise)</w:t>
      </w:r>
    </w:p>
    <w:p w14:paraId="6575D0F2" w14:textId="77777777" w:rsidR="004859E8" w:rsidRDefault="004859E8">
      <w:pPr>
        <w:rPr>
          <w:rFonts w:hint="eastAsia"/>
        </w:rPr>
      </w:pPr>
    </w:p>
    <w:sectPr w:rsidR="004859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047C"/>
    <w:multiLevelType w:val="multilevel"/>
    <w:tmpl w:val="858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746B5"/>
    <w:multiLevelType w:val="multilevel"/>
    <w:tmpl w:val="9D98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B71C2"/>
    <w:multiLevelType w:val="multilevel"/>
    <w:tmpl w:val="E29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E5A2C"/>
    <w:multiLevelType w:val="multilevel"/>
    <w:tmpl w:val="3AD80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E6552"/>
    <w:multiLevelType w:val="multilevel"/>
    <w:tmpl w:val="A2D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60"/>
    <w:rsid w:val="0031582E"/>
    <w:rsid w:val="004859E8"/>
    <w:rsid w:val="00C47066"/>
    <w:rsid w:val="00DA37B3"/>
    <w:rsid w:val="00DC2C60"/>
    <w:rsid w:val="00DC431C"/>
    <w:rsid w:val="00F95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67E"/>
  <w15:chartTrackingRefBased/>
  <w15:docId w15:val="{474760A5-5F48-4BC8-8959-23653E58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95B5C"/>
    <w:pPr>
      <w:widowControl/>
      <w:wordWrap/>
      <w:autoSpaceDE/>
      <w:autoSpaceDN/>
      <w:spacing w:before="100" w:beforeAutospacing="1" w:after="100" w:afterAutospacing="1"/>
      <w:outlineLvl w:val="2"/>
    </w:pPr>
    <w:rPr>
      <w:rFonts w:ascii="굴림" w:eastAsia="굴림" w:hAnsi="굴림" w:cs="굴림"/>
      <w:b/>
      <w:bCs/>
      <w:kern w:val="0"/>
      <w:sz w:val="27"/>
      <w:szCs w:val="27"/>
      <w14:ligatures w14:val="none"/>
    </w:rPr>
  </w:style>
  <w:style w:type="paragraph" w:styleId="4">
    <w:name w:val="heading 4"/>
    <w:basedOn w:val="a"/>
    <w:next w:val="a"/>
    <w:link w:val="4Char"/>
    <w:uiPriority w:val="9"/>
    <w:semiHidden/>
    <w:unhideWhenUsed/>
    <w:qFormat/>
    <w:rsid w:val="00F95B5C"/>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95B5C"/>
    <w:rPr>
      <w:rFonts w:ascii="굴림" w:eastAsia="굴림" w:hAnsi="굴림" w:cs="굴림"/>
      <w:b/>
      <w:bCs/>
      <w:kern w:val="0"/>
      <w:sz w:val="27"/>
      <w:szCs w:val="27"/>
      <w14:ligatures w14:val="none"/>
    </w:rPr>
  </w:style>
  <w:style w:type="paragraph" w:styleId="a3">
    <w:name w:val="Normal (Web)"/>
    <w:basedOn w:val="a"/>
    <w:uiPriority w:val="99"/>
    <w:semiHidden/>
    <w:unhideWhenUsed/>
    <w:rsid w:val="00F95B5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4">
    <w:name w:val="Strong"/>
    <w:basedOn w:val="a0"/>
    <w:uiPriority w:val="22"/>
    <w:qFormat/>
    <w:rsid w:val="00F95B5C"/>
    <w:rPr>
      <w:b/>
      <w:bCs/>
    </w:rPr>
  </w:style>
  <w:style w:type="character" w:customStyle="1" w:styleId="4Char">
    <w:name w:val="제목 4 Char"/>
    <w:basedOn w:val="a0"/>
    <w:link w:val="4"/>
    <w:uiPriority w:val="9"/>
    <w:semiHidden/>
    <w:rsid w:val="00F95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333506">
      <w:bodyDiv w:val="1"/>
      <w:marLeft w:val="0"/>
      <w:marRight w:val="0"/>
      <w:marTop w:val="0"/>
      <w:marBottom w:val="0"/>
      <w:divBdr>
        <w:top w:val="none" w:sz="0" w:space="0" w:color="auto"/>
        <w:left w:val="none" w:sz="0" w:space="0" w:color="auto"/>
        <w:bottom w:val="none" w:sz="0" w:space="0" w:color="auto"/>
        <w:right w:val="none" w:sz="0" w:space="0" w:color="auto"/>
      </w:divBdr>
      <w:divsChild>
        <w:div w:id="1266427598">
          <w:marLeft w:val="0"/>
          <w:marRight w:val="0"/>
          <w:marTop w:val="0"/>
          <w:marBottom w:val="0"/>
          <w:divBdr>
            <w:top w:val="none" w:sz="0" w:space="0" w:color="auto"/>
            <w:left w:val="none" w:sz="0" w:space="0" w:color="auto"/>
            <w:bottom w:val="none" w:sz="0" w:space="0" w:color="auto"/>
            <w:right w:val="none" w:sz="0" w:space="0" w:color="auto"/>
          </w:divBdr>
          <w:divsChild>
            <w:div w:id="867911784">
              <w:marLeft w:val="0"/>
              <w:marRight w:val="0"/>
              <w:marTop w:val="0"/>
              <w:marBottom w:val="0"/>
              <w:divBdr>
                <w:top w:val="none" w:sz="0" w:space="0" w:color="auto"/>
                <w:left w:val="none" w:sz="0" w:space="0" w:color="auto"/>
                <w:bottom w:val="none" w:sz="0" w:space="0" w:color="auto"/>
                <w:right w:val="none" w:sz="0" w:space="0" w:color="auto"/>
              </w:divBdr>
              <w:divsChild>
                <w:div w:id="322784686">
                  <w:marLeft w:val="0"/>
                  <w:marRight w:val="0"/>
                  <w:marTop w:val="0"/>
                  <w:marBottom w:val="0"/>
                  <w:divBdr>
                    <w:top w:val="none" w:sz="0" w:space="0" w:color="auto"/>
                    <w:left w:val="none" w:sz="0" w:space="0" w:color="auto"/>
                    <w:bottom w:val="none" w:sz="0" w:space="0" w:color="auto"/>
                    <w:right w:val="none" w:sz="0" w:space="0" w:color="auto"/>
                  </w:divBdr>
                  <w:divsChild>
                    <w:div w:id="14944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1392">
          <w:marLeft w:val="0"/>
          <w:marRight w:val="0"/>
          <w:marTop w:val="0"/>
          <w:marBottom w:val="0"/>
          <w:divBdr>
            <w:top w:val="none" w:sz="0" w:space="0" w:color="auto"/>
            <w:left w:val="none" w:sz="0" w:space="0" w:color="auto"/>
            <w:bottom w:val="none" w:sz="0" w:space="0" w:color="auto"/>
            <w:right w:val="none" w:sz="0" w:space="0" w:color="auto"/>
          </w:divBdr>
          <w:divsChild>
            <w:div w:id="945500833">
              <w:marLeft w:val="0"/>
              <w:marRight w:val="0"/>
              <w:marTop w:val="0"/>
              <w:marBottom w:val="0"/>
              <w:divBdr>
                <w:top w:val="none" w:sz="0" w:space="0" w:color="auto"/>
                <w:left w:val="none" w:sz="0" w:space="0" w:color="auto"/>
                <w:bottom w:val="none" w:sz="0" w:space="0" w:color="auto"/>
                <w:right w:val="none" w:sz="0" w:space="0" w:color="auto"/>
              </w:divBdr>
              <w:divsChild>
                <w:div w:id="2018849830">
                  <w:marLeft w:val="0"/>
                  <w:marRight w:val="0"/>
                  <w:marTop w:val="0"/>
                  <w:marBottom w:val="0"/>
                  <w:divBdr>
                    <w:top w:val="none" w:sz="0" w:space="0" w:color="auto"/>
                    <w:left w:val="none" w:sz="0" w:space="0" w:color="auto"/>
                    <w:bottom w:val="none" w:sz="0" w:space="0" w:color="auto"/>
                    <w:right w:val="none" w:sz="0" w:space="0" w:color="auto"/>
                  </w:divBdr>
                  <w:divsChild>
                    <w:div w:id="856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5712">
          <w:marLeft w:val="0"/>
          <w:marRight w:val="0"/>
          <w:marTop w:val="0"/>
          <w:marBottom w:val="0"/>
          <w:divBdr>
            <w:top w:val="none" w:sz="0" w:space="0" w:color="auto"/>
            <w:left w:val="none" w:sz="0" w:space="0" w:color="auto"/>
            <w:bottom w:val="none" w:sz="0" w:space="0" w:color="auto"/>
            <w:right w:val="none" w:sz="0" w:space="0" w:color="auto"/>
          </w:divBdr>
          <w:divsChild>
            <w:div w:id="202258225">
              <w:marLeft w:val="0"/>
              <w:marRight w:val="0"/>
              <w:marTop w:val="0"/>
              <w:marBottom w:val="0"/>
              <w:divBdr>
                <w:top w:val="none" w:sz="0" w:space="0" w:color="auto"/>
                <w:left w:val="none" w:sz="0" w:space="0" w:color="auto"/>
                <w:bottom w:val="none" w:sz="0" w:space="0" w:color="auto"/>
                <w:right w:val="none" w:sz="0" w:space="0" w:color="auto"/>
              </w:divBdr>
              <w:divsChild>
                <w:div w:id="276765525">
                  <w:marLeft w:val="0"/>
                  <w:marRight w:val="0"/>
                  <w:marTop w:val="0"/>
                  <w:marBottom w:val="0"/>
                  <w:divBdr>
                    <w:top w:val="none" w:sz="0" w:space="0" w:color="auto"/>
                    <w:left w:val="none" w:sz="0" w:space="0" w:color="auto"/>
                    <w:bottom w:val="none" w:sz="0" w:space="0" w:color="auto"/>
                    <w:right w:val="none" w:sz="0" w:space="0" w:color="auto"/>
                  </w:divBdr>
                  <w:divsChild>
                    <w:div w:id="15569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1924</Words>
  <Characters>10967</Characters>
  <Application>Microsoft Office Word</Application>
  <DocSecurity>0</DocSecurity>
  <Lines>91</Lines>
  <Paragraphs>25</Paragraphs>
  <ScaleCrop>false</ScaleCrop>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cp:revision>
  <dcterms:created xsi:type="dcterms:W3CDTF">2024-09-18T01:44:00Z</dcterms:created>
  <dcterms:modified xsi:type="dcterms:W3CDTF">2024-09-20T16:59:00Z</dcterms:modified>
</cp:coreProperties>
</file>