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A55F"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Summary of "Juan Latino: Racial, Gender, Religious, and Social State Interdictions in Early Modern Spain"</w:t>
      </w:r>
    </w:p>
    <w:p w14:paraId="4543ED33"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Main Thesis</w:t>
      </w:r>
    </w:p>
    <w:p w14:paraId="59EFA681" w14:textId="77777777" w:rsidR="0053070C" w:rsidRPr="0053070C" w:rsidRDefault="0053070C" w:rsidP="0053070C">
      <w:pPr>
        <w:widowControl/>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readings explore the life and achievements of Juan Latino, an Afro-Spanish humanist and poet, emphasizing how his experiences and literary contributions reflect the complexities of race, gender, and social hierarchies in early modern Spain. Latino's journey from slavery to academic success illustrates the potential for individual agency and the nuanced realities faced by Afro-Spanish individuals during this period.</w:t>
      </w:r>
    </w:p>
    <w:p w14:paraId="59D37FB3"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Key Points</w:t>
      </w:r>
    </w:p>
    <w:p w14:paraId="21D6D1E4"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1. Juan Latino's Background</w:t>
      </w:r>
    </w:p>
    <w:p w14:paraId="493EE5D4" w14:textId="77777777" w:rsidR="0053070C" w:rsidRPr="0053070C" w:rsidRDefault="0053070C" w:rsidP="0053070C">
      <w:pPr>
        <w:widowControl/>
        <w:numPr>
          <w:ilvl w:val="0"/>
          <w:numId w:val="1"/>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Juan Latino was born in 1518 in Granada, Spain, into slavery, which shaped his early experiences and perspectives.</w:t>
      </w:r>
    </w:p>
    <w:p w14:paraId="0D03D33B" w14:textId="77777777" w:rsidR="0053070C" w:rsidRPr="0053070C" w:rsidRDefault="0053070C" w:rsidP="0053070C">
      <w:pPr>
        <w:widowControl/>
        <w:numPr>
          <w:ilvl w:val="0"/>
          <w:numId w:val="1"/>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Despite his status, he became a prominent figure in the literary and academic world, serving as a Latin professor and gaining recognition for his poetic works.</w:t>
      </w:r>
    </w:p>
    <w:p w14:paraId="66CB3069" w14:textId="77777777" w:rsidR="0053070C" w:rsidRPr="0053070C" w:rsidRDefault="0053070C" w:rsidP="0053070C">
      <w:pPr>
        <w:widowControl/>
        <w:numPr>
          <w:ilvl w:val="0"/>
          <w:numId w:val="1"/>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His life exemplifies the paradox of being both a product of systemic oppression and a successful individual navigating these challenges.</w:t>
      </w:r>
    </w:p>
    <w:p w14:paraId="1C0D0BE8"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2. Literary Contributions</w:t>
      </w:r>
    </w:p>
    <w:p w14:paraId="3B8E7C01" w14:textId="77777777" w:rsidR="0053070C" w:rsidRPr="0053070C" w:rsidRDefault="0053070C" w:rsidP="0053070C">
      <w:pPr>
        <w:widowControl/>
        <w:numPr>
          <w:ilvl w:val="0"/>
          <w:numId w:val="2"/>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 xml:space="preserve">Latino's notable works </w:t>
      </w:r>
      <w:proofErr w:type="gramStart"/>
      <w:r w:rsidRPr="0053070C">
        <w:rPr>
          <w:rFonts w:ascii="Source Sans Pro" w:eastAsia="굴림" w:hAnsi="Source Sans Pro" w:cs="굴림"/>
          <w:color w:val="1A1A1A"/>
          <w:kern w:val="0"/>
          <w:sz w:val="24"/>
          <w14:ligatures w14:val="none"/>
        </w:rPr>
        <w:t>include</w:t>
      </w:r>
      <w:r w:rsidRPr="0053070C">
        <w:rPr>
          <w:rFonts w:ascii="Calibri" w:eastAsia="굴림" w:hAnsi="Calibri" w:cs="Calibri"/>
          <w:color w:val="1A1A1A"/>
          <w:kern w:val="0"/>
          <w:sz w:val="24"/>
          <w14:ligatures w14:val="none"/>
        </w:rPr>
        <w:t> </w:t>
      </w:r>
      <w:r w:rsidRPr="0053070C">
        <w:rPr>
          <w:rFonts w:ascii="Source Sans Pro" w:eastAsia="굴림" w:hAnsi="Source Sans Pro" w:cs="굴림"/>
          <w:color w:val="1A1A1A"/>
          <w:kern w:val="0"/>
          <w:sz w:val="24"/>
          <w14:ligatures w14:val="none"/>
        </w:rPr>
        <w:t>,</w:t>
      </w:r>
      <w:proofErr w:type="gramEnd"/>
      <w:r w:rsidRPr="0053070C">
        <w:rPr>
          <w:rFonts w:ascii="Source Sans Pro" w:eastAsia="굴림" w:hAnsi="Source Sans Pro" w:cs="굴림"/>
          <w:color w:val="1A1A1A"/>
          <w:kern w:val="0"/>
          <w:sz w:val="24"/>
          <w14:ligatures w14:val="none"/>
        </w:rPr>
        <w:t xml:space="preserve"> which reflects his engagement with themes of heroism, faith, and national identity.</w:t>
      </w:r>
    </w:p>
    <w:p w14:paraId="6437F918" w14:textId="77777777" w:rsidR="0053070C" w:rsidRPr="0053070C" w:rsidRDefault="0053070C" w:rsidP="0053070C">
      <w:pPr>
        <w:widowControl/>
        <w:numPr>
          <w:ilvl w:val="0"/>
          <w:numId w:val="2"/>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His poetry often intertwines the realities of Muslims and Christians in the Mediterranean, showcasing his empathy and literary skill.</w:t>
      </w:r>
    </w:p>
    <w:p w14:paraId="525BF98A" w14:textId="77777777" w:rsidR="0053070C" w:rsidRPr="0053070C" w:rsidRDefault="0053070C" w:rsidP="0053070C">
      <w:pPr>
        <w:widowControl/>
        <w:numPr>
          <w:ilvl w:val="0"/>
          <w:numId w:val="2"/>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Latino's writings serve as a vehicle for expressing the complexities of his identity and the broader Afro-Spanish experience.</w:t>
      </w:r>
    </w:p>
    <w:p w14:paraId="2D810B96"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3. Social and Racial Hierarchies</w:t>
      </w:r>
    </w:p>
    <w:p w14:paraId="4AA634E9" w14:textId="77777777" w:rsidR="0053070C" w:rsidRPr="0053070C" w:rsidRDefault="0053070C" w:rsidP="0053070C">
      <w:pPr>
        <w:widowControl/>
        <w:numPr>
          <w:ilvl w:val="0"/>
          <w:numId w:val="3"/>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readings analyze the social, religious, and gender hierarchies that Latino navigated, highlighting the extreme difficulties faced by Afro-Spanish individuals.</w:t>
      </w:r>
    </w:p>
    <w:p w14:paraId="6548AA0E" w14:textId="77777777" w:rsidR="0053070C" w:rsidRPr="0053070C" w:rsidRDefault="0053070C" w:rsidP="0053070C">
      <w:pPr>
        <w:widowControl/>
        <w:numPr>
          <w:ilvl w:val="0"/>
          <w:numId w:val="3"/>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Latino's success is contrasted with the invisibility and dehumanization of Black Africans in dominant social discourses, as illustrated by quotes from contemporaries who dismissed slaves as "nothing."</w:t>
      </w:r>
    </w:p>
    <w:p w14:paraId="2FB0CC01" w14:textId="77777777" w:rsidR="0053070C" w:rsidRPr="0053070C" w:rsidRDefault="0053070C" w:rsidP="0053070C">
      <w:pPr>
        <w:widowControl/>
        <w:numPr>
          <w:ilvl w:val="0"/>
          <w:numId w:val="3"/>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text emphasizes the importance of recognizing Afro-Spanish individuals as complex subjects with agency, rather than mere victims of their circumstances.</w:t>
      </w:r>
    </w:p>
    <w:p w14:paraId="2C8F11F0"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lastRenderedPageBreak/>
        <w:t>4. Representation in Literature</w:t>
      </w:r>
    </w:p>
    <w:p w14:paraId="07AFFA49" w14:textId="77777777" w:rsidR="0053070C" w:rsidRPr="0053070C" w:rsidRDefault="0053070C" w:rsidP="0053070C">
      <w:pPr>
        <w:widowControl/>
        <w:numPr>
          <w:ilvl w:val="0"/>
          <w:numId w:val="4"/>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works of authors like Cervantes and Vel</w:t>
      </w:r>
      <w:r w:rsidRPr="0053070C">
        <w:rPr>
          <w:rFonts w:ascii="Calibri" w:eastAsia="굴림" w:hAnsi="Calibri" w:cs="Calibri"/>
          <w:color w:val="1A1A1A"/>
          <w:kern w:val="0"/>
          <w:sz w:val="24"/>
          <w14:ligatures w14:val="none"/>
        </w:rPr>
        <w:t>á</w:t>
      </w:r>
      <w:r w:rsidRPr="0053070C">
        <w:rPr>
          <w:rFonts w:ascii="Source Sans Pro" w:eastAsia="굴림" w:hAnsi="Source Sans Pro" w:cs="굴림"/>
          <w:color w:val="1A1A1A"/>
          <w:kern w:val="0"/>
          <w:sz w:val="24"/>
          <w14:ligatures w14:val="none"/>
        </w:rPr>
        <w:t>zquez provide insight into the lived experiences of Afro-Spanish people, making their struggles and aspirations more tangible.</w:t>
      </w:r>
    </w:p>
    <w:p w14:paraId="05216AAF" w14:textId="77777777" w:rsidR="0053070C" w:rsidRPr="0053070C" w:rsidRDefault="0053070C" w:rsidP="0053070C">
      <w:pPr>
        <w:widowControl/>
        <w:numPr>
          <w:ilvl w:val="0"/>
          <w:numId w:val="4"/>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Cervantes'</w:t>
      </w:r>
      <w:r w:rsidRPr="0053070C">
        <w:rPr>
          <w:rFonts w:ascii="Calibri" w:eastAsia="굴림" w:hAnsi="Calibri" w:cs="Calibri"/>
          <w:color w:val="1A1A1A"/>
          <w:kern w:val="0"/>
          <w:sz w:val="24"/>
          <w14:ligatures w14:val="none"/>
        </w:rPr>
        <w:t> </w:t>
      </w:r>
      <w:r w:rsidRPr="0053070C">
        <w:rPr>
          <w:rFonts w:ascii="Source Sans Pro" w:eastAsia="굴림" w:hAnsi="Source Sans Pro" w:cs="굴림"/>
          <w:color w:val="1A1A1A"/>
          <w:kern w:val="0"/>
          <w:sz w:val="24"/>
          <w14:ligatures w14:val="none"/>
        </w:rPr>
        <w:t>critiques slavery while simultaneously revealing the moral numbness of society towards Afro-Spanish individuals.</w:t>
      </w:r>
    </w:p>
    <w:p w14:paraId="6E067CD6" w14:textId="77777777" w:rsidR="0053070C" w:rsidRPr="0053070C" w:rsidRDefault="0053070C" w:rsidP="0053070C">
      <w:pPr>
        <w:widowControl/>
        <w:numPr>
          <w:ilvl w:val="0"/>
          <w:numId w:val="4"/>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character of Luis in Cervantes'</w:t>
      </w:r>
      <w:r w:rsidRPr="0053070C">
        <w:rPr>
          <w:rFonts w:ascii="Calibri" w:eastAsia="굴림" w:hAnsi="Calibri" w:cs="Calibri"/>
          <w:color w:val="1A1A1A"/>
          <w:kern w:val="0"/>
          <w:sz w:val="24"/>
          <w14:ligatures w14:val="none"/>
        </w:rPr>
        <w:t> </w:t>
      </w:r>
      <w:r w:rsidRPr="0053070C">
        <w:rPr>
          <w:rFonts w:ascii="Source Sans Pro" w:eastAsia="굴림" w:hAnsi="Source Sans Pro" w:cs="굴림"/>
          <w:color w:val="1A1A1A"/>
          <w:kern w:val="0"/>
          <w:sz w:val="24"/>
          <w14:ligatures w14:val="none"/>
        </w:rPr>
        <w:t>exemplifies the tragic realities of Afro-Spanish lives, illustrating the intersection of racism and individual freedom.</w:t>
      </w:r>
    </w:p>
    <w:p w14:paraId="09EFFF9A"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5. The Role of Patronage</w:t>
      </w:r>
    </w:p>
    <w:p w14:paraId="572D731D" w14:textId="77777777" w:rsidR="0053070C" w:rsidRPr="0053070C" w:rsidRDefault="0053070C" w:rsidP="0053070C">
      <w:pPr>
        <w:widowControl/>
        <w:numPr>
          <w:ilvl w:val="0"/>
          <w:numId w:val="5"/>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Latino's achievements were facilitated by the patronage of nobles and religious figures, which underscores the significance of social networks in overcoming barriers.</w:t>
      </w:r>
    </w:p>
    <w:p w14:paraId="05A5F3E9" w14:textId="77777777" w:rsidR="0053070C" w:rsidRPr="0053070C" w:rsidRDefault="0053070C" w:rsidP="0053070C">
      <w:pPr>
        <w:widowControl/>
        <w:numPr>
          <w:ilvl w:val="0"/>
          <w:numId w:val="5"/>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His ability to navigate these relationships highlights the complexities of identity and the potential for social integration despite systemic oppression.</w:t>
      </w:r>
    </w:p>
    <w:p w14:paraId="4A8AD2FD" w14:textId="77777777" w:rsidR="0053070C" w:rsidRPr="0053070C" w:rsidRDefault="0053070C" w:rsidP="0053070C">
      <w:pPr>
        <w:widowControl/>
        <w:shd w:val="clear" w:color="auto" w:fill="E5EEFF"/>
        <w:wordWrap/>
        <w:autoSpaceDE/>
        <w:autoSpaceDN/>
        <w:spacing w:before="240" w:after="180" w:line="360" w:lineRule="atLeast"/>
        <w:outlineLvl w:val="0"/>
        <w:rPr>
          <w:rFonts w:ascii="Source Sans Pro" w:eastAsia="굴림" w:hAnsi="Source Sans Pro" w:cs="굴림"/>
          <w:b/>
          <w:bCs/>
          <w:color w:val="1A1A1A"/>
          <w:kern w:val="36"/>
          <w:sz w:val="27"/>
          <w:szCs w:val="27"/>
          <w14:ligatures w14:val="none"/>
        </w:rPr>
      </w:pPr>
      <w:r w:rsidRPr="0053070C">
        <w:rPr>
          <w:rFonts w:ascii="Source Sans Pro" w:eastAsia="굴림" w:hAnsi="Source Sans Pro" w:cs="굴림"/>
          <w:b/>
          <w:bCs/>
          <w:color w:val="1A1A1A"/>
          <w:kern w:val="36"/>
          <w:sz w:val="27"/>
          <w:szCs w:val="27"/>
          <w14:ligatures w14:val="none"/>
        </w:rPr>
        <w:t>6. Conclusion</w:t>
      </w:r>
    </w:p>
    <w:p w14:paraId="4ACD073B" w14:textId="77777777" w:rsidR="0053070C" w:rsidRPr="0053070C" w:rsidRDefault="0053070C" w:rsidP="0053070C">
      <w:pPr>
        <w:widowControl/>
        <w:numPr>
          <w:ilvl w:val="0"/>
          <w:numId w:val="6"/>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The readings conclude that Juan Latino's life and work are emblematic of the broader Afro-Spanish experience, revealing the interplay of race, gender, and social status in early modern Spain.</w:t>
      </w:r>
    </w:p>
    <w:p w14:paraId="369B3BAD" w14:textId="77777777" w:rsidR="0053070C" w:rsidRPr="0053070C" w:rsidRDefault="0053070C" w:rsidP="0053070C">
      <w:pPr>
        <w:widowControl/>
        <w:numPr>
          <w:ilvl w:val="0"/>
          <w:numId w:val="6"/>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By examining Latino's achievements, the text advocates for a deeper understanding of Afro-Spanish individuals as active participants in their narratives, rather than passive victims.</w:t>
      </w:r>
    </w:p>
    <w:p w14:paraId="7C4D1C22" w14:textId="77777777" w:rsidR="0053070C" w:rsidRPr="0053070C" w:rsidRDefault="0053070C" w:rsidP="0053070C">
      <w:pPr>
        <w:widowControl/>
        <w:numPr>
          <w:ilvl w:val="0"/>
          <w:numId w:val="6"/>
        </w:numPr>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Ultimately, the study calls for recognition of the rich cultural contributions of Afro-Spanish individuals and the importance of their stories in the historical narrative of Spain.</w:t>
      </w:r>
    </w:p>
    <w:p w14:paraId="353D3EB6" w14:textId="77777777" w:rsidR="0053070C" w:rsidRPr="0053070C" w:rsidRDefault="0053070C" w:rsidP="0053070C">
      <w:pPr>
        <w:widowControl/>
        <w:shd w:val="clear" w:color="auto" w:fill="E5EEFF"/>
        <w:wordWrap/>
        <w:autoSpaceDE/>
        <w:autoSpaceDN/>
        <w:spacing w:after="240"/>
        <w:rPr>
          <w:rFonts w:ascii="Source Sans Pro" w:eastAsia="굴림" w:hAnsi="Source Sans Pro" w:cs="굴림"/>
          <w:color w:val="1A1A1A"/>
          <w:kern w:val="0"/>
          <w:sz w:val="24"/>
          <w14:ligatures w14:val="none"/>
        </w:rPr>
      </w:pPr>
      <w:r w:rsidRPr="0053070C">
        <w:rPr>
          <w:rFonts w:ascii="Source Sans Pro" w:eastAsia="굴림" w:hAnsi="Source Sans Pro" w:cs="굴림"/>
          <w:color w:val="1A1A1A"/>
          <w:kern w:val="0"/>
          <w:sz w:val="24"/>
          <w14:ligatures w14:val="none"/>
        </w:rPr>
        <w:t>This summary encapsulates the key themes and arguments presented in the readings, highlighting the significance of Juan Latino's life and work in understanding the complexities of race and identity in early modern Spain.</w:t>
      </w:r>
    </w:p>
    <w:p w14:paraId="64C6B0DE" w14:textId="36375093" w:rsidR="009A5D7D" w:rsidRDefault="009A5D7D"/>
    <w:p w14:paraId="031AEFD2" w14:textId="3B6F0BA7" w:rsidR="008E1528" w:rsidRDefault="008E1528"/>
    <w:p w14:paraId="2E1EE0A2" w14:textId="719C84F5" w:rsidR="008E1528" w:rsidRDefault="008E1528"/>
    <w:p w14:paraId="1CA5B09B" w14:textId="0E914110" w:rsidR="008E1528" w:rsidRDefault="008E1528">
      <w:r>
        <w:rPr>
          <w:rFonts w:hint="eastAsia"/>
        </w:rPr>
        <w:t>E</w:t>
      </w:r>
      <w:r>
        <w:t>xplanation for the pictures</w:t>
      </w:r>
    </w:p>
    <w:p w14:paraId="7579C01A" w14:textId="5ACB959D" w:rsidR="008E1528" w:rsidRDefault="008E1528"/>
    <w:p w14:paraId="2EF6A633" w14:textId="77777777" w:rsidR="008E1528" w:rsidRDefault="008E1528" w:rsidP="008E1528">
      <w:pPr>
        <w:pStyle w:val="1"/>
        <w:shd w:val="clear" w:color="auto" w:fill="E5EEFF"/>
        <w:spacing w:before="240" w:beforeAutospacing="0" w:after="180" w:afterAutospacing="0" w:line="360" w:lineRule="atLeast"/>
        <w:rPr>
          <w:rFonts w:ascii="Source Sans Pro" w:hAnsi="Source Sans Pro"/>
          <w:color w:val="1A1A1A"/>
          <w:sz w:val="27"/>
          <w:szCs w:val="27"/>
        </w:rPr>
      </w:pPr>
      <w:r>
        <w:rPr>
          <w:rFonts w:ascii="Source Sans Pro" w:hAnsi="Source Sans Pro"/>
          <w:color w:val="1A1A1A"/>
          <w:sz w:val="27"/>
          <w:szCs w:val="27"/>
        </w:rPr>
        <w:lastRenderedPageBreak/>
        <w:t>1.</w:t>
      </w:r>
      <w:r>
        <w:rPr>
          <w:rFonts w:ascii="Calibri" w:hAnsi="Calibri" w:cs="Calibri"/>
          <w:color w:val="1A1A1A"/>
          <w:sz w:val="27"/>
          <w:szCs w:val="27"/>
        </w:rPr>
        <w:t> </w:t>
      </w:r>
      <w:r>
        <w:rPr>
          <w:rStyle w:val="a5"/>
          <w:rFonts w:ascii="Source Sans Pro" w:hAnsi="Source Sans Pro"/>
          <w:b/>
          <w:bCs/>
          <w:color w:val="1A1A1A"/>
          <w:sz w:val="27"/>
          <w:szCs w:val="27"/>
        </w:rPr>
        <w:t>Supper at Emmaus (1617-18) by Diego Vel</w:t>
      </w:r>
      <w:r>
        <w:rPr>
          <w:rStyle w:val="a5"/>
          <w:rFonts w:ascii="Calibri" w:hAnsi="Calibri" w:cs="Calibri"/>
          <w:b/>
          <w:bCs/>
          <w:color w:val="1A1A1A"/>
          <w:sz w:val="27"/>
          <w:szCs w:val="27"/>
        </w:rPr>
        <w:t>á</w:t>
      </w:r>
      <w:r>
        <w:rPr>
          <w:rStyle w:val="a5"/>
          <w:rFonts w:ascii="Source Sans Pro" w:hAnsi="Source Sans Pro"/>
          <w:b/>
          <w:bCs/>
          <w:color w:val="1A1A1A"/>
          <w:sz w:val="27"/>
          <w:szCs w:val="27"/>
        </w:rPr>
        <w:t>zquez</w:t>
      </w:r>
    </w:p>
    <w:p w14:paraId="4752B49D" w14:textId="77777777" w:rsidR="008E1528" w:rsidRDefault="008E1528" w:rsidP="008E1528">
      <w:pPr>
        <w:pStyle w:val="sc-44py6y-2"/>
        <w:numPr>
          <w:ilvl w:val="0"/>
          <w:numId w:val="7"/>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Explanation</w:t>
      </w:r>
      <w:r>
        <w:rPr>
          <w:rFonts w:ascii="Source Sans Pro" w:hAnsi="Source Sans Pro"/>
          <w:color w:val="1A1A1A"/>
        </w:rPr>
        <w:t>: This painting depicts the biblical moment when Christ reveals his identity to two of his disciples during a meal. The scene is set in a kitchen, where a young black maid is prominently featured, seemingly engaged in her duties while also being part of the religious narrative.</w:t>
      </w:r>
    </w:p>
    <w:p w14:paraId="4AE7CCD1" w14:textId="77777777" w:rsidR="008E1528" w:rsidRDefault="008E1528" w:rsidP="008E1528">
      <w:pPr>
        <w:pStyle w:val="sc-44py6y-2"/>
        <w:numPr>
          <w:ilvl w:val="0"/>
          <w:numId w:val="7"/>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Interpretation</w:t>
      </w:r>
      <w:r>
        <w:rPr>
          <w:rFonts w:ascii="Source Sans Pro" w:hAnsi="Source Sans Pro"/>
          <w:color w:val="1A1A1A"/>
        </w:rPr>
        <w:t>: The inclusion of the black maid in a central position suggests a commentary on social hierarchies and the visibility of marginalized individuals in society. Her submissive posture contrasts with her active engagement, symbolizing the duality of her existence as both a servant and a participant in a significant religious moment.</w:t>
      </w:r>
    </w:p>
    <w:p w14:paraId="39A94957" w14:textId="77777777" w:rsidR="008E1528" w:rsidRDefault="008E1528" w:rsidP="008E1528">
      <w:pPr>
        <w:pStyle w:val="1"/>
        <w:shd w:val="clear" w:color="auto" w:fill="E5EEFF"/>
        <w:spacing w:before="240" w:beforeAutospacing="0" w:after="180" w:afterAutospacing="0" w:line="360" w:lineRule="atLeast"/>
        <w:rPr>
          <w:rFonts w:ascii="Source Sans Pro" w:hAnsi="Source Sans Pro"/>
          <w:color w:val="1A1A1A"/>
          <w:sz w:val="27"/>
          <w:szCs w:val="27"/>
        </w:rPr>
      </w:pPr>
      <w:r>
        <w:rPr>
          <w:rFonts w:ascii="Source Sans Pro" w:hAnsi="Source Sans Pro"/>
          <w:color w:val="1A1A1A"/>
          <w:sz w:val="27"/>
          <w:szCs w:val="27"/>
        </w:rPr>
        <w:t>2.</w:t>
      </w:r>
      <w:r>
        <w:rPr>
          <w:rFonts w:ascii="Calibri" w:hAnsi="Calibri" w:cs="Calibri"/>
          <w:color w:val="1A1A1A"/>
          <w:sz w:val="27"/>
          <w:szCs w:val="27"/>
        </w:rPr>
        <w:t> </w:t>
      </w:r>
      <w:r>
        <w:rPr>
          <w:rStyle w:val="a5"/>
          <w:rFonts w:ascii="Source Sans Pro" w:hAnsi="Source Sans Pro"/>
          <w:b/>
          <w:bCs/>
          <w:color w:val="1A1A1A"/>
          <w:sz w:val="27"/>
          <w:szCs w:val="27"/>
        </w:rPr>
        <w:t>Kitchen Servant (1617-23) by Diego Vel</w:t>
      </w:r>
      <w:r>
        <w:rPr>
          <w:rStyle w:val="a5"/>
          <w:rFonts w:ascii="Calibri" w:hAnsi="Calibri" w:cs="Calibri"/>
          <w:b/>
          <w:bCs/>
          <w:color w:val="1A1A1A"/>
          <w:sz w:val="27"/>
          <w:szCs w:val="27"/>
        </w:rPr>
        <w:t>á</w:t>
      </w:r>
      <w:r>
        <w:rPr>
          <w:rStyle w:val="a5"/>
          <w:rFonts w:ascii="Source Sans Pro" w:hAnsi="Source Sans Pro"/>
          <w:b/>
          <w:bCs/>
          <w:color w:val="1A1A1A"/>
          <w:sz w:val="27"/>
          <w:szCs w:val="27"/>
        </w:rPr>
        <w:t>zquez</w:t>
      </w:r>
    </w:p>
    <w:p w14:paraId="2E6F5929" w14:textId="77777777" w:rsidR="008E1528" w:rsidRDefault="008E1528" w:rsidP="008E1528">
      <w:pPr>
        <w:pStyle w:val="sc-44py6y-2"/>
        <w:numPr>
          <w:ilvl w:val="0"/>
          <w:numId w:val="8"/>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Explanation</w:t>
      </w:r>
      <w:r>
        <w:rPr>
          <w:rFonts w:ascii="Source Sans Pro" w:hAnsi="Source Sans Pro"/>
          <w:color w:val="1A1A1A"/>
        </w:rPr>
        <w:t>: This secular painting features a young black woman, likely a maid, in a kitchen setting. She is depicted with her head inclined, listening attentively, which draws attention to her role within the domestic space.</w:t>
      </w:r>
    </w:p>
    <w:p w14:paraId="00BC4979" w14:textId="77777777" w:rsidR="008E1528" w:rsidRDefault="008E1528" w:rsidP="008E1528">
      <w:pPr>
        <w:pStyle w:val="sc-44py6y-2"/>
        <w:numPr>
          <w:ilvl w:val="0"/>
          <w:numId w:val="8"/>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Interpretation</w:t>
      </w:r>
      <w:r>
        <w:rPr>
          <w:rFonts w:ascii="Source Sans Pro" w:hAnsi="Source Sans Pro"/>
          <w:color w:val="1A1A1A"/>
        </w:rPr>
        <w:t>: The painting highlights the intersection of race and gender, showcasing the young woman's position in society as a laborer of African descent. Her expression and posture suggest a longing for recognition and agency, while the presence of an older woman controlling her actions reflects the patriarchal dynamics at play.</w:t>
      </w:r>
    </w:p>
    <w:p w14:paraId="525B56B0" w14:textId="77777777" w:rsidR="008E1528" w:rsidRDefault="008E1528" w:rsidP="008E1528">
      <w:pPr>
        <w:pStyle w:val="1"/>
        <w:shd w:val="clear" w:color="auto" w:fill="E5EEFF"/>
        <w:spacing w:before="240" w:beforeAutospacing="0" w:after="180" w:afterAutospacing="0" w:line="360" w:lineRule="atLeast"/>
        <w:rPr>
          <w:rFonts w:ascii="Source Sans Pro" w:hAnsi="Source Sans Pro"/>
          <w:color w:val="1A1A1A"/>
          <w:sz w:val="27"/>
          <w:szCs w:val="27"/>
        </w:rPr>
      </w:pPr>
      <w:r>
        <w:rPr>
          <w:rFonts w:ascii="Source Sans Pro" w:hAnsi="Source Sans Pro"/>
          <w:color w:val="1A1A1A"/>
          <w:sz w:val="27"/>
          <w:szCs w:val="27"/>
        </w:rPr>
        <w:t>3.</w:t>
      </w:r>
      <w:r>
        <w:rPr>
          <w:rFonts w:ascii="Calibri" w:hAnsi="Calibri" w:cs="Calibri"/>
          <w:color w:val="1A1A1A"/>
          <w:sz w:val="27"/>
          <w:szCs w:val="27"/>
        </w:rPr>
        <w:t> </w:t>
      </w:r>
      <w:r>
        <w:rPr>
          <w:rStyle w:val="a5"/>
          <w:rFonts w:ascii="Source Sans Pro" w:hAnsi="Source Sans Pro"/>
          <w:b/>
          <w:bCs/>
          <w:color w:val="1A1A1A"/>
          <w:sz w:val="27"/>
          <w:szCs w:val="27"/>
        </w:rPr>
        <w:t>Christ in the House of Martha and Mary (1618) by Diego Vel</w:t>
      </w:r>
      <w:r>
        <w:rPr>
          <w:rStyle w:val="a5"/>
          <w:rFonts w:ascii="Calibri" w:hAnsi="Calibri" w:cs="Calibri"/>
          <w:b/>
          <w:bCs/>
          <w:color w:val="1A1A1A"/>
          <w:sz w:val="27"/>
          <w:szCs w:val="27"/>
        </w:rPr>
        <w:t>á</w:t>
      </w:r>
      <w:r>
        <w:rPr>
          <w:rStyle w:val="a5"/>
          <w:rFonts w:ascii="Source Sans Pro" w:hAnsi="Source Sans Pro"/>
          <w:b/>
          <w:bCs/>
          <w:color w:val="1A1A1A"/>
          <w:sz w:val="27"/>
          <w:szCs w:val="27"/>
        </w:rPr>
        <w:t>zquez</w:t>
      </w:r>
    </w:p>
    <w:p w14:paraId="15196C77" w14:textId="77777777" w:rsidR="008E1528" w:rsidRDefault="008E1528" w:rsidP="008E1528">
      <w:pPr>
        <w:pStyle w:val="sc-44py6y-2"/>
        <w:numPr>
          <w:ilvl w:val="0"/>
          <w:numId w:val="9"/>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Explanation</w:t>
      </w:r>
      <w:r>
        <w:rPr>
          <w:rFonts w:ascii="Source Sans Pro" w:hAnsi="Source Sans Pro"/>
          <w:color w:val="1A1A1A"/>
        </w:rPr>
        <w:t>: This artwork portrays the biblical story of Martha and Mary, with Martha busy with household tasks while Mary listens to Jesus. The scene captures the tension between domestic responsibilities and spiritual devotion.</w:t>
      </w:r>
    </w:p>
    <w:p w14:paraId="0B62DDF6" w14:textId="77777777" w:rsidR="008E1528" w:rsidRDefault="008E1528" w:rsidP="008E1528">
      <w:pPr>
        <w:pStyle w:val="sc-44py6y-2"/>
        <w:numPr>
          <w:ilvl w:val="0"/>
          <w:numId w:val="9"/>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Interpretation</w:t>
      </w:r>
      <w:r>
        <w:rPr>
          <w:rFonts w:ascii="Source Sans Pro" w:hAnsi="Source Sans Pro"/>
          <w:color w:val="1A1A1A"/>
        </w:rPr>
        <w:t>: The choice of a young woman as a protagonist, possibly a maid, emphasizes the societal expectations placed on women, particularly in domestic roles. The painting invites viewers to consider the sacrifices made by women in service and the often-overlooked spiritual dimensions of their labor.</w:t>
      </w:r>
    </w:p>
    <w:p w14:paraId="6AE9D9D7" w14:textId="77777777" w:rsidR="008E1528" w:rsidRDefault="008E1528" w:rsidP="008E1528">
      <w:pPr>
        <w:pStyle w:val="1"/>
        <w:shd w:val="clear" w:color="auto" w:fill="E5EEFF"/>
        <w:spacing w:before="240" w:beforeAutospacing="0" w:after="180" w:afterAutospacing="0" w:line="360" w:lineRule="atLeast"/>
        <w:rPr>
          <w:rFonts w:ascii="Source Sans Pro" w:hAnsi="Source Sans Pro"/>
          <w:color w:val="1A1A1A"/>
          <w:sz w:val="27"/>
          <w:szCs w:val="27"/>
        </w:rPr>
      </w:pPr>
      <w:r>
        <w:rPr>
          <w:rFonts w:ascii="Source Sans Pro" w:hAnsi="Source Sans Pro"/>
          <w:color w:val="1A1A1A"/>
          <w:sz w:val="27"/>
          <w:szCs w:val="27"/>
        </w:rPr>
        <w:t>4.</w:t>
      </w:r>
      <w:r>
        <w:rPr>
          <w:rFonts w:ascii="Calibri" w:hAnsi="Calibri" w:cs="Calibri"/>
          <w:color w:val="1A1A1A"/>
          <w:sz w:val="27"/>
          <w:szCs w:val="27"/>
        </w:rPr>
        <w:t> </w:t>
      </w:r>
      <w:r>
        <w:rPr>
          <w:rStyle w:val="a5"/>
          <w:rFonts w:ascii="Source Sans Pro" w:hAnsi="Source Sans Pro"/>
          <w:b/>
          <w:bCs/>
          <w:color w:val="1A1A1A"/>
          <w:sz w:val="27"/>
          <w:szCs w:val="27"/>
        </w:rPr>
        <w:t>Adoration of the Magi (1619) by Diego Vel</w:t>
      </w:r>
      <w:r>
        <w:rPr>
          <w:rStyle w:val="a5"/>
          <w:rFonts w:ascii="Calibri" w:hAnsi="Calibri" w:cs="Calibri"/>
          <w:b/>
          <w:bCs/>
          <w:color w:val="1A1A1A"/>
          <w:sz w:val="27"/>
          <w:szCs w:val="27"/>
        </w:rPr>
        <w:t>á</w:t>
      </w:r>
      <w:r>
        <w:rPr>
          <w:rStyle w:val="a5"/>
          <w:rFonts w:ascii="Source Sans Pro" w:hAnsi="Source Sans Pro"/>
          <w:b/>
          <w:bCs/>
          <w:color w:val="1A1A1A"/>
          <w:sz w:val="27"/>
          <w:szCs w:val="27"/>
        </w:rPr>
        <w:t>zquez</w:t>
      </w:r>
    </w:p>
    <w:p w14:paraId="28570524" w14:textId="77777777" w:rsidR="008E1528" w:rsidRDefault="008E1528" w:rsidP="008E1528">
      <w:pPr>
        <w:pStyle w:val="sc-44py6y-2"/>
        <w:numPr>
          <w:ilvl w:val="0"/>
          <w:numId w:val="10"/>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Explanation</w:t>
      </w:r>
      <w:r>
        <w:rPr>
          <w:rFonts w:ascii="Source Sans Pro" w:hAnsi="Source Sans Pro"/>
          <w:color w:val="1A1A1A"/>
        </w:rPr>
        <w:t>: This painting depicts the biblical scene of the Magi presenting gifts to the infant Jesus. It features a black man among the Magi, dressed in lavish garments, symbolizing the universality of Christ's message.</w:t>
      </w:r>
    </w:p>
    <w:p w14:paraId="2D6D0F9E" w14:textId="77777777" w:rsidR="008E1528" w:rsidRDefault="008E1528" w:rsidP="008E1528">
      <w:pPr>
        <w:pStyle w:val="sc-44py6y-2"/>
        <w:numPr>
          <w:ilvl w:val="0"/>
          <w:numId w:val="10"/>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Interpretation</w:t>
      </w:r>
      <w:r>
        <w:rPr>
          <w:rFonts w:ascii="Source Sans Pro" w:hAnsi="Source Sans Pro"/>
          <w:color w:val="1A1A1A"/>
        </w:rPr>
        <w:t>: The representation of a black figure in a prominent role within a foundational religious narrative challenges racial stereotypes and highlights the inclusion of diverse identities in religious contexts. It reflects the potential for Afro-Spanish individuals to connect with significant cultural and spiritual narratives.</w:t>
      </w:r>
    </w:p>
    <w:p w14:paraId="4BFCFC8F" w14:textId="77777777" w:rsidR="008E1528" w:rsidRDefault="008E1528" w:rsidP="008E1528">
      <w:pPr>
        <w:pStyle w:val="1"/>
        <w:shd w:val="clear" w:color="auto" w:fill="E5EEFF"/>
        <w:spacing w:before="240" w:beforeAutospacing="0" w:after="180" w:afterAutospacing="0" w:line="360" w:lineRule="atLeast"/>
        <w:rPr>
          <w:rFonts w:ascii="Source Sans Pro" w:hAnsi="Source Sans Pro"/>
          <w:color w:val="1A1A1A"/>
          <w:sz w:val="27"/>
          <w:szCs w:val="27"/>
        </w:rPr>
      </w:pPr>
      <w:r>
        <w:rPr>
          <w:rFonts w:ascii="Source Sans Pro" w:hAnsi="Source Sans Pro"/>
          <w:color w:val="1A1A1A"/>
          <w:sz w:val="27"/>
          <w:szCs w:val="27"/>
        </w:rPr>
        <w:lastRenderedPageBreak/>
        <w:t>5.</w:t>
      </w:r>
      <w:r>
        <w:rPr>
          <w:rFonts w:ascii="Calibri" w:hAnsi="Calibri" w:cs="Calibri"/>
          <w:color w:val="1A1A1A"/>
          <w:sz w:val="27"/>
          <w:szCs w:val="27"/>
        </w:rPr>
        <w:t> </w:t>
      </w:r>
      <w:r>
        <w:rPr>
          <w:rStyle w:val="a5"/>
          <w:rFonts w:ascii="Source Sans Pro" w:hAnsi="Source Sans Pro"/>
          <w:b/>
          <w:bCs/>
          <w:color w:val="1A1A1A"/>
          <w:sz w:val="27"/>
          <w:szCs w:val="27"/>
        </w:rPr>
        <w:t>Two Peasant Boys and a Negro Boy (1670) by Bartolom</w:t>
      </w:r>
      <w:r>
        <w:rPr>
          <w:rStyle w:val="a5"/>
          <w:rFonts w:ascii="Calibri" w:hAnsi="Calibri" w:cs="Calibri"/>
          <w:b/>
          <w:bCs/>
          <w:color w:val="1A1A1A"/>
          <w:sz w:val="27"/>
          <w:szCs w:val="27"/>
        </w:rPr>
        <w:t>é</w:t>
      </w:r>
      <w:r>
        <w:rPr>
          <w:rStyle w:val="a5"/>
          <w:rFonts w:ascii="Source Sans Pro" w:hAnsi="Source Sans Pro"/>
          <w:b/>
          <w:bCs/>
          <w:color w:val="1A1A1A"/>
          <w:sz w:val="27"/>
          <w:szCs w:val="27"/>
        </w:rPr>
        <w:t xml:space="preserve"> Esteban Murillo</w:t>
      </w:r>
    </w:p>
    <w:p w14:paraId="4371E3D3" w14:textId="77777777" w:rsidR="008E1528" w:rsidRDefault="008E1528" w:rsidP="008E1528">
      <w:pPr>
        <w:pStyle w:val="sc-44py6y-2"/>
        <w:numPr>
          <w:ilvl w:val="0"/>
          <w:numId w:val="11"/>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Explanation</w:t>
      </w:r>
      <w:r>
        <w:rPr>
          <w:rFonts w:ascii="Source Sans Pro" w:hAnsi="Source Sans Pro"/>
          <w:color w:val="1A1A1A"/>
        </w:rPr>
        <w:t>: This painting shows three boys, two of whom are peasant children and one a black boy, engaged in a playful scene. The composition emphasizes their camaraderie and innocence.</w:t>
      </w:r>
    </w:p>
    <w:p w14:paraId="033DE262" w14:textId="77777777" w:rsidR="008E1528" w:rsidRDefault="008E1528" w:rsidP="008E1528">
      <w:pPr>
        <w:pStyle w:val="sc-44py6y-2"/>
        <w:numPr>
          <w:ilvl w:val="0"/>
          <w:numId w:val="11"/>
        </w:numPr>
        <w:shd w:val="clear" w:color="auto" w:fill="E5EEFF"/>
        <w:spacing w:before="0" w:beforeAutospacing="0" w:after="240" w:afterAutospacing="0"/>
        <w:rPr>
          <w:rFonts w:ascii="Source Sans Pro" w:hAnsi="Source Sans Pro"/>
          <w:color w:val="1A1A1A"/>
        </w:rPr>
      </w:pPr>
      <w:r>
        <w:rPr>
          <w:rStyle w:val="a5"/>
          <w:rFonts w:ascii="Source Sans Pro" w:hAnsi="Source Sans Pro"/>
          <w:color w:val="1A1A1A"/>
        </w:rPr>
        <w:t>Interpretation</w:t>
      </w:r>
      <w:r>
        <w:rPr>
          <w:rFonts w:ascii="Source Sans Pro" w:hAnsi="Source Sans Pro"/>
          <w:color w:val="1A1A1A"/>
        </w:rPr>
        <w:t>: The depiction of the black boy alongside his peers suggests a moment of shared humanity, challenging the prevailing racial hierarchies of the time. It invites viewers to reflect on the social dynamics of childhood and the potential for friendship across racial lines.</w:t>
      </w:r>
    </w:p>
    <w:p w14:paraId="78227D13" w14:textId="77777777" w:rsidR="008E1528" w:rsidRDefault="008E1528" w:rsidP="008E1528">
      <w:pPr>
        <w:pStyle w:val="sc-44py6y-2"/>
        <w:shd w:val="clear" w:color="auto" w:fill="E5EEFF"/>
        <w:spacing w:before="0" w:beforeAutospacing="0" w:after="240" w:afterAutospacing="0"/>
        <w:rPr>
          <w:rFonts w:ascii="Source Sans Pro" w:hAnsi="Source Sans Pro"/>
          <w:color w:val="1A1A1A"/>
        </w:rPr>
      </w:pPr>
      <w:r>
        <w:rPr>
          <w:rFonts w:ascii="Source Sans Pro" w:hAnsi="Source Sans Pro"/>
          <w:color w:val="1A1A1A"/>
        </w:rPr>
        <w:t>These interpretations highlight the complex interplay of race, gender, and social status in the artworks, revealing how artists like Vel</w:t>
      </w:r>
      <w:r>
        <w:rPr>
          <w:rFonts w:ascii="Calibri" w:hAnsi="Calibri" w:cs="Calibri"/>
          <w:color w:val="1A1A1A"/>
        </w:rPr>
        <w:t>á</w:t>
      </w:r>
      <w:r>
        <w:rPr>
          <w:rFonts w:ascii="Source Sans Pro" w:hAnsi="Source Sans Pro"/>
          <w:color w:val="1A1A1A"/>
        </w:rPr>
        <w:t>zquez and Murillo navigated and commented on the societal structures of their time.</w:t>
      </w:r>
    </w:p>
    <w:p w14:paraId="4F377EBA" w14:textId="77777777" w:rsidR="008E1528" w:rsidRPr="008E1528" w:rsidRDefault="008E1528">
      <w:pPr>
        <w:rPr>
          <w:rFonts w:hint="eastAsia"/>
        </w:rPr>
      </w:pPr>
    </w:p>
    <w:sectPr w:rsidR="008E1528" w:rsidRPr="008E15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425C" w14:textId="77777777" w:rsidR="0048645C" w:rsidRDefault="0048645C" w:rsidP="0053070C">
      <w:pPr>
        <w:spacing w:after="0"/>
      </w:pPr>
      <w:r>
        <w:separator/>
      </w:r>
    </w:p>
  </w:endnote>
  <w:endnote w:type="continuationSeparator" w:id="0">
    <w:p w14:paraId="03148F08" w14:textId="77777777" w:rsidR="0048645C" w:rsidRDefault="0048645C" w:rsidP="00530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E924" w14:textId="77777777" w:rsidR="0048645C" w:rsidRDefault="0048645C" w:rsidP="0053070C">
      <w:pPr>
        <w:spacing w:after="0"/>
      </w:pPr>
      <w:r>
        <w:separator/>
      </w:r>
    </w:p>
  </w:footnote>
  <w:footnote w:type="continuationSeparator" w:id="0">
    <w:p w14:paraId="62B9AEB6" w14:textId="77777777" w:rsidR="0048645C" w:rsidRDefault="0048645C" w:rsidP="005307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155D"/>
    <w:multiLevelType w:val="multilevel"/>
    <w:tmpl w:val="82F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43782"/>
    <w:multiLevelType w:val="multilevel"/>
    <w:tmpl w:val="793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B6030"/>
    <w:multiLevelType w:val="multilevel"/>
    <w:tmpl w:val="C8F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33ACA"/>
    <w:multiLevelType w:val="multilevel"/>
    <w:tmpl w:val="548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E51B9"/>
    <w:multiLevelType w:val="multilevel"/>
    <w:tmpl w:val="E9C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6A5D"/>
    <w:multiLevelType w:val="multilevel"/>
    <w:tmpl w:val="5C9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25E2D"/>
    <w:multiLevelType w:val="multilevel"/>
    <w:tmpl w:val="395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64B42"/>
    <w:multiLevelType w:val="multilevel"/>
    <w:tmpl w:val="BC6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0E58"/>
    <w:multiLevelType w:val="multilevel"/>
    <w:tmpl w:val="CFB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E5D2A"/>
    <w:multiLevelType w:val="multilevel"/>
    <w:tmpl w:val="97C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948C1"/>
    <w:multiLevelType w:val="multilevel"/>
    <w:tmpl w:val="B2F4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8"/>
  </w:num>
  <w:num w:numId="5">
    <w:abstractNumId w:val="10"/>
  </w:num>
  <w:num w:numId="6">
    <w:abstractNumId w:val="7"/>
  </w:num>
  <w:num w:numId="7">
    <w:abstractNumId w:val="1"/>
  </w:num>
  <w:num w:numId="8">
    <w:abstractNumId w:val="9"/>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68"/>
    <w:rsid w:val="0048645C"/>
    <w:rsid w:val="0053070C"/>
    <w:rsid w:val="007B7868"/>
    <w:rsid w:val="008E1528"/>
    <w:rsid w:val="009A5D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EA1F0"/>
  <w15:chartTrackingRefBased/>
  <w15:docId w15:val="{62A79102-6978-402A-96F1-A86FE608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3070C"/>
    <w:pPr>
      <w:widowControl/>
      <w:wordWrap/>
      <w:autoSpaceDE/>
      <w:autoSpaceDN/>
      <w:spacing w:before="100" w:beforeAutospacing="1" w:after="100" w:afterAutospacing="1"/>
      <w:outlineLvl w:val="0"/>
    </w:pPr>
    <w:rPr>
      <w:rFonts w:ascii="굴림" w:eastAsia="굴림" w:hAnsi="굴림" w:cs="굴림"/>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70C"/>
    <w:pPr>
      <w:tabs>
        <w:tab w:val="center" w:pos="4513"/>
        <w:tab w:val="right" w:pos="9026"/>
      </w:tabs>
      <w:snapToGrid w:val="0"/>
    </w:pPr>
  </w:style>
  <w:style w:type="character" w:customStyle="1" w:styleId="Char">
    <w:name w:val="머리글 Char"/>
    <w:basedOn w:val="a0"/>
    <w:link w:val="a3"/>
    <w:uiPriority w:val="99"/>
    <w:rsid w:val="0053070C"/>
  </w:style>
  <w:style w:type="paragraph" w:styleId="a4">
    <w:name w:val="footer"/>
    <w:basedOn w:val="a"/>
    <w:link w:val="Char0"/>
    <w:uiPriority w:val="99"/>
    <w:unhideWhenUsed/>
    <w:rsid w:val="0053070C"/>
    <w:pPr>
      <w:tabs>
        <w:tab w:val="center" w:pos="4513"/>
        <w:tab w:val="right" w:pos="9026"/>
      </w:tabs>
      <w:snapToGrid w:val="0"/>
    </w:pPr>
  </w:style>
  <w:style w:type="character" w:customStyle="1" w:styleId="Char0">
    <w:name w:val="바닥글 Char"/>
    <w:basedOn w:val="a0"/>
    <w:link w:val="a4"/>
    <w:uiPriority w:val="99"/>
    <w:rsid w:val="0053070C"/>
  </w:style>
  <w:style w:type="character" w:customStyle="1" w:styleId="1Char">
    <w:name w:val="제목 1 Char"/>
    <w:basedOn w:val="a0"/>
    <w:link w:val="1"/>
    <w:uiPriority w:val="9"/>
    <w:rsid w:val="0053070C"/>
    <w:rPr>
      <w:rFonts w:ascii="굴림" w:eastAsia="굴림" w:hAnsi="굴림" w:cs="굴림"/>
      <w:b/>
      <w:bCs/>
      <w:kern w:val="36"/>
      <w:sz w:val="48"/>
      <w:szCs w:val="48"/>
      <w14:ligatures w14:val="none"/>
    </w:rPr>
  </w:style>
  <w:style w:type="paragraph" w:customStyle="1" w:styleId="sc-44py6y-2">
    <w:name w:val="sc-44py6y-2"/>
    <w:basedOn w:val="a"/>
    <w:rsid w:val="0053070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5">
    <w:name w:val="Strong"/>
    <w:basedOn w:val="a0"/>
    <w:uiPriority w:val="22"/>
    <w:qFormat/>
    <w:rsid w:val="008E1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2867">
      <w:bodyDiv w:val="1"/>
      <w:marLeft w:val="0"/>
      <w:marRight w:val="0"/>
      <w:marTop w:val="0"/>
      <w:marBottom w:val="0"/>
      <w:divBdr>
        <w:top w:val="none" w:sz="0" w:space="0" w:color="auto"/>
        <w:left w:val="none" w:sz="0" w:space="0" w:color="auto"/>
        <w:bottom w:val="none" w:sz="0" w:space="0" w:color="auto"/>
        <w:right w:val="none" w:sz="0" w:space="0" w:color="auto"/>
      </w:divBdr>
    </w:div>
    <w:div w:id="19024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2024-09-27T15:00:00Z</dcterms:created>
  <dcterms:modified xsi:type="dcterms:W3CDTF">2024-09-27T15:09:00Z</dcterms:modified>
</cp:coreProperties>
</file>