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60" w:after="160"/>
        <w:jc w:val="center"/>
      </w:pPr>
      <w:r>
        <w:rPr>
          <w:rFonts w:ascii="Arial" w:cs="Arial" w:eastAsia="Arial" w:hAnsi="Arial"/>
          <w:b/>
          <w:bCs/>
          <w:color w:val="2E2620"/>
          <w:sz w:val="64"/>
          <w:szCs w:val="64"/>
        </w:rPr>
        <w:t xml:space="preserve">BURNISH</w:t>
      </w:r>
    </w:p>
    <w:p>
      <w:pPr>
        <w:spacing w:before="0" w:after="80"/>
        <w:jc w:val="center"/>
      </w:pPr>
      <w:r>
        <w:rPr>
          <w:rFonts w:ascii="Arial" w:cs="Arial" w:eastAsia="Arial" w:hAnsi="Arial"/>
          <w:i/>
          <w:iCs/>
          <w:color w:val="888888"/>
          <w:sz w:val="26"/>
          <w:szCs w:val="26"/>
        </w:rPr>
        <w:t xml:space="preserve">Design &amp; Feature Brief  ·  Version 2</w:t>
      </w:r>
    </w:p>
    <w:p>
      <w:pPr>
        <w:spacing w:before="0" w:after="480"/>
        <w:jc w:val="center"/>
      </w:pPr>
      <w:r>
        <w:rPr>
          <w:rFonts w:ascii="Arial" w:cs="Arial" w:eastAsia="Arial" w:hAnsi="Arial"/>
          <w:color w:val="888888"/>
          <w:sz w:val="22"/>
          <w:szCs w:val="22"/>
        </w:rPr>
        <w:t xml:space="preserve">For Coding Agent — Site Refresh &amp; Feature Implementation</w:t>
      </w:r>
    </w:p>
    <w:p>
      <w:pPr>
        <w:pBdr>
          <w:left w:val="single" w:color="C9A96E" w:sz="12" w:space="12"/>
        </w:pBdr>
        <w:spacing w:before="160" w:after="160"/>
        <w:ind w:left="720" w:right="720"/>
      </w:pPr>
      <w:r>
        <w:rPr>
          <w:rFonts w:ascii="Arial" w:cs="Arial" w:eastAsia="Arial" w:hAnsi="Arial"/>
          <w:i/>
          <w:iCs/>
          <w:color w:val="444444"/>
          <w:sz w:val="22"/>
          <w:szCs w:val="22"/>
        </w:rPr>
        <w:t xml:space="preserve">This document translates Burnish's brand vision and competitive inspiration into specific design and feature directives. The site already has a build in place. This brief is for updating the visual identity and adding or enhancing key features. Version 2 incorporates the full naming system, weighted scoring methodology, and phased implementation priorities.</w:t>
      </w:r>
    </w:p>
    <w:p>
      <w:pPr>
        <w:pBdr>
          <w:bottom w:val="single" w:color="C9A96E" w:sz="4" w:space="1"/>
        </w:pBdr>
        <w:spacing w:before="200" w:after="200"/>
      </w:pPr>
      <w:r>
        <w:t xml:space="preserve"/>
      </w:r>
    </w:p>
    <w:p>
      <w:pPr>
        <w:pStyle w:val="Heading1"/>
        <w:spacing w:before="480" w:after="160"/>
      </w:pPr>
      <w:r>
        <w:rPr>
          <w:rFonts w:ascii="Arial" w:cs="Arial" w:eastAsia="Arial" w:hAnsi="Arial"/>
          <w:b/>
          <w:bCs/>
          <w:color w:val="2E2620"/>
          <w:sz w:val="32"/>
          <w:szCs w:val="32"/>
        </w:rPr>
        <w:t xml:space="preserve">1. Brand Context</w:t>
      </w:r>
    </w:p>
    <w:p>
      <w:pPr>
        <w:spacing w:before="80" w:after="120"/>
      </w:pPr>
      <w:r>
        <w:rPr>
          <w:rFonts w:ascii="Arial" w:cs="Arial" w:eastAsia="Arial" w:hAnsi="Arial"/>
          <w:color w:val="2E2620"/>
          <w:sz w:val="22"/>
          <w:szCs w:val="22"/>
        </w:rPr>
        <w:t xml:space="preserve">Burnish is a curated directory and editorial media brand covering assisted living and senior living communities, starting with New Jersey. The brand combines the comprehensiveness of a full directory with the editorial voice and quality standards of a premium lifestyle publication.</w:t>
      </w:r>
    </w:p>
    <w:p>
      <w:pPr>
        <w:spacing w:before="80" w:after="80"/>
      </w:pPr>
      <w:r>
        <w:t xml:space="preserve"/>
      </w:r>
    </w:p>
    <w:p>
      <w:pPr>
        <w:spacing w:before="80" w:after="120"/>
      </w:pPr>
      <w:r>
        <w:rPr>
          <w:rFonts w:ascii="Arial" w:cs="Arial" w:eastAsia="Arial" w:hAnsi="Arial"/>
          <w:color w:val="2E2620"/>
          <w:sz w:val="22"/>
          <w:szCs w:val="22"/>
        </w:rPr>
        <w:t xml:space="preserve">The positioning is best understood as: the Mr &amp; Mrs Smith of senior living — comprehensive coverage with a luxury editorial lens, written for a discerning audience of adult children and older adults who expect the same quality of curation they apply to travel, dining, and design.</w:t>
      </w:r>
    </w:p>
    <w:p>
      <w:pPr>
        <w:pStyle w:val="Heading2"/>
        <w:spacing w:before="320" w:after="120"/>
      </w:pPr>
      <w:r>
        <w:rPr>
          <w:rFonts w:ascii="Arial" w:cs="Arial" w:eastAsia="Arial" w:hAnsi="Arial"/>
          <w:b/>
          <w:bCs/>
          <w:color w:val="2E2620"/>
          <w:sz w:val="24"/>
          <w:szCs w:val="24"/>
        </w:rPr>
        <w:t xml:space="preserve">Brand Name</w:t>
      </w:r>
    </w:p>
    <w:p>
      <w:pPr>
        <w:spacing w:before="80" w:after="120"/>
      </w:pPr>
      <w:r>
        <w:rPr>
          <w:rFonts w:ascii="Arial" w:cs="Arial" w:eastAsia="Arial" w:hAnsi="Arial"/>
          <w:color w:val="2E2620"/>
          <w:sz w:val="22"/>
          <w:szCs w:val="22"/>
        </w:rPr>
        <w:t xml:space="preserve">Burnish — derived from the craft of burnishing metal, where use and time produce beauty and character. The metaphor underpins the brand's editorial philosophy: a life burnished by experience deserves recognition, not diminishment. The internal naming system extends this metaphor throughout the product.</w:t>
      </w:r>
    </w:p>
    <w:p>
      <w:pPr>
        <w:pStyle w:val="Heading2"/>
        <w:spacing w:before="320" w:after="120"/>
      </w:pPr>
      <w:r>
        <w:rPr>
          <w:rFonts w:ascii="Arial" w:cs="Arial" w:eastAsia="Arial" w:hAnsi="Arial"/>
          <w:b/>
          <w:bCs/>
          <w:color w:val="2E2620"/>
          <w:sz w:val="24"/>
          <w:szCs w:val="24"/>
        </w:rPr>
        <w:t xml:space="preserve">Target Audience</w:t>
      </w:r>
    </w:p>
    <w:p>
      <w:pPr>
        <w:spacing w:before="80" w:after="120"/>
      </w:pPr>
      <w:r>
        <w:rPr>
          <w:rFonts w:ascii="Arial" w:cs="Arial" w:eastAsia="Arial" w:hAnsi="Arial"/>
          <w:b/>
          <w:bCs/>
          <w:color w:val="2E2620"/>
          <w:sz w:val="22"/>
          <w:szCs w:val="22"/>
        </w:rPr>
        <w:t xml:space="preserve">Primary: </w:t>
      </w:r>
      <w:r>
        <w:rPr>
          <w:rFonts w:ascii="Arial" w:cs="Arial" w:eastAsia="Arial" w:hAnsi="Arial"/>
          <w:color w:val="2E2620"/>
          <w:sz w:val="22"/>
          <w:szCs w:val="22"/>
        </w:rPr>
        <w:t xml:space="preserve">Adult children (typically daughters, ages 45–60) researching communities on behalf of a parent. They are doing this research late at night, under emotional pressure, and need trusted curation more than raw data.</w:t>
      </w:r>
    </w:p>
    <w:p>
      <w:pPr>
        <w:spacing w:before="80" w:after="120"/>
      </w:pPr>
      <w:r>
        <w:rPr>
          <w:rFonts w:ascii="Arial" w:cs="Arial" w:eastAsia="Arial" w:hAnsi="Arial"/>
          <w:b/>
          <w:bCs/>
          <w:color w:val="2E2620"/>
          <w:sz w:val="22"/>
          <w:szCs w:val="22"/>
        </w:rPr>
        <w:t xml:space="preserve">Secondary: </w:t>
      </w:r>
      <w:r>
        <w:rPr>
          <w:rFonts w:ascii="Arial" w:cs="Arial" w:eastAsia="Arial" w:hAnsi="Arial"/>
          <w:color w:val="2E2620"/>
          <w:sz w:val="22"/>
          <w:szCs w:val="22"/>
        </w:rPr>
        <w:t xml:space="preserve">Older adults (70+) who are cognitively sharp, financially independent, and researching for themselves. They are choosing a lifestyle upgrade, not being placed. They have strong taste and will not tolerate condescension.</w:t>
      </w:r>
    </w:p>
    <w:p>
      <w:pPr>
        <w:pStyle w:val="Heading2"/>
        <w:spacing w:before="320" w:after="120"/>
      </w:pPr>
      <w:r>
        <w:rPr>
          <w:rFonts w:ascii="Arial" w:cs="Arial" w:eastAsia="Arial" w:hAnsi="Arial"/>
          <w:b/>
          <w:bCs/>
          <w:color w:val="2E2620"/>
          <w:sz w:val="24"/>
          <w:szCs w:val="24"/>
        </w:rPr>
        <w:t xml:space="preserve">Tone &amp; Voice</w:t>
      </w:r>
    </w:p>
    <w:p>
      <w:pPr>
        <w:spacing w:before="80" w:after="120"/>
      </w:pPr>
      <w:r>
        <w:rPr>
          <w:rFonts w:ascii="Arial" w:cs="Arial" w:eastAsia="Arial" w:hAnsi="Arial"/>
          <w:color w:val="2E2620"/>
          <w:sz w:val="22"/>
          <w:szCs w:val="22"/>
        </w:rPr>
        <w:t xml:space="preserve">Warm authority. Knowledgeable without being clinical. Aspirational without being unattainable. Think of a trusted friend who has done all the research — not a salesperson, not a healthcare provider. The editorial voice should feel closer to Condé Nast Traveler than to a hospital brochure.</w:t>
      </w:r>
    </w:p>
    <w:p>
      <w:pPr>
        <w:spacing w:before="80" w:after="80"/>
      </w:pPr>
      <w:r>
        <w:t xml:space="preserve"/>
      </w:r>
    </w:p>
    <w:p>
      <w:pPr>
        <w:spacing w:before="80" w:after="120"/>
      </w:pPr>
      <w:r>
        <w:rPr>
          <w:rFonts w:ascii="Arial" w:cs="Arial" w:eastAsia="Arial" w:hAnsi="Arial"/>
          <w:b/>
          <w:bCs/>
          <w:color w:val="2E2620"/>
          <w:sz w:val="22"/>
          <w:szCs w:val="22"/>
        </w:rPr>
        <w:t xml:space="preserve">Use: </w:t>
      </w:r>
      <w:r>
        <w:rPr>
          <w:rFonts w:ascii="Arial" w:cs="Arial" w:eastAsia="Arial" w:hAnsi="Arial"/>
          <w:color w:val="2E2620"/>
          <w:sz w:val="22"/>
          <w:szCs w:val="22"/>
        </w:rPr>
        <w:t xml:space="preserve">curated, earned, resident, chapter, community, older adults</w:t>
      </w:r>
    </w:p>
    <w:p>
      <w:pPr>
        <w:spacing w:before="80" w:after="120"/>
      </w:pPr>
      <w:r>
        <w:rPr>
          <w:rFonts w:ascii="Arial" w:cs="Arial" w:eastAsia="Arial" w:hAnsi="Arial"/>
          <w:b/>
          <w:bCs/>
          <w:color w:val="2E2620"/>
          <w:sz w:val="22"/>
          <w:szCs w:val="22"/>
        </w:rPr>
        <w:t xml:space="preserve">Avoid: </w:t>
      </w:r>
      <w:r>
        <w:rPr>
          <w:rFonts w:ascii="Arial" w:cs="Arial" w:eastAsia="Arial" w:hAnsi="Arial"/>
          <w:color w:val="2E2620"/>
          <w:sz w:val="22"/>
          <w:szCs w:val="22"/>
        </w:rPr>
        <w:t xml:space="preserve">facility (in editorial contexts), placement, elderly, journey, golden years, patient</w:t>
      </w:r>
    </w:p>
    <w:p>
      <w:pPr>
        <w:pBdr>
          <w:bottom w:val="single" w:color="C9A96E" w:sz="4" w:space="1"/>
        </w:pBdr>
        <w:spacing w:before="200" w:after="200"/>
      </w:pPr>
      <w:r>
        <w:t xml:space="preserve"/>
      </w:r>
    </w:p>
    <w:p>
      <w:pPr>
        <w:pStyle w:val="Heading1"/>
        <w:spacing w:before="480" w:after="160"/>
      </w:pPr>
      <w:r>
        <w:rPr>
          <w:rFonts w:ascii="Arial" w:cs="Arial" w:eastAsia="Arial" w:hAnsi="Arial"/>
          <w:b/>
          <w:bCs/>
          <w:color w:val="2E2620"/>
          <w:sz w:val="32"/>
          <w:szCs w:val="32"/>
        </w:rPr>
        <w:t xml:space="preserve">2. Visual Identity &amp; Design System</w:t>
      </w:r>
    </w:p>
    <w:p>
      <w:pPr>
        <w:spacing w:before="80" w:after="120"/>
      </w:pPr>
      <w:r>
        <w:rPr>
          <w:rFonts w:ascii="Arial" w:cs="Arial" w:eastAsia="Arial" w:hAnsi="Arial"/>
          <w:color w:val="2E2620"/>
          <w:sz w:val="22"/>
          <w:szCs w:val="22"/>
        </w:rPr>
        <w:t xml:space="preserve">The following design system has been established and should be applied consistently across all pages and components during the refresh.</w:t>
      </w:r>
    </w:p>
    <w:p>
      <w:pPr>
        <w:pStyle w:val="Heading2"/>
        <w:spacing w:before="320" w:after="120"/>
      </w:pPr>
      <w:r>
        <w:rPr>
          <w:rFonts w:ascii="Arial" w:cs="Arial" w:eastAsia="Arial" w:hAnsi="Arial"/>
          <w:b/>
          <w:bCs/>
          <w:color w:val="2E2620"/>
          <w:sz w:val="24"/>
          <w:szCs w:val="24"/>
        </w:rPr>
        <w:t xml:space="preserve">2.1  Color Palette — Dark / Light Dual Mode</w:t>
      </w:r>
    </w:p>
    <w:p>
      <w:pPr>
        <w:spacing w:before="80" w:after="120"/>
      </w:pPr>
      <w:r>
        <w:rPr>
          <w:rFonts w:ascii="Arial" w:cs="Arial" w:eastAsia="Arial" w:hAnsi="Arial"/>
          <w:color w:val="2E2620"/>
          <w:sz w:val="22"/>
          <w:szCs w:val="22"/>
        </w:rPr>
        <w:t xml:space="preserve">The site supports two primary modes that users can toggle between. Both use the same typographic system; the brass accent is the consistent thread across both.</w:t>
      </w:r>
    </w:p>
    <w:p>
      <w:pPr>
        <w:spacing w:before="240" w:after="80"/>
      </w:pPr>
      <w:r>
        <w:rPr>
          <w:rFonts w:ascii="Arial" w:cs="Arial" w:eastAsia="Arial" w:hAnsi="Arial"/>
          <w:b/>
          <w:bCs/>
          <w:color w:val="555555"/>
          <w:sz w:val="22"/>
          <w:szCs w:val="22"/>
        </w:rPr>
        <w:t xml:space="preserve">Dark Mode (Primary Brand Impression)</w:t>
      </w:r>
    </w:p>
    <w:p>
      <w:pPr>
        <w:pStyle w:val="ListParagraph"/>
        <w:numPr>
          <w:ilvl w:val="0"/>
          <w:numId w:val="2"/>
        </w:numPr>
        <w:spacing w:before="60" w:after="60"/>
      </w:pPr>
      <w:r>
        <w:rPr>
          <w:rFonts w:ascii="Arial" w:cs="Arial" w:eastAsia="Arial" w:hAnsi="Arial"/>
          <w:color w:val="2E2620"/>
          <w:sz w:val="22"/>
          <w:szCs w:val="22"/>
        </w:rPr>
        <w:t xml:space="preserve">Background: #1E1A16 (Deep Ebony)</w:t>
      </w:r>
    </w:p>
    <w:p>
      <w:pPr>
        <w:pStyle w:val="ListParagraph"/>
        <w:numPr>
          <w:ilvl w:val="0"/>
          <w:numId w:val="2"/>
        </w:numPr>
        <w:spacing w:before="60" w:after="60"/>
      </w:pPr>
      <w:r>
        <w:rPr>
          <w:rFonts w:ascii="Arial" w:cs="Arial" w:eastAsia="Arial" w:hAnsi="Arial"/>
          <w:color w:val="2E2620"/>
          <w:sz w:val="22"/>
          <w:szCs w:val="22"/>
        </w:rPr>
        <w:t xml:space="preserve">Secondary background: #18150F (Midnight) — for cards, nav</w:t>
      </w:r>
    </w:p>
    <w:p>
      <w:pPr>
        <w:pStyle w:val="ListParagraph"/>
        <w:numPr>
          <w:ilvl w:val="0"/>
          <w:numId w:val="2"/>
        </w:numPr>
        <w:spacing w:before="60" w:after="60"/>
      </w:pPr>
      <w:r>
        <w:rPr>
          <w:rFonts w:ascii="Arial" w:cs="Arial" w:eastAsia="Arial" w:hAnsi="Arial"/>
          <w:color w:val="2E2620"/>
          <w:sz w:val="22"/>
          <w:szCs w:val="22"/>
        </w:rPr>
        <w:t xml:space="preserve">Primary text: #E8DDD0 (Aged Linen)</w:t>
      </w:r>
    </w:p>
    <w:p>
      <w:pPr>
        <w:pStyle w:val="ListParagraph"/>
        <w:numPr>
          <w:ilvl w:val="0"/>
          <w:numId w:val="2"/>
        </w:numPr>
        <w:spacing w:before="60" w:after="60"/>
      </w:pPr>
      <w:r>
        <w:rPr>
          <w:rFonts w:ascii="Arial" w:cs="Arial" w:eastAsia="Arial" w:hAnsi="Arial"/>
          <w:color w:val="2E2620"/>
          <w:sz w:val="22"/>
          <w:szCs w:val="22"/>
        </w:rPr>
        <w:t xml:space="preserve">Accent / brass: #C9A96E (Burnished Brass) — used sparingly for headlines, CTAs, scores, tier badges</w:t>
      </w:r>
    </w:p>
    <w:p>
      <w:pPr>
        <w:pStyle w:val="ListParagraph"/>
        <w:numPr>
          <w:ilvl w:val="0"/>
          <w:numId w:val="2"/>
        </w:numPr>
        <w:spacing w:before="60" w:after="60"/>
      </w:pPr>
      <w:r>
        <w:rPr>
          <w:rFonts w:ascii="Arial" w:cs="Arial" w:eastAsia="Arial" w:hAnsi="Arial"/>
          <w:color w:val="2E2620"/>
          <w:sz w:val="22"/>
          <w:szCs w:val="22"/>
        </w:rPr>
        <w:t xml:space="preserve">Supporting: #6A5A48 (Antique Bronze) — for secondary text, metadata</w:t>
      </w:r>
    </w:p>
    <w:p>
      <w:pPr>
        <w:spacing w:before="240" w:after="80"/>
      </w:pPr>
      <w:r>
        <w:rPr>
          <w:rFonts w:ascii="Arial" w:cs="Arial" w:eastAsia="Arial" w:hAnsi="Arial"/>
          <w:b/>
          <w:bCs/>
          <w:color w:val="555555"/>
          <w:sz w:val="22"/>
          <w:szCs w:val="22"/>
        </w:rPr>
        <w:t xml:space="preserve">Light Mode (Day / Content-Heavy Layouts)</w:t>
      </w:r>
    </w:p>
    <w:p>
      <w:pPr>
        <w:pStyle w:val="ListParagraph"/>
        <w:numPr>
          <w:ilvl w:val="0"/>
          <w:numId w:val="2"/>
        </w:numPr>
        <w:spacing w:before="60" w:after="60"/>
      </w:pPr>
      <w:r>
        <w:rPr>
          <w:rFonts w:ascii="Arial" w:cs="Arial" w:eastAsia="Arial" w:hAnsi="Arial"/>
          <w:color w:val="2E2620"/>
          <w:sz w:val="22"/>
          <w:szCs w:val="22"/>
        </w:rPr>
        <w:t xml:space="preserve">Background: #F0EBE3 (Warm Linen)</w:t>
      </w:r>
    </w:p>
    <w:p>
      <w:pPr>
        <w:pStyle w:val="ListParagraph"/>
        <w:numPr>
          <w:ilvl w:val="0"/>
          <w:numId w:val="2"/>
        </w:numPr>
        <w:spacing w:before="60" w:after="60"/>
      </w:pPr>
      <w:r>
        <w:rPr>
          <w:rFonts w:ascii="Arial" w:cs="Arial" w:eastAsia="Arial" w:hAnsi="Arial"/>
          <w:color w:val="2E2620"/>
          <w:sz w:val="22"/>
          <w:szCs w:val="22"/>
        </w:rPr>
        <w:t xml:space="preserve">Secondary background: #E8E2D8 (Parchment) — for cards, nav</w:t>
      </w:r>
    </w:p>
    <w:p>
      <w:pPr>
        <w:pStyle w:val="ListParagraph"/>
        <w:numPr>
          <w:ilvl w:val="0"/>
          <w:numId w:val="2"/>
        </w:numPr>
        <w:spacing w:before="60" w:after="60"/>
      </w:pPr>
      <w:r>
        <w:rPr>
          <w:rFonts w:ascii="Arial" w:cs="Arial" w:eastAsia="Arial" w:hAnsi="Arial"/>
          <w:color w:val="2E2620"/>
          <w:sz w:val="22"/>
          <w:szCs w:val="22"/>
        </w:rPr>
        <w:t xml:space="preserve">Primary text: #2E2620 (Espresso)</w:t>
      </w:r>
    </w:p>
    <w:p>
      <w:pPr>
        <w:pStyle w:val="ListParagraph"/>
        <w:numPr>
          <w:ilvl w:val="0"/>
          <w:numId w:val="2"/>
        </w:numPr>
        <w:spacing w:before="60" w:after="60"/>
      </w:pPr>
      <w:r>
        <w:rPr>
          <w:rFonts w:ascii="Arial" w:cs="Arial" w:eastAsia="Arial" w:hAnsi="Arial"/>
          <w:color w:val="2E2620"/>
          <w:sz w:val="22"/>
          <w:szCs w:val="22"/>
        </w:rPr>
        <w:t xml:space="preserve">Accent / old brass: #9A7B4F — same warmth as dark mode brass, adjusted for light</w:t>
      </w:r>
    </w:p>
    <w:p>
      <w:pPr>
        <w:pStyle w:val="ListParagraph"/>
        <w:numPr>
          <w:ilvl w:val="0"/>
          <w:numId w:val="2"/>
        </w:numPr>
        <w:spacing w:before="60" w:after="60"/>
      </w:pPr>
      <w:r>
        <w:rPr>
          <w:rFonts w:ascii="Arial" w:cs="Arial" w:eastAsia="Arial" w:hAnsi="Arial"/>
          <w:color w:val="2E2620"/>
          <w:sz w:val="22"/>
          <w:szCs w:val="22"/>
        </w:rPr>
        <w:t xml:space="preserve">Supporting: #9A8A78 — for metadata, secondary labels</w:t>
      </w:r>
    </w:p>
    <w:p>
      <w:pPr>
        <w:spacing w:before="240" w:after="80"/>
      </w:pPr>
      <w:r>
        <w:rPr>
          <w:rFonts w:ascii="Arial" w:cs="Arial" w:eastAsia="Arial" w:hAnsi="Arial"/>
          <w:b/>
          <w:bCs/>
          <w:color w:val="555555"/>
          <w:sz w:val="22"/>
          <w:szCs w:val="22"/>
        </w:rPr>
        <w:t xml:space="preserve">Never Use</w:t>
      </w:r>
    </w:p>
    <w:p>
      <w:pPr>
        <w:pStyle w:val="ListParagraph"/>
        <w:numPr>
          <w:ilvl w:val="0"/>
          <w:numId w:val="2"/>
        </w:numPr>
        <w:spacing w:before="60" w:after="60"/>
      </w:pPr>
      <w:r>
        <w:rPr>
          <w:rFonts w:ascii="Arial" w:cs="Arial" w:eastAsia="Arial" w:hAnsi="Arial"/>
          <w:color w:val="2E2620"/>
          <w:sz w:val="22"/>
          <w:szCs w:val="22"/>
        </w:rPr>
        <w:t xml:space="preserve">Pure black (#000000) or pure white (#FFFFFF)</w:t>
      </w:r>
    </w:p>
    <w:p>
      <w:pPr>
        <w:pStyle w:val="ListParagraph"/>
        <w:numPr>
          <w:ilvl w:val="0"/>
          <w:numId w:val="2"/>
        </w:numPr>
        <w:spacing w:before="60" w:after="60"/>
      </w:pPr>
      <w:r>
        <w:rPr>
          <w:rFonts w:ascii="Arial" w:cs="Arial" w:eastAsia="Arial" w:hAnsi="Arial"/>
          <w:color w:val="2E2620"/>
          <w:sz w:val="22"/>
          <w:szCs w:val="22"/>
        </w:rPr>
        <w:t xml:space="preserve">Bright or saturated colors — no red, blue, or green accents</w:t>
      </w:r>
    </w:p>
    <w:p>
      <w:pPr>
        <w:pStyle w:val="ListParagraph"/>
        <w:numPr>
          <w:ilvl w:val="0"/>
          <w:numId w:val="2"/>
        </w:numPr>
        <w:spacing w:before="60" w:after="60"/>
      </w:pPr>
      <w:r>
        <w:rPr>
          <w:rFonts w:ascii="Arial" w:cs="Arial" w:eastAsia="Arial" w:hAnsi="Arial"/>
          <w:color w:val="2E2620"/>
          <w:sz w:val="22"/>
          <w:szCs w:val="22"/>
        </w:rPr>
        <w:t xml:space="preserve">Multiple metallic tones together — one brass family, used with restraint</w:t>
      </w:r>
    </w:p>
    <w:p>
      <w:pPr>
        <w:pStyle w:val="ListParagraph"/>
        <w:numPr>
          <w:ilvl w:val="0"/>
          <w:numId w:val="2"/>
        </w:numPr>
        <w:spacing w:before="60" w:after="60"/>
      </w:pPr>
      <w:r>
        <w:rPr>
          <w:rFonts w:ascii="Arial" w:cs="Arial" w:eastAsia="Arial" w:hAnsi="Arial"/>
          <w:color w:val="2E2620"/>
          <w:sz w:val="22"/>
          <w:szCs w:val="22"/>
        </w:rPr>
        <w:t xml:space="preserve">Pastel tones, blush, lavender — these read as wellness/spa, not the intended register</w:t>
      </w:r>
    </w:p>
    <w:p>
      <w:pPr>
        <w:pStyle w:val="Heading2"/>
        <w:spacing w:before="320" w:after="120"/>
      </w:pPr>
      <w:r>
        <w:rPr>
          <w:rFonts w:ascii="Arial" w:cs="Arial" w:eastAsia="Arial" w:hAnsi="Arial"/>
          <w:b/>
          <w:bCs/>
          <w:color w:val="2E2620"/>
          <w:sz w:val="24"/>
          <w:szCs w:val="24"/>
        </w:rPr>
        <w:t xml:space="preserve">2.2  Typography</w:t>
      </w:r>
    </w:p>
    <w:p>
      <w:pPr>
        <w:spacing w:before="80" w:after="120"/>
      </w:pPr>
      <w:r>
        <w:rPr>
          <w:rFonts w:ascii="Arial" w:cs="Arial" w:eastAsia="Arial" w:hAnsi="Arial"/>
          <w:color w:val="2E2620"/>
          <w:sz w:val="22"/>
          <w:szCs w:val="22"/>
        </w:rPr>
        <w:t xml:space="preserve">Typography is the primary carrier of the brand's authority and warmth. Two typefaces only — a serif for display and editorial, a sans-serif for UI and body.</w:t>
      </w:r>
    </w:p>
    <w:p>
      <w:pPr>
        <w:spacing w:before="240" w:after="80"/>
      </w:pPr>
      <w:r>
        <w:rPr>
          <w:rFonts w:ascii="Arial" w:cs="Arial" w:eastAsia="Arial" w:hAnsi="Arial"/>
          <w:b/>
          <w:bCs/>
          <w:color w:val="555555"/>
          <w:sz w:val="22"/>
          <w:szCs w:val="22"/>
        </w:rPr>
        <w:t xml:space="preserve">Display &amp; Editorial: Cormorant Garamond</w:t>
      </w:r>
    </w:p>
    <w:p>
      <w:pPr>
        <w:pStyle w:val="ListParagraph"/>
        <w:numPr>
          <w:ilvl w:val="0"/>
          <w:numId w:val="2"/>
        </w:numPr>
        <w:spacing w:before="60" w:after="60"/>
      </w:pPr>
      <w:r>
        <w:rPr>
          <w:rFonts w:ascii="Arial" w:cs="Arial" w:eastAsia="Arial" w:hAnsi="Arial"/>
          <w:color w:val="2E2620"/>
          <w:sz w:val="22"/>
          <w:szCs w:val="22"/>
        </w:rPr>
        <w:t xml:space="preserve">Use: Wordmark, page headlines, pull quotes, Patina Profile titles, community names</w:t>
      </w:r>
    </w:p>
    <w:p>
      <w:pPr>
        <w:pStyle w:val="ListParagraph"/>
        <w:numPr>
          <w:ilvl w:val="0"/>
          <w:numId w:val="2"/>
        </w:numPr>
        <w:spacing w:before="60" w:after="60"/>
      </w:pPr>
      <w:r>
        <w:rPr>
          <w:rFonts w:ascii="Arial" w:cs="Arial" w:eastAsia="Arial" w:hAnsi="Arial"/>
          <w:color w:val="2E2620"/>
          <w:sz w:val="22"/>
          <w:szCs w:val="22"/>
        </w:rPr>
        <w:t xml:space="preserve">Weight: 300 (Light) for large display; 400 for body editorial</w:t>
      </w:r>
    </w:p>
    <w:p>
      <w:pPr>
        <w:pStyle w:val="ListParagraph"/>
        <w:numPr>
          <w:ilvl w:val="0"/>
          <w:numId w:val="2"/>
        </w:numPr>
        <w:spacing w:before="60" w:after="60"/>
      </w:pPr>
      <w:r>
        <w:rPr>
          <w:rFonts w:ascii="Arial" w:cs="Arial" w:eastAsia="Arial" w:hAnsi="Arial"/>
          <w:color w:val="2E2620"/>
          <w:sz w:val="22"/>
          <w:szCs w:val="22"/>
        </w:rPr>
        <w:t xml:space="preserve">Italic: Used for taglines, pull quotes, editorial intros — this is the brand's most distinctive typographic voice</w:t>
      </w:r>
    </w:p>
    <w:p>
      <w:pPr>
        <w:pStyle w:val="ListParagraph"/>
        <w:numPr>
          <w:ilvl w:val="0"/>
          <w:numId w:val="2"/>
        </w:numPr>
        <w:spacing w:before="60" w:after="60"/>
      </w:pPr>
      <w:r>
        <w:rPr>
          <w:rFonts w:ascii="Arial" w:cs="Arial" w:eastAsia="Arial" w:hAnsi="Arial"/>
          <w:color w:val="2E2620"/>
          <w:sz w:val="22"/>
          <w:szCs w:val="22"/>
        </w:rPr>
        <w:t xml:space="preserve">Never bold — the weight of the typeface at 300 already commands attention</w:t>
      </w:r>
    </w:p>
    <w:p>
      <w:pPr>
        <w:spacing w:before="240" w:after="80"/>
      </w:pPr>
      <w:r>
        <w:rPr>
          <w:rFonts w:ascii="Arial" w:cs="Arial" w:eastAsia="Arial" w:hAnsi="Arial"/>
          <w:b/>
          <w:bCs/>
          <w:color w:val="555555"/>
          <w:sz w:val="22"/>
          <w:szCs w:val="22"/>
        </w:rPr>
        <w:t xml:space="preserve">UI &amp; Body: Jost</w:t>
      </w:r>
    </w:p>
    <w:p>
      <w:pPr>
        <w:pStyle w:val="ListParagraph"/>
        <w:numPr>
          <w:ilvl w:val="0"/>
          <w:numId w:val="2"/>
        </w:numPr>
        <w:spacing w:before="60" w:after="60"/>
      </w:pPr>
      <w:r>
        <w:rPr>
          <w:rFonts w:ascii="Arial" w:cs="Arial" w:eastAsia="Arial" w:hAnsi="Arial"/>
          <w:color w:val="2E2620"/>
          <w:sz w:val="22"/>
          <w:szCs w:val="22"/>
        </w:rPr>
        <w:t xml:space="preserve">Use: Navigation, body copy, labels, tags, buttons, metadata, scores, tier badges</w:t>
      </w:r>
    </w:p>
    <w:p>
      <w:pPr>
        <w:pStyle w:val="ListParagraph"/>
        <w:numPr>
          <w:ilvl w:val="0"/>
          <w:numId w:val="2"/>
        </w:numPr>
        <w:spacing w:before="60" w:after="60"/>
      </w:pPr>
      <w:r>
        <w:rPr>
          <w:rFonts w:ascii="Arial" w:cs="Arial" w:eastAsia="Arial" w:hAnsi="Arial"/>
          <w:color w:val="2E2620"/>
          <w:sz w:val="22"/>
          <w:szCs w:val="22"/>
        </w:rPr>
        <w:t xml:space="preserve">Weight: 200 (Ultralight) for large UI display; 300 (Light) for body and labels</w:t>
      </w:r>
    </w:p>
    <w:p>
      <w:pPr>
        <w:pStyle w:val="ListParagraph"/>
        <w:numPr>
          <w:ilvl w:val="0"/>
          <w:numId w:val="2"/>
        </w:numPr>
        <w:spacing w:before="60" w:after="60"/>
      </w:pPr>
      <w:r>
        <w:rPr>
          <w:rFonts w:ascii="Arial" w:cs="Arial" w:eastAsia="Arial" w:hAnsi="Arial"/>
          <w:color w:val="2E2620"/>
          <w:sz w:val="22"/>
          <w:szCs w:val="22"/>
        </w:rPr>
        <w:t xml:space="preserve">Letter-spacing: Generous — minimum 2px on uppercase labels, 4–6px on nav items</w:t>
      </w:r>
    </w:p>
    <w:p>
      <w:pPr>
        <w:pStyle w:val="ListParagraph"/>
        <w:numPr>
          <w:ilvl w:val="0"/>
          <w:numId w:val="2"/>
        </w:numPr>
        <w:spacing w:before="60" w:after="60"/>
      </w:pPr>
      <w:r>
        <w:rPr>
          <w:rFonts w:ascii="Arial" w:cs="Arial" w:eastAsia="Arial" w:hAnsi="Arial"/>
          <w:color w:val="2E2620"/>
          <w:sz w:val="22"/>
          <w:szCs w:val="22"/>
        </w:rPr>
        <w:t xml:space="preserve">Uppercase labels in Jost 200–300 at small sizes create the distinctive navigation voice</w:t>
      </w:r>
    </w:p>
    <w:p>
      <w:pPr>
        <w:spacing w:before="240" w:after="80"/>
      </w:pPr>
      <w:r>
        <w:rPr>
          <w:rFonts w:ascii="Arial" w:cs="Arial" w:eastAsia="Arial" w:hAnsi="Arial"/>
          <w:b/>
          <w:bCs/>
          <w:color w:val="555555"/>
          <w:sz w:val="22"/>
          <w:szCs w:val="22"/>
        </w:rPr>
        <w:t xml:space="preserve">Type Scale Guidelines</w:t>
      </w:r>
    </w:p>
    <w:p>
      <w:pPr>
        <w:pStyle w:val="ListParagraph"/>
        <w:numPr>
          <w:ilvl w:val="0"/>
          <w:numId w:val="2"/>
        </w:numPr>
        <w:spacing w:before="60" w:after="60"/>
      </w:pPr>
      <w:r>
        <w:rPr>
          <w:rFonts w:ascii="Arial" w:cs="Arial" w:eastAsia="Arial" w:hAnsi="Arial"/>
          <w:color w:val="2E2620"/>
          <w:sz w:val="22"/>
          <w:szCs w:val="22"/>
        </w:rPr>
        <w:t xml:space="preserve">Wordmark / Hero: Cormorant Garamond 300, 64–88px, letter-spacing 6–10px</w:t>
      </w:r>
    </w:p>
    <w:p>
      <w:pPr>
        <w:pStyle w:val="ListParagraph"/>
        <w:numPr>
          <w:ilvl w:val="0"/>
          <w:numId w:val="2"/>
        </w:numPr>
        <w:spacing w:before="60" w:after="60"/>
      </w:pPr>
      <w:r>
        <w:rPr>
          <w:rFonts w:ascii="Arial" w:cs="Arial" w:eastAsia="Arial" w:hAnsi="Arial"/>
          <w:color w:val="2E2620"/>
          <w:sz w:val="22"/>
          <w:szCs w:val="22"/>
        </w:rPr>
        <w:t xml:space="preserve">Page headlines: Cormorant Garamond 300, 40–56px</w:t>
      </w:r>
    </w:p>
    <w:p>
      <w:pPr>
        <w:pStyle w:val="ListParagraph"/>
        <w:numPr>
          <w:ilvl w:val="0"/>
          <w:numId w:val="2"/>
        </w:numPr>
        <w:spacing w:before="60" w:after="60"/>
      </w:pPr>
      <w:r>
        <w:rPr>
          <w:rFonts w:ascii="Arial" w:cs="Arial" w:eastAsia="Arial" w:hAnsi="Arial"/>
          <w:color w:val="2E2620"/>
          <w:sz w:val="22"/>
          <w:szCs w:val="22"/>
        </w:rPr>
        <w:t xml:space="preserve">Section headers: Cormorant Garamond 400, 28–36px</w:t>
      </w:r>
    </w:p>
    <w:p>
      <w:pPr>
        <w:pStyle w:val="ListParagraph"/>
        <w:numPr>
          <w:ilvl w:val="0"/>
          <w:numId w:val="2"/>
        </w:numPr>
        <w:spacing w:before="60" w:after="60"/>
      </w:pPr>
      <w:r>
        <w:rPr>
          <w:rFonts w:ascii="Arial" w:cs="Arial" w:eastAsia="Arial" w:hAnsi="Arial"/>
          <w:color w:val="2E2620"/>
          <w:sz w:val="22"/>
          <w:szCs w:val="22"/>
        </w:rPr>
        <w:t xml:space="preserve">Pull quotes: Cormorant Garamond 400 italic, 24–30px</w:t>
      </w:r>
    </w:p>
    <w:p>
      <w:pPr>
        <w:pStyle w:val="ListParagraph"/>
        <w:numPr>
          <w:ilvl w:val="0"/>
          <w:numId w:val="2"/>
        </w:numPr>
        <w:spacing w:before="60" w:after="60"/>
      </w:pPr>
      <w:r>
        <w:rPr>
          <w:rFonts w:ascii="Arial" w:cs="Arial" w:eastAsia="Arial" w:hAnsi="Arial"/>
          <w:color w:val="2E2620"/>
          <w:sz w:val="22"/>
          <w:szCs w:val="22"/>
        </w:rPr>
        <w:t xml:space="preserve">UI labels: Jost 200, uppercase, 9–11px, letter-spacing 4–6px</w:t>
      </w:r>
    </w:p>
    <w:p>
      <w:pPr>
        <w:pStyle w:val="ListParagraph"/>
        <w:numPr>
          <w:ilvl w:val="0"/>
          <w:numId w:val="2"/>
        </w:numPr>
        <w:spacing w:before="60" w:after="60"/>
      </w:pPr>
      <w:r>
        <w:rPr>
          <w:rFonts w:ascii="Arial" w:cs="Arial" w:eastAsia="Arial" w:hAnsi="Arial"/>
          <w:color w:val="2E2620"/>
          <w:sz w:val="22"/>
          <w:szCs w:val="22"/>
        </w:rPr>
        <w:t xml:space="preserve">Body copy: Jost 300, 14–16px, line-height 1.8</w:t>
      </w:r>
    </w:p>
    <w:p>
      <w:pPr>
        <w:pStyle w:val="ListParagraph"/>
        <w:numPr>
          <w:ilvl w:val="0"/>
          <w:numId w:val="2"/>
        </w:numPr>
        <w:spacing w:before="60" w:after="60"/>
      </w:pPr>
      <w:r>
        <w:rPr>
          <w:rFonts w:ascii="Arial" w:cs="Arial" w:eastAsia="Arial" w:hAnsi="Arial"/>
          <w:color w:val="2E2620"/>
          <w:sz w:val="22"/>
          <w:szCs w:val="22"/>
        </w:rPr>
        <w:t xml:space="preserve">Metadata / tags: Jost 300, uppercase, 8–10px, letter-spacing 2–3px</w:t>
      </w:r>
    </w:p>
    <w:p>
      <w:pPr>
        <w:pStyle w:val="Heading2"/>
        <w:spacing w:before="320" w:after="120"/>
      </w:pPr>
      <w:r>
        <w:rPr>
          <w:rFonts w:ascii="Arial" w:cs="Arial" w:eastAsia="Arial" w:hAnsi="Arial"/>
          <w:b/>
          <w:bCs/>
          <w:color w:val="2E2620"/>
          <w:sz w:val="24"/>
          <w:szCs w:val="24"/>
        </w:rPr>
        <w:t xml:space="preserve">2.3  Score Tier Badge Design</w:t>
      </w:r>
    </w:p>
    <w:p>
      <w:pPr>
        <w:spacing w:before="80" w:after="120"/>
      </w:pPr>
      <w:r>
        <w:rPr>
          <w:rFonts w:ascii="Arial" w:cs="Arial" w:eastAsia="Arial" w:hAnsi="Arial"/>
          <w:color w:val="2E2620"/>
          <w:sz w:val="22"/>
          <w:szCs w:val="22"/>
        </w:rPr>
        <w:t xml:space="preserve">Each Burnish Score tier is expressed as a badge on community cards and profile pages. The badge system uses the brass/metal color family. Badge design rules:</w:t>
      </w:r>
    </w:p>
    <w:p>
      <w:pPr>
        <w:spacing w:before="80" w:after="80"/>
      </w:pPr>
      <w:r>
        <w:t xml:space="preserve"/>
      </w:r>
    </w:p>
    <w:p>
      <w:pPr>
        <w:pStyle w:val="ListParagraph"/>
        <w:numPr>
          <w:ilvl w:val="0"/>
          <w:numId w:val="2"/>
        </w:numPr>
        <w:spacing w:before="60" w:after="60"/>
      </w:pPr>
      <w:r>
        <w:rPr>
          <w:rFonts w:ascii="Arial" w:cs="Arial" w:eastAsia="Arial" w:hAnsi="Arial"/>
          <w:color w:val="2E2620"/>
          <w:sz w:val="22"/>
          <w:szCs w:val="22"/>
        </w:rPr>
        <w:t xml:space="preserve">Platinum badge: highest visual weight — filled silver-blue background (#6B8FAF), white text, slight cool metallic treatment. Reserve for rare use. The silver-blue distinguishes Platinum categorically from Gold and avoids confusion with the brass accent used throughout the brand.</w:t>
      </w:r>
    </w:p>
    <w:p>
      <w:pPr>
        <w:pStyle w:val="ListParagraph"/>
        <w:numPr>
          <w:ilvl w:val="0"/>
          <w:numId w:val="2"/>
        </w:numPr>
        <w:spacing w:before="60" w:after="60"/>
      </w:pPr>
      <w:r>
        <w:rPr>
          <w:rFonts w:ascii="Arial" w:cs="Arial" w:eastAsia="Arial" w:hAnsi="Arial"/>
          <w:color w:val="2E2620"/>
          <w:sz w:val="22"/>
          <w:szCs w:val="22"/>
        </w:rPr>
        <w:t xml:space="preserve">Gold badge: warm gold fill (#B8922A), white text. The aspirational standard.</w:t>
      </w:r>
    </w:p>
    <w:p>
      <w:pPr>
        <w:pStyle w:val="ListParagraph"/>
        <w:numPr>
          <w:ilvl w:val="0"/>
          <w:numId w:val="2"/>
        </w:numPr>
        <w:spacing w:before="60" w:after="60"/>
      </w:pPr>
      <w:r>
        <w:rPr>
          <w:rFonts w:ascii="Arial" w:cs="Arial" w:eastAsia="Arial" w:hAnsi="Arial"/>
          <w:color w:val="2E2620"/>
          <w:sz w:val="22"/>
          <w:szCs w:val="22"/>
        </w:rPr>
        <w:t xml:space="preserve">Silver badge: neutral silver-gray fill (#8A8A8A), white text.</w:t>
      </w:r>
    </w:p>
    <w:p>
      <w:pPr>
        <w:pStyle w:val="ListParagraph"/>
        <w:numPr>
          <w:ilvl w:val="0"/>
          <w:numId w:val="2"/>
        </w:numPr>
        <w:spacing w:before="60" w:after="60"/>
      </w:pPr>
      <w:r>
        <w:rPr>
          <w:rFonts w:ascii="Arial" w:cs="Arial" w:eastAsia="Arial" w:hAnsi="Arial"/>
          <w:color w:val="2E2620"/>
          <w:sz w:val="22"/>
          <w:szCs w:val="22"/>
        </w:rPr>
        <w:t xml:space="preserve">Bronze badge: warm bronze fill (#A0522D), white text.</w:t>
      </w:r>
    </w:p>
    <w:p>
      <w:pPr>
        <w:pStyle w:val="ListParagraph"/>
        <w:numPr>
          <w:ilvl w:val="0"/>
          <w:numId w:val="2"/>
        </w:numPr>
        <w:spacing w:before="60" w:after="60"/>
      </w:pPr>
      <w:r>
        <w:rPr>
          <w:rFonts w:ascii="Arial" w:cs="Arial" w:eastAsia="Arial" w:hAnsi="Arial"/>
          <w:color w:val="2E2620"/>
          <w:sz w:val="22"/>
          <w:szCs w:val="22"/>
        </w:rPr>
        <w:t xml:space="preserve">In Assay badge: outline only (no fill), brass border at 60% opacity (#C9A96E99), brass text. Signals provisional, not absent. Tooltip on hover: 'This community is currently being assessed for a Burnish Score.'</w:t>
      </w:r>
    </w:p>
    <w:p>
      <w:pPr>
        <w:pStyle w:val="ListParagraph"/>
        <w:numPr>
          <w:ilvl w:val="0"/>
          <w:numId w:val="2"/>
        </w:numPr>
        <w:spacing w:before="60" w:after="60"/>
      </w:pPr>
      <w:r>
        <w:rPr>
          <w:rFonts w:ascii="Arial" w:cs="Arial" w:eastAsia="Arial" w:hAnsi="Arial"/>
          <w:color w:val="2E2620"/>
          <w:sz w:val="22"/>
          <w:szCs w:val="22"/>
        </w:rPr>
        <w:t xml:space="preserve">Listed Only: no badge rendered. Community card displays no score element.</w:t>
      </w:r>
    </w:p>
    <w:p>
      <w:pPr>
        <w:spacing w:before="80" w:after="80"/>
      </w:pPr>
      <w:r>
        <w:t xml:space="preserve"/>
      </w:r>
    </w:p>
    <w:p>
      <w:pPr>
        <w:spacing w:before="80" w:after="120"/>
      </w:pPr>
      <w:r>
        <w:rPr>
          <w:rFonts w:ascii="Arial" w:cs="Arial" w:eastAsia="Arial" w:hAnsi="Arial"/>
          <w:color w:val="2E2620"/>
          <w:sz w:val="22"/>
          <w:szCs w:val="22"/>
        </w:rPr>
        <w:t xml:space="preserve">Badge shape: pill/rounded rectangle, Jost uppercase 9px, letter-spacing 3px. Consistent dimensions across all tiers. Never render two badges on the same card.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4160"/>
      </w:tblGrid>
      <w:tr>
        <w:trPr>
          <w:tblHeader/>
        </w:trPr>
        <w:tc>
          <w:tcPr>
            <w:tcW w:type="dxa" w:w="2200"/>
            <w:tcBorders>
              <w:top w:val="single" w:color="CCCCCC" w:sz="1"/>
              <w:left w:val="single" w:color="CCCCCC" w:sz="1"/>
              <w:bottom w:val="single" w:color="CCCCCC" w:sz="1"/>
              <w:right w:val="single" w:color="CCCCCC" w:sz="1"/>
            </w:tcBorders>
            <w:shd w:fill="2E2620" w:val="clear"/>
            <w:tcMar>
              <w:top w:type="dxa" w:w="100"/>
              <w:left w:type="dxa" w:w="150"/>
              <w:bottom w:type="dxa" w:w="100"/>
              <w:right w:type="dxa" w:w="150"/>
            </w:tcMar>
          </w:tcPr>
          <w:p>
            <w:r>
              <w:rPr>
                <w:rFonts w:ascii="Arial" w:cs="Arial" w:eastAsia="Arial" w:hAnsi="Arial"/>
                <w:b/>
                <w:bCs/>
                <w:color w:val="FFFFFF"/>
                <w:sz w:val="20"/>
                <w:szCs w:val="20"/>
              </w:rPr>
              <w:t xml:space="preserve">TIER</w:t>
            </w:r>
          </w:p>
        </w:tc>
        <w:tc>
          <w:tcPr>
            <w:tcW w:type="dxa" w:w="1500"/>
            <w:tcBorders>
              <w:top w:val="single" w:color="CCCCCC" w:sz="1"/>
              <w:left w:val="single" w:color="CCCCCC" w:sz="1"/>
              <w:bottom w:val="single" w:color="CCCCCC" w:sz="1"/>
              <w:right w:val="single" w:color="CCCCCC" w:sz="1"/>
            </w:tcBorders>
            <w:shd w:fill="2E2620" w:val="clear"/>
            <w:tcMar>
              <w:top w:type="dxa" w:w="100"/>
              <w:left w:type="dxa" w:w="150"/>
              <w:bottom w:type="dxa" w:w="100"/>
              <w:right w:type="dxa" w:w="150"/>
            </w:tcMar>
          </w:tcPr>
          <w:p>
            <w:r>
              <w:rPr>
                <w:rFonts w:ascii="Arial" w:cs="Arial" w:eastAsia="Arial" w:hAnsi="Arial"/>
                <w:b/>
                <w:bCs/>
                <w:color w:val="FFFFFF"/>
                <w:sz w:val="20"/>
                <w:szCs w:val="20"/>
              </w:rPr>
              <w:t xml:space="preserve">SCORE RANGE</w:t>
            </w:r>
          </w:p>
        </w:tc>
        <w:tc>
          <w:tcPr>
            <w:tcW w:type="dxa" w:w="1500"/>
            <w:tcBorders>
              <w:top w:val="single" w:color="CCCCCC" w:sz="1"/>
              <w:left w:val="single" w:color="CCCCCC" w:sz="1"/>
              <w:bottom w:val="single" w:color="CCCCCC" w:sz="1"/>
              <w:right w:val="single" w:color="CCCCCC" w:sz="1"/>
            </w:tcBorders>
            <w:shd w:fill="2E2620" w:val="clear"/>
            <w:tcMar>
              <w:top w:type="dxa" w:w="100"/>
              <w:left w:type="dxa" w:w="150"/>
              <w:bottom w:type="dxa" w:w="100"/>
              <w:right w:type="dxa" w:w="150"/>
            </w:tcMar>
          </w:tcPr>
          <w:p>
            <w:r>
              <w:rPr>
                <w:rFonts w:ascii="Arial" w:cs="Arial" w:eastAsia="Arial" w:hAnsi="Arial"/>
                <w:b/>
                <w:bCs/>
                <w:color w:val="FFFFFF"/>
                <w:sz w:val="20"/>
                <w:szCs w:val="20"/>
              </w:rPr>
              <w:t xml:space="preserve">BADGE COLOR</w:t>
            </w:r>
          </w:p>
        </w:tc>
        <w:tc>
          <w:tcPr>
            <w:tcW w:type="dxa" w:w="4160"/>
            <w:tcBorders>
              <w:top w:val="single" w:color="CCCCCC" w:sz="1"/>
              <w:left w:val="single" w:color="CCCCCC" w:sz="1"/>
              <w:bottom w:val="single" w:color="CCCCCC" w:sz="1"/>
              <w:right w:val="single" w:color="CCCCCC" w:sz="1"/>
            </w:tcBorders>
            <w:shd w:fill="2E2620" w:val="clear"/>
            <w:tcMar>
              <w:top w:type="dxa" w:w="100"/>
              <w:left w:type="dxa" w:w="150"/>
              <w:bottom w:type="dxa" w:w="100"/>
              <w:right w:type="dxa" w:w="150"/>
            </w:tcMar>
          </w:tcPr>
          <w:p>
            <w:r>
              <w:rPr>
                <w:rFonts w:ascii="Arial" w:cs="Arial" w:eastAsia="Arial" w:hAnsi="Arial"/>
                <w:b/>
                <w:bCs/>
                <w:color w:val="FFFFFF"/>
                <w:sz w:val="20"/>
                <w:szCs w:val="20"/>
              </w:rPr>
              <w:t xml:space="preserve">MEANING</w:t>
            </w:r>
          </w:p>
        </w:tc>
      </w:tr>
      <w:tr>
        <w:tc>
          <w:tcPr>
            <w:tcW w:type="dxa" w:w="2200"/>
            <w:tcBorders>
              <w:top w:val="single" w:color="CCCCCC" w:sz="1"/>
              <w:left w:val="single" w:color="CCCCCC" w:sz="1"/>
              <w:bottom w:val="single" w:color="CCCCCC" w:sz="1"/>
              <w:right w:val="single" w:color="CCCCCC" w:sz="1"/>
            </w:tcBorders>
            <w:shd w:fill="4A7A9B" w:val="clear"/>
            <w:tcMar>
              <w:top w:type="dxa" w:w="80"/>
              <w:left w:type="dxa" w:w="150"/>
              <w:bottom w:type="dxa" w:w="80"/>
              <w:right w:type="dxa" w:w="150"/>
            </w:tcMar>
          </w:tcPr>
          <w:p>
            <w:r>
              <w:rPr>
                <w:rFonts w:ascii="Arial" w:cs="Arial" w:eastAsia="Arial" w:hAnsi="Arial"/>
                <w:b/>
                <w:bCs/>
                <w:color w:val="FFFFFF"/>
                <w:sz w:val="20"/>
                <w:szCs w:val="20"/>
              </w:rPr>
              <w:t xml:space="preserve">BURNISH PLATINUM</w:t>
            </w:r>
          </w:p>
        </w:tc>
        <w:tc>
          <w:tcPr>
            <w:tcW w:type="dxa" w:w="150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90–100</w:t>
            </w:r>
          </w:p>
        </w:tc>
        <w:tc>
          <w:tcPr>
            <w:tcW w:type="dxa" w:w="150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#6B8FAF (Silver-Blue)</w:t>
            </w:r>
          </w:p>
        </w:tc>
        <w:tc>
          <w:tcPr>
            <w:tcW w:type="dxa" w:w="416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Exceptional in all categories. Reserved — very few communities qualify.</w:t>
            </w:r>
          </w:p>
        </w:tc>
      </w:tr>
      <w:tr>
        <w:tc>
          <w:tcPr>
            <w:tcW w:type="dxa" w:w="2200"/>
            <w:tcBorders>
              <w:top w:val="single" w:color="CCCCCC" w:sz="1"/>
              <w:left w:val="single" w:color="CCCCCC" w:sz="1"/>
              <w:bottom w:val="single" w:color="CCCCCC" w:sz="1"/>
              <w:right w:val="single" w:color="CCCCCC" w:sz="1"/>
            </w:tcBorders>
            <w:shd w:fill="B8922A" w:val="clear"/>
            <w:tcMar>
              <w:top w:type="dxa" w:w="80"/>
              <w:left w:type="dxa" w:w="150"/>
              <w:bottom w:type="dxa" w:w="80"/>
              <w:right w:type="dxa" w:w="150"/>
            </w:tcMar>
          </w:tcPr>
          <w:p>
            <w:r>
              <w:rPr>
                <w:rFonts w:ascii="Arial" w:cs="Arial" w:eastAsia="Arial" w:hAnsi="Arial"/>
                <w:b/>
                <w:bCs/>
                <w:color w:val="FFFFFF"/>
                <w:sz w:val="20"/>
                <w:szCs w:val="20"/>
              </w:rPr>
              <w:t xml:space="preserve">BURNISH GOLD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E2620"/>
                <w:sz w:val="20"/>
                <w:szCs w:val="20"/>
              </w:rPr>
              <w:t xml:space="preserve">75–89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E2620"/>
                <w:sz w:val="20"/>
                <w:szCs w:val="20"/>
              </w:rPr>
              <w:t xml:space="preserve">#B8922A (Gold)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E2620"/>
                <w:sz w:val="20"/>
                <w:szCs w:val="20"/>
              </w:rPr>
              <w:t xml:space="preserve">Highly recommended. Strong across most or all categories.</w:t>
            </w:r>
          </w:p>
        </w:tc>
      </w:tr>
      <w:tr>
        <w:tc>
          <w:tcPr>
            <w:tcW w:type="dxa" w:w="2200"/>
            <w:tcBorders>
              <w:top w:val="single" w:color="CCCCCC" w:sz="1"/>
              <w:left w:val="single" w:color="CCCCCC" w:sz="1"/>
              <w:bottom w:val="single" w:color="CCCCCC" w:sz="1"/>
              <w:right w:val="single" w:color="CCCCCC" w:sz="1"/>
            </w:tcBorders>
            <w:shd w:fill="7A7A7A" w:val="clear"/>
            <w:tcMar>
              <w:top w:type="dxa" w:w="80"/>
              <w:left w:type="dxa" w:w="150"/>
              <w:bottom w:type="dxa" w:w="80"/>
              <w:right w:type="dxa" w:w="150"/>
            </w:tcMar>
          </w:tcPr>
          <w:p>
            <w:r>
              <w:rPr>
                <w:rFonts w:ascii="Arial" w:cs="Arial" w:eastAsia="Arial" w:hAnsi="Arial"/>
                <w:b/>
                <w:bCs/>
                <w:color w:val="FFFFFF"/>
                <w:sz w:val="20"/>
                <w:szCs w:val="20"/>
              </w:rPr>
              <w:t xml:space="preserve">BURNISH SILVER</w:t>
            </w:r>
          </w:p>
        </w:tc>
        <w:tc>
          <w:tcPr>
            <w:tcW w:type="dxa" w:w="150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60–74</w:t>
            </w:r>
          </w:p>
        </w:tc>
        <w:tc>
          <w:tcPr>
            <w:tcW w:type="dxa" w:w="150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#8A8A8A (Silver)</w:t>
            </w:r>
          </w:p>
        </w:tc>
        <w:tc>
          <w:tcPr>
            <w:tcW w:type="dxa" w:w="416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Solid and reviewed. Notable strengths with some considerations.</w:t>
            </w:r>
          </w:p>
        </w:tc>
      </w:tr>
      <w:tr>
        <w:tc>
          <w:tcPr>
            <w:tcW w:type="dxa" w:w="2200"/>
            <w:tcBorders>
              <w:top w:val="single" w:color="CCCCCC" w:sz="1"/>
              <w:left w:val="single" w:color="CCCCCC" w:sz="1"/>
              <w:bottom w:val="single" w:color="CCCCCC" w:sz="1"/>
              <w:right w:val="single" w:color="CCCCCC" w:sz="1"/>
            </w:tcBorders>
            <w:shd w:fill="8B4513" w:val="clear"/>
            <w:tcMar>
              <w:top w:type="dxa" w:w="80"/>
              <w:left w:type="dxa" w:w="150"/>
              <w:bottom w:type="dxa" w:w="80"/>
              <w:right w:type="dxa" w:w="150"/>
            </w:tcMar>
          </w:tcPr>
          <w:p>
            <w:r>
              <w:rPr>
                <w:rFonts w:ascii="Arial" w:cs="Arial" w:eastAsia="Arial" w:hAnsi="Arial"/>
                <w:b/>
                <w:bCs/>
                <w:color w:val="FFFFFF"/>
                <w:sz w:val="20"/>
                <w:szCs w:val="20"/>
              </w:rPr>
              <w:t xml:space="preserve">BURNISH BRONZE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E2620"/>
                <w:sz w:val="20"/>
                <w:szCs w:val="20"/>
              </w:rPr>
              <w:t xml:space="preserve">45–59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E2620"/>
                <w:sz w:val="20"/>
                <w:szCs w:val="20"/>
              </w:rPr>
              <w:t xml:space="preserve">#A0522D (Bronze)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E2620"/>
                <w:sz w:val="20"/>
                <w:szCs w:val="20"/>
              </w:rPr>
              <w:t xml:space="preserve">Listed and reviewed. May suit specific needs or budgets.</w:t>
            </w:r>
          </w:p>
        </w:tc>
      </w:tr>
      <w:tr>
        <w:tc>
          <w:tcPr>
            <w:tcW w:type="dxa" w:w="220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IN ASSAY</w:t>
            </w:r>
          </w:p>
        </w:tc>
        <w:tc>
          <w:tcPr>
            <w:tcW w:type="dxa" w:w="150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Pending</w:t>
            </w:r>
          </w:p>
        </w:tc>
        <w:tc>
          <w:tcPr>
            <w:tcW w:type="dxa" w:w="150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Brass outline</w:t>
            </w:r>
          </w:p>
        </w:tc>
        <w:tc>
          <w:tcPr>
            <w:tcW w:type="dxa" w:w="416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Assessment in progress. Score forthcoming.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E2620"/>
                <w:sz w:val="20"/>
                <w:szCs w:val="20"/>
              </w:rPr>
              <w:t xml:space="preserve">LISTED ONLY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E2620"/>
                <w:sz w:val="20"/>
                <w:szCs w:val="20"/>
              </w:rPr>
              <w:t xml:space="preserve">Below 45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E2620"/>
                <w:sz w:val="20"/>
                <w:szCs w:val="20"/>
              </w:rPr>
              <w:t xml:space="preserve">No badge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E2620"/>
                <w:sz w:val="20"/>
                <w:szCs w:val="20"/>
              </w:rPr>
              <w:t xml:space="preserve">In directory with no editorial write-up.</w:t>
            </w:r>
          </w:p>
        </w:tc>
      </w:tr>
    </w:tbl>
    <w:p>
      <w:pPr>
        <w:spacing w:before="80" w:after="80"/>
      </w:pPr>
      <w:r>
        <w:t xml:space="preserve"/>
      </w:r>
    </w:p>
    <w:p>
      <w:pPr>
        <w:pStyle w:val="Heading2"/>
        <w:spacing w:before="320" w:after="120"/>
      </w:pPr>
      <w:r>
        <w:rPr>
          <w:rFonts w:ascii="Arial" w:cs="Arial" w:eastAsia="Arial" w:hAnsi="Arial"/>
          <w:b/>
          <w:bCs/>
          <w:color w:val="2E2620"/>
          <w:sz w:val="24"/>
          <w:szCs w:val="24"/>
        </w:rPr>
        <w:t xml:space="preserve">2.4  Spatial &amp; Layout Principles</w:t>
      </w:r>
    </w:p>
    <w:p>
      <w:pPr>
        <w:pStyle w:val="ListParagraph"/>
        <w:numPr>
          <w:ilvl w:val="0"/>
          <w:numId w:val="2"/>
        </w:numPr>
        <w:spacing w:before="60" w:after="60"/>
      </w:pPr>
      <w:r>
        <w:rPr>
          <w:rFonts w:ascii="Arial" w:cs="Arial" w:eastAsia="Arial" w:hAnsi="Arial"/>
          <w:color w:val="2E2620"/>
          <w:sz w:val="22"/>
          <w:szCs w:val="22"/>
        </w:rPr>
        <w:t xml:space="preserve">Generous whitespace — the brand breathes. Do not crowd content.</w:t>
      </w:r>
    </w:p>
    <w:p>
      <w:pPr>
        <w:pStyle w:val="ListParagraph"/>
        <w:numPr>
          <w:ilvl w:val="0"/>
          <w:numId w:val="2"/>
        </w:numPr>
        <w:spacing w:before="60" w:after="60"/>
      </w:pPr>
      <w:r>
        <w:rPr>
          <w:rFonts w:ascii="Arial" w:cs="Arial" w:eastAsia="Arial" w:hAnsi="Arial"/>
          <w:color w:val="2E2620"/>
          <w:sz w:val="22"/>
          <w:szCs w:val="22"/>
        </w:rPr>
        <w:t xml:space="preserve">Max content width: 1140px centered</w:t>
      </w:r>
    </w:p>
    <w:p>
      <w:pPr>
        <w:pStyle w:val="ListParagraph"/>
        <w:numPr>
          <w:ilvl w:val="0"/>
          <w:numId w:val="2"/>
        </w:numPr>
        <w:spacing w:before="60" w:after="60"/>
      </w:pPr>
      <w:r>
        <w:rPr>
          <w:rFonts w:ascii="Arial" w:cs="Arial" w:eastAsia="Arial" w:hAnsi="Arial"/>
          <w:color w:val="2E2620"/>
          <w:sz w:val="22"/>
          <w:szCs w:val="22"/>
        </w:rPr>
        <w:t xml:space="preserve">Grid: 12-column with 40px gutters on desktop; single column on mobile</w:t>
      </w:r>
    </w:p>
    <w:p>
      <w:pPr>
        <w:pStyle w:val="ListParagraph"/>
        <w:numPr>
          <w:ilvl w:val="0"/>
          <w:numId w:val="2"/>
        </w:numPr>
        <w:spacing w:before="60" w:after="60"/>
      </w:pPr>
      <w:r>
        <w:rPr>
          <w:rFonts w:ascii="Arial" w:cs="Arial" w:eastAsia="Arial" w:hAnsi="Arial"/>
          <w:color w:val="2E2620"/>
          <w:sz w:val="22"/>
          <w:szCs w:val="22"/>
        </w:rPr>
        <w:t xml:space="preserve">Consistent section padding: 80–100px vertical on desktop</w:t>
      </w:r>
    </w:p>
    <w:p>
      <w:pPr>
        <w:pStyle w:val="ListParagraph"/>
        <w:numPr>
          <w:ilvl w:val="0"/>
          <w:numId w:val="2"/>
        </w:numPr>
        <w:spacing w:before="60" w:after="60"/>
      </w:pPr>
      <w:r>
        <w:rPr>
          <w:rFonts w:ascii="Arial" w:cs="Arial" w:eastAsia="Arial" w:hAnsi="Arial"/>
          <w:color w:val="2E2620"/>
          <w:sz w:val="22"/>
          <w:szCs w:val="22"/>
        </w:rPr>
        <w:t xml:space="preserve">Cards: subtle box-shadow (0 2px 30px rgba 10% opacity), 2px border-radius only — almost square corners</w:t>
      </w:r>
    </w:p>
    <w:p>
      <w:pPr>
        <w:pStyle w:val="ListParagraph"/>
        <w:numPr>
          <w:ilvl w:val="0"/>
          <w:numId w:val="2"/>
        </w:numPr>
        <w:spacing w:before="60" w:after="60"/>
      </w:pPr>
      <w:r>
        <w:rPr>
          <w:rFonts w:ascii="Arial" w:cs="Arial" w:eastAsia="Arial" w:hAnsi="Arial"/>
          <w:color w:val="2E2620"/>
          <w:sz w:val="22"/>
          <w:szCs w:val="22"/>
        </w:rPr>
        <w:t xml:space="preserve">Dividers: 1px lines in brass (#C9A96E at 15–20% opacity) — never heavy rules</w:t>
      </w:r>
    </w:p>
    <w:p>
      <w:pPr>
        <w:pStyle w:val="ListParagraph"/>
        <w:numPr>
          <w:ilvl w:val="0"/>
          <w:numId w:val="2"/>
        </w:numPr>
        <w:spacing w:before="60" w:after="60"/>
      </w:pPr>
      <w:r>
        <w:rPr>
          <w:rFonts w:ascii="Arial" w:cs="Arial" w:eastAsia="Arial" w:hAnsi="Arial"/>
          <w:color w:val="2E2620"/>
          <w:sz w:val="22"/>
          <w:szCs w:val="22"/>
        </w:rPr>
        <w:t xml:space="preserve">Avoid icon-heavy design — text and typography do the work</w:t>
      </w:r>
    </w:p>
    <w:p>
      <w:pPr>
        <w:pStyle w:val="Heading2"/>
        <w:spacing w:before="320" w:after="120"/>
      </w:pPr>
      <w:r>
        <w:rPr>
          <w:rFonts w:ascii="Arial" w:cs="Arial" w:eastAsia="Arial" w:hAnsi="Arial"/>
          <w:b/>
          <w:bCs/>
          <w:color w:val="2E2620"/>
          <w:sz w:val="24"/>
          <w:szCs w:val="24"/>
        </w:rPr>
        <w:t xml:space="preserve">2.5  Dark / Light Mode Toggle</w:t>
      </w:r>
    </w:p>
    <w:p>
      <w:pPr>
        <w:pStyle w:val="ListParagraph"/>
        <w:numPr>
          <w:ilvl w:val="0"/>
          <w:numId w:val="2"/>
        </w:numPr>
        <w:spacing w:before="60" w:after="60"/>
      </w:pPr>
      <w:r>
        <w:rPr>
          <w:rFonts w:ascii="Arial" w:cs="Arial" w:eastAsia="Arial" w:hAnsi="Arial"/>
          <w:color w:val="2E2620"/>
          <w:sz w:val="22"/>
          <w:szCs w:val="22"/>
        </w:rPr>
        <w:t xml:space="preserve">Implement as a persistent user preference stored in localStorage</w:t>
      </w:r>
    </w:p>
    <w:p>
      <w:pPr>
        <w:pStyle w:val="ListParagraph"/>
        <w:numPr>
          <w:ilvl w:val="0"/>
          <w:numId w:val="2"/>
        </w:numPr>
        <w:spacing w:before="60" w:after="60"/>
      </w:pPr>
      <w:r>
        <w:rPr>
          <w:rFonts w:ascii="Arial" w:cs="Arial" w:eastAsia="Arial" w:hAnsi="Arial"/>
          <w:color w:val="2E2620"/>
          <w:sz w:val="22"/>
          <w:szCs w:val="22"/>
        </w:rPr>
        <w:t xml:space="preserve">Toggle should be accessible from the navigation bar — subtle, not a prominent UI element</w:t>
      </w:r>
    </w:p>
    <w:p>
      <w:pPr>
        <w:pStyle w:val="ListParagraph"/>
        <w:numPr>
          <w:ilvl w:val="0"/>
          <w:numId w:val="2"/>
        </w:numPr>
        <w:spacing w:before="60" w:after="60"/>
      </w:pPr>
      <w:r>
        <w:rPr>
          <w:rFonts w:ascii="Arial" w:cs="Arial" w:eastAsia="Arial" w:hAnsi="Arial"/>
          <w:color w:val="2E2620"/>
          <w:sz w:val="22"/>
          <w:szCs w:val="22"/>
        </w:rPr>
        <w:t xml:space="preserve">Default to dark mode on first visit — it is the primary brand impression</w:t>
      </w:r>
    </w:p>
    <w:p>
      <w:pPr>
        <w:pStyle w:val="ListParagraph"/>
        <w:numPr>
          <w:ilvl w:val="0"/>
          <w:numId w:val="2"/>
        </w:numPr>
        <w:spacing w:before="60" w:after="60"/>
      </w:pPr>
      <w:r>
        <w:rPr>
          <w:rFonts w:ascii="Arial" w:cs="Arial" w:eastAsia="Arial" w:hAnsi="Arial"/>
          <w:color w:val="2E2620"/>
          <w:sz w:val="22"/>
          <w:szCs w:val="22"/>
        </w:rPr>
        <w:t xml:space="preserve">Transition between modes: smooth CSS transition, 300ms, on background and text colors</w:t>
      </w:r>
    </w:p>
    <w:p>
      <w:pPr>
        <w:pStyle w:val="ListParagraph"/>
        <w:numPr>
          <w:ilvl w:val="0"/>
          <w:numId w:val="2"/>
        </w:numPr>
        <w:spacing w:before="60" w:after="60"/>
      </w:pPr>
      <w:r>
        <w:rPr>
          <w:rFonts w:ascii="Arial" w:cs="Arial" w:eastAsia="Arial" w:hAnsi="Arial"/>
          <w:color w:val="2E2620"/>
          <w:sz w:val="22"/>
          <w:szCs w:val="22"/>
        </w:rPr>
        <w:t xml:space="preserve">All components must be designed and tested in both modes before shipping</w:t>
      </w:r>
    </w:p>
    <w:p>
      <w:pPr>
        <w:pBdr>
          <w:bottom w:val="single" w:color="C9A96E" w:sz="4" w:space="1"/>
        </w:pBdr>
        <w:spacing w:before="200" w:after="200"/>
      </w:pPr>
      <w:r>
        <w:t xml:space="preserve"/>
      </w:r>
    </w:p>
    <w:p>
      <w:pPr>
        <w:pStyle w:val="Heading1"/>
        <w:spacing w:before="480" w:after="160"/>
      </w:pPr>
      <w:r>
        <w:rPr>
          <w:rFonts w:ascii="Arial" w:cs="Arial" w:eastAsia="Arial" w:hAnsi="Arial"/>
          <w:b/>
          <w:bCs/>
          <w:color w:val="2E2620"/>
          <w:sz w:val="32"/>
          <w:szCs w:val="32"/>
        </w:rPr>
        <w:t xml:space="preserve">3. The Burnish Scoring Methodology</w:t>
      </w:r>
    </w:p>
    <w:p>
      <w:pPr>
        <w:spacing w:before="80" w:after="120"/>
      </w:pPr>
      <w:r>
        <w:rPr>
          <w:rFonts w:ascii="Arial" w:cs="Arial" w:eastAsia="Arial" w:hAnsi="Arial"/>
          <w:color w:val="2E2620"/>
          <w:sz w:val="22"/>
          <w:szCs w:val="22"/>
        </w:rPr>
        <w:t xml:space="preserve">The Burnish Score is a proprietary 0–100 score assigned to communities based on five weighted categories. The methodology is published publicly on The Burnish Standard page. It is Burnish's primary trust-building and differentiation asset.</w:t>
      </w:r>
    </w:p>
    <w:p>
      <w:pPr>
        <w:pStyle w:val="Heading2"/>
        <w:spacing w:before="320" w:after="120"/>
      </w:pPr>
      <w:r>
        <w:rPr>
          <w:rFonts w:ascii="Arial" w:cs="Arial" w:eastAsia="Arial" w:hAnsi="Arial"/>
          <w:b/>
          <w:bCs/>
          <w:color w:val="2E2620"/>
          <w:sz w:val="24"/>
          <w:szCs w:val="24"/>
        </w:rPr>
        <w:t xml:space="preserve">3.1  Scoring Categories &amp; Weights</w:t>
      </w:r>
    </w:p>
    <w:p>
      <w:pPr>
        <w:spacing w:before="80" w:after="120"/>
      </w:pPr>
      <w:r>
        <w:rPr>
          <w:rFonts w:ascii="Arial" w:cs="Arial" w:eastAsia="Arial" w:hAnsi="Arial"/>
          <w:color w:val="2E2620"/>
          <w:sz w:val="22"/>
          <w:szCs w:val="22"/>
        </w:rPr>
        <w:t xml:space="preserve">The five categories are weighted to reflect what Burnish believes matters most to families and residents. The weighting is intentional and should be explained on The Burnish Standard page.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2E2620" w:val="clear"/>
            <w:tcMar>
              <w:top w:type="dxa" w:w="100"/>
              <w:left w:type="dxa" w:w="150"/>
              <w:bottom w:type="dxa" w:w="100"/>
              <w:right w:type="dxa" w:w="150"/>
            </w:tcMar>
          </w:tcPr>
          <w:p>
            <w:r>
              <w:rPr>
                <w:rFonts w:ascii="Arial" w:cs="Arial" w:eastAsia="Arial" w:hAnsi="Arial"/>
                <w:b/>
                <w:bCs/>
                <w:color w:val="FFFFFF"/>
                <w:sz w:val="20"/>
                <w:szCs w:val="20"/>
              </w:rPr>
              <w:t xml:space="preserve">CATEGORY</w:t>
            </w:r>
          </w:p>
        </w:tc>
        <w:tc>
          <w:tcPr>
            <w:tcW w:type="dxa" w:w="1200"/>
            <w:tcBorders>
              <w:top w:val="single" w:color="CCCCCC" w:sz="1"/>
              <w:left w:val="single" w:color="CCCCCC" w:sz="1"/>
              <w:bottom w:val="single" w:color="CCCCCC" w:sz="1"/>
              <w:right w:val="single" w:color="CCCCCC" w:sz="1"/>
            </w:tcBorders>
            <w:shd w:fill="2E2620" w:val="clear"/>
            <w:tcMar>
              <w:top w:type="dxa" w:w="100"/>
              <w:left w:type="dxa" w:w="150"/>
              <w:bottom w:type="dxa" w:w="100"/>
              <w:right w:type="dxa" w:w="150"/>
            </w:tcMar>
          </w:tcPr>
          <w:p>
            <w:r>
              <w:rPr>
                <w:rFonts w:ascii="Arial" w:cs="Arial" w:eastAsia="Arial" w:hAnsi="Arial"/>
                <w:b/>
                <w:bCs/>
                <w:color w:val="FFFFFF"/>
                <w:sz w:val="20"/>
                <w:szCs w:val="20"/>
              </w:rPr>
              <w:t xml:space="preserve">WEIGHT</w:t>
            </w:r>
          </w:p>
        </w:tc>
        <w:tc>
          <w:tcPr>
            <w:tcW w:type="dxa" w:w="5360"/>
            <w:tcBorders>
              <w:top w:val="single" w:color="CCCCCC" w:sz="1"/>
              <w:left w:val="single" w:color="CCCCCC" w:sz="1"/>
              <w:bottom w:val="single" w:color="CCCCCC" w:sz="1"/>
              <w:right w:val="single" w:color="CCCCCC" w:sz="1"/>
            </w:tcBorders>
            <w:shd w:fill="2E2620" w:val="clear"/>
            <w:tcMar>
              <w:top w:type="dxa" w:w="100"/>
              <w:left w:type="dxa" w:w="150"/>
              <w:bottom w:type="dxa" w:w="100"/>
              <w:right w:type="dxa" w:w="150"/>
            </w:tcMa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Care Quality &amp; Staff</w:t>
            </w:r>
          </w:p>
        </w:tc>
        <w:tc>
          <w:tcPr>
            <w:tcW w:type="dxa" w:w="120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30 points</w:t>
            </w:r>
          </w:p>
        </w:tc>
        <w:tc>
          <w:tcPr>
            <w:tcW w:type="dxa" w:w="536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State inspection scores, deficiency reports, staff-to-resident ratio, staff tenure, specialized certifications (especially memory care). Sourced from CMS Care Compare and facility verification.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E2620"/>
                <w:sz w:val="20"/>
                <w:szCs w:val="20"/>
              </w:rPr>
              <w:t xml:space="preserve">Residential Experience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E2620"/>
                <w:sz w:val="20"/>
                <w:szCs w:val="20"/>
              </w:rPr>
              <w:t xml:space="preserve">20 points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E2620"/>
                <w:sz w:val="20"/>
                <w:szCs w:val="20"/>
              </w:rPr>
              <w:t xml:space="preserve">Physical environment, design quality, private vs. shared spaces, outdoor grounds, overall aesthetic standard. Primary question: would someone with taste actually want to live here?</w:t>
            </w:r>
          </w:p>
        </w:tc>
      </w:tr>
      <w:tr>
        <w:tc>
          <w:tcPr>
            <w:tcW w:type="dxa" w:w="280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Dining &amp; Culinary Program</w:t>
            </w:r>
          </w:p>
        </w:tc>
        <w:tc>
          <w:tcPr>
            <w:tcW w:type="dxa" w:w="120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20 points</w:t>
            </w:r>
          </w:p>
        </w:tc>
        <w:tc>
          <w:tcPr>
            <w:tcW w:type="dxa" w:w="536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Chef credentials, menu variety and quality, dining room ambiance, private dining availability, special dietary accommodation. A major signal of overall community quality.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E2620"/>
                <w:sz w:val="20"/>
                <w:szCs w:val="20"/>
              </w:rPr>
              <w:t xml:space="preserve">Life &amp; Community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E2620"/>
                <w:sz w:val="20"/>
                <w:szCs w:val="20"/>
              </w:rPr>
              <w:t xml:space="preserve">15 points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E2620"/>
                <w:sz w:val="20"/>
                <w:szCs w:val="20"/>
              </w:rPr>
              <w:t xml:space="preserve">Programming breadth and quality, social calendar, fitness offerings, cultural events, transportation, concierge services. The joie de vivre dimension.</w:t>
            </w:r>
          </w:p>
        </w:tc>
      </w:tr>
      <w:tr>
        <w:tc>
          <w:tcPr>
            <w:tcW w:type="dxa" w:w="280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Family Experience</w:t>
            </w:r>
          </w:p>
        </w:tc>
        <w:tc>
          <w:tcPr>
            <w:tcW w:type="dxa" w:w="120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15 points</w:t>
            </w:r>
          </w:p>
        </w:tc>
        <w:tc>
          <w:tcPr>
            <w:tcW w:type="dxa" w:w="536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Communication practices, transparency, visitor policies, family satisfaction data where available. Speaks directly to the adult-child audience.</w:t>
            </w:r>
          </w:p>
        </w:tc>
      </w:tr>
    </w:tbl>
    <w:p>
      <w:pPr>
        <w:spacing w:before="80" w:after="80"/>
      </w:pPr>
      <w:r>
        <w:t xml:space="preserve"/>
      </w:r>
    </w:p>
    <w:p>
      <w:pPr>
        <w:pStyle w:val="Heading2"/>
        <w:spacing w:before="320" w:after="120"/>
      </w:pPr>
      <w:r>
        <w:rPr>
          <w:rFonts w:ascii="Arial" w:cs="Arial" w:eastAsia="Arial" w:hAnsi="Arial"/>
          <w:b/>
          <w:bCs/>
          <w:color w:val="2E2620"/>
          <w:sz w:val="24"/>
          <w:szCs w:val="24"/>
        </w:rPr>
        <w:t xml:space="preserve">3.2  Data Sources by Category</w:t>
      </w:r>
    </w:p>
    <w:p>
      <w:pPr>
        <w:spacing w:before="80" w:after="120"/>
      </w:pPr>
      <w:r>
        <w:rPr>
          <w:rFonts w:ascii="Arial" w:cs="Arial" w:eastAsia="Arial" w:hAnsi="Arial"/>
          <w:b/>
          <w:bCs/>
          <w:color w:val="2E2620"/>
          <w:sz w:val="22"/>
          <w:szCs w:val="22"/>
        </w:rPr>
        <w:t xml:space="preserve">Care Quality &amp; Staff: </w:t>
      </w:r>
      <w:r>
        <w:rPr>
          <w:rFonts w:ascii="Arial" w:cs="Arial" w:eastAsia="Arial" w:hAnsi="Arial"/>
          <w:color w:val="2E2620"/>
          <w:sz w:val="22"/>
          <w:szCs w:val="22"/>
        </w:rPr>
        <w:t xml:space="preserve">CMS Care Compare (publicly available) — provides state inspection scores, deficiency reports, staffing ratios, and health inspection data for all Medicare/Medicaid certified facilities. This is the primary data source for the Care Quality category and requires no facility cooperation.</w:t>
      </w:r>
    </w:p>
    <w:p>
      <w:pPr>
        <w:spacing w:before="80" w:after="120"/>
      </w:pPr>
      <w:r>
        <w:rPr>
          <w:rFonts w:ascii="Arial" w:cs="Arial" w:eastAsia="Arial" w:hAnsi="Arial"/>
          <w:b/>
          <w:bCs/>
          <w:color w:val="2E2620"/>
          <w:sz w:val="22"/>
          <w:szCs w:val="22"/>
        </w:rPr>
        <w:t xml:space="preserve">Residential Experience &amp; Dining: </w:t>
      </w:r>
      <w:r>
        <w:rPr>
          <w:rFonts w:ascii="Arial" w:cs="Arial" w:eastAsia="Arial" w:hAnsi="Arial"/>
          <w:color w:val="2E2620"/>
          <w:sz w:val="22"/>
          <w:szCs w:val="22"/>
        </w:rPr>
        <w:t xml:space="preserve">Facility websites, marketing materials, and Crawl4AI-assisted extraction. Verified and supplemented through direct facility outreach and site visits for Platinum/Gold tier candidates.</w:t>
      </w:r>
    </w:p>
    <w:p>
      <w:pPr>
        <w:spacing w:before="80" w:after="120"/>
      </w:pPr>
      <w:r>
        <w:rPr>
          <w:rFonts w:ascii="Arial" w:cs="Arial" w:eastAsia="Arial" w:hAnsi="Arial"/>
          <w:b/>
          <w:bCs/>
          <w:color w:val="2E2620"/>
          <w:sz w:val="22"/>
          <w:szCs w:val="22"/>
        </w:rPr>
        <w:t xml:space="preserve">Life &amp; Community: </w:t>
      </w:r>
      <w:r>
        <w:rPr>
          <w:rFonts w:ascii="Arial" w:cs="Arial" w:eastAsia="Arial" w:hAnsi="Arial"/>
          <w:color w:val="2E2620"/>
          <w:sz w:val="22"/>
          <w:szCs w:val="22"/>
        </w:rPr>
        <w:t xml:space="preserve">Facility programming calendars, admissions materials, structured questionnaire sent to admissions directors.</w:t>
      </w:r>
    </w:p>
    <w:p>
      <w:pPr>
        <w:spacing w:before="80" w:after="120"/>
      </w:pPr>
      <w:r>
        <w:rPr>
          <w:rFonts w:ascii="Arial" w:cs="Arial" w:eastAsia="Arial" w:hAnsi="Arial"/>
          <w:b/>
          <w:bCs/>
          <w:color w:val="2E2620"/>
          <w:sz w:val="22"/>
          <w:szCs w:val="22"/>
        </w:rPr>
        <w:t xml:space="preserve">Family Experience: </w:t>
      </w:r>
      <w:r>
        <w:rPr>
          <w:rFonts w:ascii="Arial" w:cs="Arial" w:eastAsia="Arial" w:hAnsi="Arial"/>
          <w:color w:val="2E2620"/>
          <w:sz w:val="22"/>
          <w:szCs w:val="22"/>
        </w:rPr>
        <w:t xml:space="preserve">State inspection family satisfaction surveys where available, third-party review aggregation with editorial curation.</w:t>
      </w:r>
    </w:p>
    <w:p>
      <w:pPr>
        <w:spacing w:before="80" w:after="80"/>
      </w:pPr>
      <w:r>
        <w:t xml:space="preserve"/>
      </w:r>
    </w:p>
    <w:p>
      <w:pPr>
        <w:spacing w:before="80" w:after="120"/>
      </w:pPr>
      <w:r>
        <w:rPr>
          <w:rFonts w:ascii="Arial" w:cs="Arial" w:eastAsia="Arial" w:hAnsi="Arial"/>
          <w:color w:val="2E2620"/>
          <w:sz w:val="22"/>
          <w:szCs w:val="22"/>
        </w:rPr>
        <w:t xml:space="preserve">Burnish scores are built in layers: CMS data provides the foundation, facility materials provide enrichment, and direct outreach/site visits provide the final elevation for high-tier scores. Scores are updated annually or when material changes are identified.</w:t>
      </w:r>
    </w:p>
    <w:p>
      <w:pPr>
        <w:pStyle w:val="Heading2"/>
        <w:spacing w:before="320" w:after="120"/>
      </w:pPr>
      <w:r>
        <w:rPr>
          <w:rFonts w:ascii="Arial" w:cs="Arial" w:eastAsia="Arial" w:hAnsi="Arial"/>
          <w:b/>
          <w:bCs/>
          <w:color w:val="2E2620"/>
          <w:sz w:val="24"/>
          <w:szCs w:val="24"/>
        </w:rPr>
        <w:t xml:space="preserve">3.3  In Assay State</w:t>
      </w:r>
    </w:p>
    <w:p>
      <w:pPr>
        <w:spacing w:before="80" w:after="120"/>
      </w:pPr>
      <w:r>
        <w:rPr>
          <w:rFonts w:ascii="Arial" w:cs="Arial" w:eastAsia="Arial" w:hAnsi="Arial"/>
          <w:color w:val="2E2620"/>
          <w:sz w:val="22"/>
          <w:szCs w:val="22"/>
        </w:rPr>
        <w:t xml:space="preserve">Communities that have not yet been scored display the In Assay badge in the same visual position as a numeric score — never an empty field. In Assay signals that assessment is in progress, not that the community was overlooked. Tooltip copy: 'This community is currently being assessed for a Burnish Score. Check back soon.'</w:t>
      </w:r>
    </w:p>
    <w:p>
      <w:pPr>
        <w:pBdr>
          <w:bottom w:val="single" w:color="C9A96E" w:sz="4" w:space="1"/>
        </w:pBdr>
        <w:spacing w:before="200" w:after="200"/>
      </w:pPr>
      <w:r>
        <w:t xml:space="preserve"/>
      </w:r>
    </w:p>
    <w:p>
      <w:pPr>
        <w:pStyle w:val="Heading1"/>
        <w:spacing w:before="480" w:after="160"/>
      </w:pPr>
      <w:r>
        <w:rPr>
          <w:rFonts w:ascii="Arial" w:cs="Arial" w:eastAsia="Arial" w:hAnsi="Arial"/>
          <w:b/>
          <w:bCs/>
          <w:color w:val="2E2620"/>
          <w:sz w:val="32"/>
          <w:szCs w:val="32"/>
        </w:rPr>
        <w:t xml:space="preserve">4. The Burnish Naming System</w:t>
      </w:r>
    </w:p>
    <w:p>
      <w:pPr>
        <w:spacing w:before="80" w:after="120"/>
      </w:pPr>
      <w:r>
        <w:rPr>
          <w:rFonts w:ascii="Arial" w:cs="Arial" w:eastAsia="Arial" w:hAnsi="Arial"/>
          <w:color w:val="2E2620"/>
          <w:sz w:val="22"/>
          <w:szCs w:val="22"/>
        </w:rPr>
        <w:t xml:space="preserve">Burnish uses a naming convention drawn from the world of metalworking, hallmarking, and precious metals. Every named element should reinforce the brand's craft metaphor. The following are the canonical names — do not substitute generic alternatives.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2E2620" w:val="clear"/>
            <w:tcMar>
              <w:top w:type="dxa" w:w="100"/>
              <w:left w:type="dxa" w:w="150"/>
              <w:bottom w:type="dxa" w:w="100"/>
              <w:right w:type="dxa" w:w="150"/>
            </w:tcMar>
          </w:tcPr>
          <w:p>
            <w:r>
              <w:rPr>
                <w:rFonts w:ascii="Arial" w:cs="Arial" w:eastAsia="Arial" w:hAnsi="Arial"/>
                <w:b/>
                <w:bCs/>
                <w:color w:val="FFFFFF"/>
                <w:sz w:val="20"/>
                <w:szCs w:val="20"/>
              </w:rPr>
              <w:t xml:space="preserve">ELEMENT</w:t>
            </w:r>
          </w:p>
        </w:tc>
        <w:tc>
          <w:tcPr>
            <w:tcW w:type="dxa" w:w="2200"/>
            <w:tcBorders>
              <w:top w:val="single" w:color="CCCCCC" w:sz="1"/>
              <w:left w:val="single" w:color="CCCCCC" w:sz="1"/>
              <w:bottom w:val="single" w:color="CCCCCC" w:sz="1"/>
              <w:right w:val="single" w:color="CCCCCC" w:sz="1"/>
            </w:tcBorders>
            <w:shd w:fill="2E2620" w:val="clear"/>
            <w:tcMar>
              <w:top w:type="dxa" w:w="100"/>
              <w:left w:type="dxa" w:w="150"/>
              <w:bottom w:type="dxa" w:w="100"/>
              <w:right w:type="dxa" w:w="150"/>
            </w:tcMar>
          </w:tcPr>
          <w:p>
            <w:r>
              <w:rPr>
                <w:rFonts w:ascii="Arial" w:cs="Arial" w:eastAsia="Arial" w:hAnsi="Arial"/>
                <w:b/>
                <w:bCs/>
                <w:color w:val="FFFFFF"/>
                <w:sz w:val="20"/>
                <w:szCs w:val="20"/>
              </w:rPr>
              <w:t xml:space="preserve">BURNISH NAME</w:t>
            </w:r>
          </w:p>
        </w:tc>
        <w:tc>
          <w:tcPr>
            <w:tcW w:type="dxa" w:w="4960"/>
            <w:tcBorders>
              <w:top w:val="single" w:color="CCCCCC" w:sz="1"/>
              <w:left w:val="single" w:color="CCCCCC" w:sz="1"/>
              <w:bottom w:val="single" w:color="CCCCCC" w:sz="1"/>
              <w:right w:val="single" w:color="CCCCCC" w:sz="1"/>
            </w:tcBorders>
            <w:shd w:fill="2E2620" w:val="clear"/>
            <w:tcMar>
              <w:top w:type="dxa" w:w="100"/>
              <w:left w:type="dxa" w:w="150"/>
              <w:bottom w:type="dxa" w:w="100"/>
              <w:right w:type="dxa" w:w="150"/>
            </w:tcMar>
          </w:tcPr>
          <w:p>
            <w:r>
              <w:rPr>
                <w:rFonts w:ascii="Arial" w:cs="Arial" w:eastAsia="Arial" w:hAnsi="Arial"/>
                <w:b/>
                <w:bCs/>
                <w:color w:val="FFFFFF"/>
                <w:sz w:val="20"/>
                <w:szCs w:val="20"/>
              </w:rPr>
              <w:t xml:space="preserve">DESCRIPTION &amp; USAGE</w:t>
            </w:r>
          </w:p>
        </w:tc>
      </w:tr>
      <w:tr>
        <w:tc>
          <w:tcPr>
            <w:tcW w:type="dxa" w:w="220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Score tiers</w:t>
            </w:r>
          </w:p>
        </w:tc>
        <w:tc>
          <w:tcPr>
            <w:tcW w:type="dxa" w:w="220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Burnish Platinum / Gold / Silver / Bronze</w:t>
            </w:r>
          </w:p>
        </w:tc>
        <w:tc>
          <w:tcPr>
            <w:tcW w:type="dxa" w:w="496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The tier badge rendered on community cards and profiles. One badge per community maximum.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E2620"/>
                <w:sz w:val="20"/>
                <w:szCs w:val="20"/>
              </w:rPr>
              <w:t xml:space="preserve">Score pending state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E2620"/>
                <w:sz w:val="20"/>
                <w:szCs w:val="20"/>
              </w:rPr>
              <w:t xml:space="preserve">In Assay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E2620"/>
                <w:sz w:val="20"/>
                <w:szCs w:val="20"/>
              </w:rPr>
              <w:t xml:space="preserve">Badge shown when a community has not yet received a Burnish Score. Derived from the metallurgical process of testing a material to determine its quality.</w:t>
            </w:r>
          </w:p>
        </w:tc>
      </w:tr>
      <w:tr>
        <w:tc>
          <w:tcPr>
            <w:tcW w:type="dxa" w:w="220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Standout profile details</w:t>
            </w:r>
          </w:p>
        </w:tc>
        <w:tc>
          <w:tcPr>
            <w:tcW w:type="dxa" w:w="220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The Mark</w:t>
            </w:r>
          </w:p>
        </w:tc>
        <w:tc>
          <w:tcPr>
            <w:tcW w:type="dxa" w:w="496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1–3 specific details that Burnish has identified as standout on a community profile. Used only on communities with a score. Label: 'Burnish's Mark on [Community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E2620"/>
                <w:sz w:val="20"/>
                <w:szCs w:val="20"/>
              </w:rPr>
              <w:t xml:space="preserve">Newsletter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E2620"/>
                <w:sz w:val="20"/>
                <w:szCs w:val="20"/>
              </w:rPr>
              <w:t xml:space="preserve">The Burnish Dispatch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E2620"/>
                <w:sz w:val="20"/>
                <w:szCs w:val="20"/>
              </w:rPr>
              <w:t xml:space="preserve">The brand's email newsletter. Dispatched when content is ready. Signup page, footer, and homepage CTA all use this name.</w:t>
            </w:r>
          </w:p>
        </w:tc>
      </w:tr>
      <w:tr>
        <w:tc>
          <w:tcPr>
            <w:tcW w:type="dxa" w:w="220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Curated collection pages</w:t>
            </w:r>
          </w:p>
        </w:tc>
        <w:tc>
          <w:tcPr>
            <w:tcW w:type="dxa" w:w="220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The Edit</w:t>
            </w:r>
          </w:p>
        </w:tc>
        <w:tc>
          <w:tcPr>
            <w:tcW w:type="dxa" w:w="496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Editorial collection pages grouped by theme. Examples: 'The Memory Care Edit', 'The Bergen County Edit'. URL structure: burnish.com/the-edit/[slug].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E2620"/>
                <w:sz w:val="20"/>
                <w:szCs w:val="20"/>
              </w:rPr>
              <w:t xml:space="preserve">Long-form editorial features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E2620"/>
                <w:sz w:val="20"/>
                <w:szCs w:val="20"/>
              </w:rPr>
              <w:t xml:space="preserve">Patina Profile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E2620"/>
                <w:sz w:val="20"/>
                <w:szCs w:val="20"/>
              </w:rPr>
              <w:t xml:space="preserve">Deep-dive narrative features on communities with significant editorial history. Distinct from a standard community profile — closer to a magazine feature. Reserved for Platinum and select Gold communities.</w:t>
            </w:r>
          </w:p>
        </w:tc>
      </w:tr>
      <w:tr>
        <w:tc>
          <w:tcPr>
            <w:tcW w:type="dxa" w:w="220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County/regional guides</w:t>
            </w:r>
          </w:p>
        </w:tc>
        <w:tc>
          <w:tcPr>
            <w:tcW w:type="dxa" w:w="220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Local Knowledge</w:t>
            </w:r>
          </w:p>
        </w:tc>
        <w:tc>
          <w:tcPr>
            <w:tcW w:type="dxa" w:w="496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County-level editorial guides. Example: 'Local Knowledge: Morris County'. Signals insider expertise. URL: burnish.com/local-knowledge/[county-slug].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E2620"/>
                <w:sz w:val="20"/>
                <w:szCs w:val="20"/>
              </w:rPr>
              <w:t xml:space="preserve">Methodology page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E2620"/>
                <w:sz w:val="20"/>
                <w:szCs w:val="20"/>
              </w:rPr>
              <w:t xml:space="preserve">The Burnish Standard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E2620"/>
                <w:sz w:val="20"/>
                <w:szCs w:val="20"/>
              </w:rPr>
              <w:t xml:space="preserve">The dedicated page explaining the Burnish Score methodology in full. URL: burnish.com/the-burnish-standard.</w:t>
            </w:r>
          </w:p>
        </w:tc>
      </w:tr>
      <w:tr>
        <w:tc>
          <w:tcPr>
            <w:tcW w:type="dxa" w:w="220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Top recommended badge</w:t>
            </w:r>
          </w:p>
        </w:tc>
        <w:tc>
          <w:tcPr>
            <w:tcW w:type="dxa" w:w="220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Burnish Recommended</w:t>
            </w:r>
          </w:p>
        </w:tc>
        <w:tc>
          <w:tcPr>
            <w:tcW w:type="dxa" w:w="496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One badge per category page maximum. Consistent with tier language. Appears on collection and category pages — not on individual profile pages where the tier badge already conveys this.</w:t>
            </w:r>
          </w:p>
        </w:tc>
      </w:tr>
    </w:tbl>
    <w:p>
      <w:pPr>
        <w:spacing w:before="80" w:after="80"/>
      </w:pPr>
      <w:r>
        <w:t xml:space="preserve"/>
      </w:r>
    </w:p>
    <w:p>
      <w:pPr>
        <w:pBdr>
          <w:bottom w:val="single" w:color="C9A96E" w:sz="4" w:space="1"/>
        </w:pBdr>
        <w:spacing w:before="200" w:after="200"/>
      </w:pPr>
      <w:r>
        <w:t xml:space="preserve"/>
      </w:r>
    </w:p>
    <w:p>
      <w:pPr>
        <w:pStyle w:val="Heading1"/>
        <w:spacing w:before="480" w:after="160"/>
      </w:pPr>
      <w:r>
        <w:rPr>
          <w:rFonts w:ascii="Arial" w:cs="Arial" w:eastAsia="Arial" w:hAnsi="Arial"/>
          <w:b/>
          <w:bCs/>
          <w:color w:val="2E2620"/>
          <w:sz w:val="32"/>
          <w:szCs w:val="32"/>
        </w:rPr>
        <w:t xml:space="preserve">5. Inspiration Sources &amp; Feature Directives</w:t>
      </w:r>
    </w:p>
    <w:p>
      <w:pPr>
        <w:spacing w:before="80" w:after="120"/>
      </w:pPr>
      <w:r>
        <w:rPr>
          <w:rFonts w:ascii="Arial" w:cs="Arial" w:eastAsia="Arial" w:hAnsi="Arial"/>
          <w:color w:val="2E2620"/>
          <w:sz w:val="22"/>
          <w:szCs w:val="22"/>
        </w:rPr>
        <w:t xml:space="preserve">The following section translates each key inspiration source into specific features and design patterns to implement or update. These are not suggestions — they are the essential elements that define Burnish's product experience.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2E2620" w:val="clear"/>
            <w:tcMar>
              <w:top w:type="dxa" w:w="100"/>
              <w:left w:type="dxa" w:w="150"/>
              <w:bottom w:type="dxa" w:w="100"/>
              <w:right w:type="dxa" w:w="150"/>
            </w:tcMar>
          </w:tcPr>
          <w:p>
            <w:r>
              <w:rPr>
                <w:rFonts w:ascii="Arial" w:cs="Arial" w:eastAsia="Arial" w:hAnsi="Arial"/>
                <w:b/>
                <w:bCs/>
                <w:color w:val="FFFFFF"/>
                <w:sz w:val="20"/>
                <w:szCs w:val="20"/>
              </w:rPr>
              <w:t xml:space="preserve">FEATURE</w:t>
            </w:r>
          </w:p>
        </w:tc>
        <w:tc>
          <w:tcPr>
            <w:tcW w:type="dxa" w:w="1400"/>
            <w:tcBorders>
              <w:top w:val="single" w:color="CCCCCC" w:sz="1"/>
              <w:left w:val="single" w:color="CCCCCC" w:sz="1"/>
              <w:bottom w:val="single" w:color="CCCCCC" w:sz="1"/>
              <w:right w:val="single" w:color="CCCCCC" w:sz="1"/>
            </w:tcBorders>
            <w:shd w:fill="2E2620" w:val="clear"/>
            <w:tcMar>
              <w:top w:type="dxa" w:w="100"/>
              <w:left w:type="dxa" w:w="150"/>
              <w:bottom w:type="dxa" w:w="100"/>
              <w:right w:type="dxa" w:w="150"/>
            </w:tcMar>
          </w:tcPr>
          <w:p>
            <w:r>
              <w:rPr>
                <w:rFonts w:ascii="Arial" w:cs="Arial" w:eastAsia="Arial" w:hAnsi="Arial"/>
                <w:b/>
                <w:bCs/>
                <w:color w:val="FFFFFF"/>
                <w:sz w:val="20"/>
                <w:szCs w:val="20"/>
              </w:rPr>
              <w:t xml:space="preserve">INSPIRED BY</w:t>
            </w:r>
          </w:p>
        </w:tc>
        <w:tc>
          <w:tcPr>
            <w:tcW w:type="dxa" w:w="5760"/>
            <w:tcBorders>
              <w:top w:val="single" w:color="CCCCCC" w:sz="1"/>
              <w:left w:val="single" w:color="CCCCCC" w:sz="1"/>
              <w:bottom w:val="single" w:color="CCCCCC" w:sz="1"/>
              <w:right w:val="single" w:color="CCCCCC" w:sz="1"/>
            </w:tcBorders>
            <w:shd w:fill="2E2620" w:val="clear"/>
            <w:tcMar>
              <w:top w:type="dxa" w:w="100"/>
              <w:left w:type="dxa" w:w="150"/>
              <w:bottom w:type="dxa" w:w="100"/>
              <w:right w:type="dxa" w:w="150"/>
            </w:tcMar>
          </w:tcPr>
          <w:p>
            <w:r>
              <w:rPr>
                <w:rFonts w:ascii="Arial" w:cs="Arial" w:eastAsia="Arial" w:hAnsi="Arial"/>
                <w:b/>
                <w:bCs/>
                <w:color w:val="FFFFFF"/>
                <w:sz w:val="20"/>
                <w:szCs w:val="20"/>
              </w:rPr>
              <w:t xml:space="preserve">IMPLEMENTATION DIRECTIVE</w:t>
            </w:r>
          </w:p>
        </w:tc>
      </w:tr>
      <w:tr>
        <w:tc>
          <w:tcPr>
            <w:tcW w:type="dxa" w:w="220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The Edit — Collection Pages</w:t>
            </w:r>
          </w:p>
        </w:tc>
        <w:tc>
          <w:tcPr>
            <w:tcW w:type="dxa" w:w="140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Mr &amp; Mrs Smith</w:t>
            </w:r>
          </w:p>
        </w:tc>
        <w:tc>
          <w:tcPr>
            <w:tcW w:type="dxa" w:w="576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Curated collection pages at burnish.com/the-edit/[slug]. Examples: 'Best Memory Care in Bergen County', 'Communities with Exceptional Dining'. These are editorial products, not filtered search results — they have intro copy, a point of view, and a featured image.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E2620"/>
                <w:sz w:val="20"/>
                <w:szCs w:val="20"/>
              </w:rPr>
              <w:t xml:space="preserve">Reviewer Transparency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E2620"/>
                <w:sz w:val="20"/>
                <w:szCs w:val="20"/>
              </w:rPr>
              <w:t xml:space="preserve">Mr &amp; Mrs Smith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E2620"/>
                <w:sz w:val="20"/>
                <w:szCs w:val="20"/>
              </w:rPr>
              <w:t xml:space="preserve">Every community profile displays how the Burnish Score was determined — a 'How We Scored This' section. Even for In Assay communities, explain the methodology. Credibility comes from showing the work.</w:t>
            </w:r>
          </w:p>
        </w:tc>
      </w:tr>
      <w:tr>
        <w:tc>
          <w:tcPr>
            <w:tcW w:type="dxa" w:w="220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The Mark</w:t>
            </w:r>
          </w:p>
        </w:tc>
        <w:tc>
          <w:tcPr>
            <w:tcW w:type="dxa" w:w="140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Mr &amp; Mrs Smith</w:t>
            </w:r>
          </w:p>
        </w:tc>
        <w:tc>
          <w:tcPr>
            <w:tcW w:type="dxa" w:w="576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On scored community profiles, surface 1–3 specific standout details that Burnish has identified — chef's name and background, a specific program, a design detail. Label: 'Burnish's Mark on [Community Name]'. Only rendered for communities with a score of 60+.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E2620"/>
                <w:sz w:val="20"/>
                <w:szCs w:val="20"/>
              </w:rPr>
              <w:t xml:space="preserve">Photography as Primary Content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E2620"/>
                <w:sz w:val="20"/>
                <w:szCs w:val="20"/>
              </w:rPr>
              <w:t xml:space="preserve">Mr &amp; Mrs Smith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E2620"/>
                <w:sz w:val="20"/>
                <w:szCs w:val="20"/>
              </w:rPr>
              <w:t xml:space="preserve">Community photography should be large, full-bleed where possible, and high quality. If facility-provided photos are low quality, do not use them — use placeholder imagery consistent with the brand aesthetic. A bad photo destroys the editorial impression immediately.</w:t>
            </w:r>
          </w:p>
        </w:tc>
      </w:tr>
      <w:tr>
        <w:tc>
          <w:tcPr>
            <w:tcW w:type="dxa" w:w="220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In Assay State</w:t>
            </w:r>
          </w:p>
        </w:tc>
        <w:tc>
          <w:tcPr>
            <w:tcW w:type="dxa" w:w="140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The Infatuation</w:t>
            </w:r>
          </w:p>
        </w:tc>
        <w:tc>
          <w:tcPr>
            <w:tcW w:type="dxa" w:w="576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Communities not yet scored display the In Assay badge in the same visual position as a tier badge — never an empty field. Outline-only brass badge with tooltip. Signals active work in progress.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E2620"/>
                <w:sz w:val="20"/>
                <w:szCs w:val="20"/>
              </w:rPr>
              <w:t xml:space="preserve">Strong Editorial Voice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E2620"/>
                <w:sz w:val="20"/>
                <w:szCs w:val="20"/>
              </w:rPr>
              <w:t xml:space="preserve">The Infatuation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E2620"/>
                <w:sz w:val="20"/>
                <w:szCs w:val="20"/>
              </w:rPr>
              <w:t xml:space="preserve">Community write-ups should have a clear point of view. Not neutral, not clinical. If a community excels at dining but has a dated lobby, say so. Aim for 150–300 words structured as: opening observation, key strengths, honest consideration, best suited for.</w:t>
            </w:r>
          </w:p>
        </w:tc>
      </w:tr>
      <w:tr>
        <w:tc>
          <w:tcPr>
            <w:tcW w:type="dxa" w:w="220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Local Knowledge Guides</w:t>
            </w:r>
          </w:p>
        </w:tc>
        <w:tc>
          <w:tcPr>
            <w:tcW w:type="dxa" w:w="140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The Infatuation</w:t>
            </w:r>
          </w:p>
        </w:tc>
        <w:tc>
          <w:tcPr>
            <w:tcW w:type="dxa" w:w="576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County-level editorial guides at burnish.com/local-knowledge/[county]. 'Local Knowledge: Assisted Living in Morris County — What You Need to Know.' SEO workhorses and brand builders simultaneously. Genuine editorial with local knowledge, not just listings.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E2620"/>
                <w:sz w:val="20"/>
                <w:szCs w:val="20"/>
              </w:rPr>
              <w:t xml:space="preserve">No Star Ratings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E2620"/>
                <w:sz w:val="20"/>
                <w:szCs w:val="20"/>
              </w:rPr>
              <w:t xml:space="preserve">The Infatuation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E2620"/>
                <w:sz w:val="20"/>
                <w:szCs w:val="20"/>
              </w:rPr>
              <w:t xml:space="preserve">Avoid star ratings — they feel like Yelp. The Burnish Score is a proprietary 0–100 number with defined methodology. The tier badge system (Platinum/Gold/Silver/Bronze) provides the qualitative signal.</w:t>
            </w:r>
          </w:p>
        </w:tc>
      </w:tr>
      <w:tr>
        <w:tc>
          <w:tcPr>
            <w:tcW w:type="dxa" w:w="220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The Burnish Standard</w:t>
            </w:r>
          </w:p>
        </w:tc>
        <w:tc>
          <w:tcPr>
            <w:tcW w:type="dxa" w:w="140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Wirecutter</w:t>
            </w:r>
          </w:p>
        </w:tc>
        <w:tc>
          <w:tcPr>
            <w:tcW w:type="dxa" w:w="576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Build a dedicated page at burnish.com/the-burnish-standard explaining the scoring methodology in full — the five categories, their weights, the data sources, and what each tier means. This is a trust-building page, not fine print.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E2620"/>
                <w:sz w:val="20"/>
                <w:szCs w:val="20"/>
              </w:rPr>
              <w:t xml:space="preserve">Burnish Recommended Badge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E2620"/>
                <w:sz w:val="20"/>
                <w:szCs w:val="20"/>
              </w:rPr>
              <w:t xml:space="preserve">Wirecutter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E2620"/>
                <w:sz w:val="20"/>
                <w:szCs w:val="20"/>
              </w:rPr>
              <w:t xml:space="preserve">On The Edit collection pages and Local Knowledge guides, surface a 'Burnish Recommended' badge for the top-recommended community in a category. One badge per collection page maximum — scarcity maintains the signal value.</w:t>
            </w:r>
          </w:p>
        </w:tc>
      </w:tr>
      <w:tr>
        <w:tc>
          <w:tcPr>
            <w:tcW w:type="dxa" w:w="220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Comparison Context</w:t>
            </w:r>
          </w:p>
        </w:tc>
        <w:tc>
          <w:tcPr>
            <w:tcW w:type="dxa" w:w="140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Wirecutter</w:t>
            </w:r>
          </w:p>
        </w:tc>
        <w:tc>
          <w:tcPr>
            <w:tcW w:type="dxa" w:w="576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Community profiles should include a brief 'How it compares' note where relevant — a single sentence orienting the reader: 'If you're also considering Sunrise at Short Hills, note that The Colton offers a higher staff ratio but a smaller dining program.'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E2620"/>
                <w:sz w:val="20"/>
                <w:szCs w:val="20"/>
              </w:rPr>
              <w:t xml:space="preserve">Decision-Framework Content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E2620"/>
                <w:sz w:val="20"/>
                <w:szCs w:val="20"/>
              </w:rPr>
              <w:t xml:space="preserve">The Points Guy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E2620"/>
                <w:sz w:val="20"/>
                <w:szCs w:val="20"/>
              </w:rPr>
              <w:t xml:space="preserve">Build navigational content: 'The Complete Guide to Assisted Living in New Jersey', 'How to Read a Community's State Inspection Report', 'What the Burnish Score Measures and Why It Matters'. Turn expertise into content that earns trust before a family ever contacts a community.</w:t>
            </w:r>
          </w:p>
        </w:tc>
      </w:tr>
      <w:tr>
        <w:tc>
          <w:tcPr>
            <w:tcW w:type="dxa" w:w="220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Affluent Audience Signals</w:t>
            </w:r>
          </w:p>
        </w:tc>
        <w:tc>
          <w:tcPr>
            <w:tcW w:type="dxa" w:w="140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The Points Guy</w:t>
            </w:r>
          </w:p>
        </w:tc>
        <w:tc>
          <w:tcPr>
            <w:tcW w:type="dxa" w:w="576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Content and community features should unapologetically signal quality as the primary filter. Price transparency where available should be presented matter-of-factly. The audience is making a significant financial decision and expects direct information.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E2620"/>
                <w:sz w:val="20"/>
                <w:szCs w:val="20"/>
              </w:rPr>
              <w:t xml:space="preserve">The Burnish Dispatch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E2620"/>
                <w:sz w:val="20"/>
                <w:szCs w:val="20"/>
              </w:rPr>
              <w:t xml:space="preserve">The Points Guy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E2620"/>
                <w:sz w:val="20"/>
                <w:szCs w:val="20"/>
              </w:rPr>
              <w:t xml:space="preserve">Email capture should be a first-class feature. The Burnish Dispatch delivers new community reviews, The Edit collections, and Local Knowledge guides. Newsletter signup in homepage hero (secondary CTA), after editorial content, and in site footer. Single field (email only) on inline captures.</w:t>
            </w:r>
          </w:p>
        </w:tc>
      </w:tr>
      <w:tr>
        <w:tc>
          <w:tcPr>
            <w:tcW w:type="dxa" w:w="220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Rich Filter System</w:t>
            </w:r>
          </w:p>
        </w:tc>
        <w:tc>
          <w:tcPr>
            <w:tcW w:type="dxa" w:w="140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Nomad List</w:t>
            </w:r>
          </w:p>
        </w:tc>
        <w:tc>
          <w:tcPr>
            <w:tcW w:type="dxa" w:w="576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Filters: county/region, care type (independent, assisted, memory care), price tier, amenity flags (private dining, concierge, transportation, outdoor spaces, pet-friendly), Burnish Score threshold, tier (Platinum/Gold/Silver/Bronze/In Assay). Filters update results without page reload.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E2620"/>
                <w:sz w:val="20"/>
                <w:szCs w:val="20"/>
              </w:rPr>
              <w:t xml:space="preserve">Data-Forward Community Cards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E2620"/>
                <w:sz w:val="20"/>
                <w:szCs w:val="20"/>
              </w:rPr>
              <w:t xml:space="preserve">Nomad List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E2620"/>
                <w:sz w:val="20"/>
                <w:szCs w:val="20"/>
              </w:rPr>
              <w:t xml:space="preserve">Community cards in directory view surface: name, location, care type, tier badge (or In Assay), 2–3 key amenity tags, and a single editorial line. No unnecessary UI — just the signal. The Mark (if applicable) appears only on the full profile page, not the card.</w:t>
            </w:r>
          </w:p>
        </w:tc>
      </w:tr>
      <w:tr>
        <w:tc>
          <w:tcPr>
            <w:tcW w:type="dxa" w:w="220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Map View</w:t>
            </w:r>
          </w:p>
        </w:tc>
        <w:tc>
          <w:tcPr>
            <w:tcW w:type="dxa" w:w="140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Nomad List</w:t>
            </w:r>
          </w:p>
        </w:tc>
        <w:tc>
          <w:tcPr>
            <w:tcW w:type="dxa" w:w="5760"/>
            <w:tcBorders>
              <w:top w:val="single" w:color="CCCCCC" w:sz="1"/>
              <w:left w:val="single" w:color="CCCCCC" w:sz="1"/>
              <w:bottom w:val="single" w:color="CCCCCC" w:sz="1"/>
              <w:right w:val="single" w:color="CCCCCC" w:sz="1"/>
            </w:tcBorders>
            <w:shd w:fill="F0E8D8" w:val="clear"/>
            <w:tcMar>
              <w:top w:type="dxa" w:w="80"/>
              <w:left w:type="dxa" w:w="150"/>
              <w:bottom w:type="dxa" w:w="80"/>
              <w:right w:type="dxa" w:w="150"/>
            </w:tcMar>
          </w:tcPr>
          <w:p>
            <w:r>
              <w:rPr>
                <w:rFonts w:ascii="Arial" w:cs="Arial" w:eastAsia="Arial" w:hAnsi="Arial"/>
                <w:color w:val="2E2620"/>
                <w:sz w:val="20"/>
                <w:szCs w:val="20"/>
              </w:rPr>
              <w:t xml:space="preserve">Implement a map view alongside the list view for directory browsing. Families often want to find communities within a specific geographic radius. The map is a practical tool, not decorative. Community cards in map view should be a condensed version of the list card.</w:t>
            </w:r>
          </w:p>
        </w:tc>
      </w:tr>
    </w:tbl>
    <w:p>
      <w:pPr>
        <w:spacing w:before="80" w:after="80"/>
      </w:pPr>
      <w:r>
        <w:t xml:space="preserve"/>
      </w:r>
    </w:p>
    <w:p>
      <w:pPr>
        <w:pBdr>
          <w:bottom w:val="single" w:color="C9A96E" w:sz="4" w:space="1"/>
        </w:pBdr>
        <w:spacing w:before="200" w:after="200"/>
      </w:pPr>
      <w:r>
        <w:t xml:space="preserve"/>
      </w:r>
    </w:p>
    <w:p>
      <w:pPr>
        <w:pStyle w:val="Heading1"/>
        <w:spacing w:before="480" w:after="160"/>
      </w:pPr>
      <w:r>
        <w:rPr>
          <w:rFonts w:ascii="Arial" w:cs="Arial" w:eastAsia="Arial" w:hAnsi="Arial"/>
          <w:b/>
          <w:bCs/>
          <w:color w:val="2E2620"/>
          <w:sz w:val="32"/>
          <w:szCs w:val="32"/>
        </w:rPr>
        <w:t xml:space="preserve">6. Page Inventory &amp; Specifications</w:t>
      </w:r>
    </w:p>
    <w:p>
      <w:pPr>
        <w:spacing w:before="80" w:after="120"/>
      </w:pPr>
      <w:r>
        <w:rPr>
          <w:rFonts w:ascii="Arial" w:cs="Arial" w:eastAsia="Arial" w:hAnsi="Arial"/>
          <w:color w:val="2E2620"/>
          <w:sz w:val="22"/>
          <w:szCs w:val="22"/>
        </w:rPr>
        <w:t xml:space="preserve">The following pages should exist in the Burnish build. All Burnish naming conventions apply throughout.</w:t>
      </w:r>
    </w:p>
    <w:p>
      <w:pPr>
        <w:pStyle w:val="Heading2"/>
        <w:spacing w:before="320" w:after="120"/>
      </w:pPr>
      <w:r>
        <w:rPr>
          <w:rFonts w:ascii="Arial" w:cs="Arial" w:eastAsia="Arial" w:hAnsi="Arial"/>
          <w:b/>
          <w:bCs/>
          <w:color w:val="2E2620"/>
          <w:sz w:val="24"/>
          <w:szCs w:val="24"/>
        </w:rPr>
        <w:t xml:space="preserve">Core Directory Pages — Existing, Update</w:t>
      </w:r>
    </w:p>
    <w:p>
      <w:pPr>
        <w:spacing w:before="80" w:after="120"/>
      </w:pPr>
      <w:r>
        <w:rPr>
          <w:rFonts w:ascii="Arial" w:cs="Arial" w:eastAsia="Arial" w:hAnsi="Arial"/>
          <w:b/>
          <w:bCs/>
          <w:color w:val="2E2620"/>
          <w:sz w:val="22"/>
          <w:szCs w:val="22"/>
        </w:rPr>
        <w:t xml:space="preserve">Homepage: </w:t>
      </w:r>
      <w:r>
        <w:rPr>
          <w:rFonts w:ascii="Arial" w:cs="Arial" w:eastAsia="Arial" w:hAnsi="Arial"/>
          <w:color w:val="2E2620"/>
          <w:sz w:val="22"/>
          <w:szCs w:val="22"/>
        </w:rPr>
        <w:t xml:space="preserve">Hero with brand voice and the Burnish positioning statement. Featured communities (Platinum and Gold tier). Preview of The Edit and Local Knowledge content. The Burnish Dispatch signup as secondary CTA. No pop-ups.</w:t>
      </w:r>
    </w:p>
    <w:p>
      <w:pPr>
        <w:spacing w:before="80" w:after="120"/>
      </w:pPr>
      <w:r>
        <w:rPr>
          <w:rFonts w:ascii="Arial" w:cs="Arial" w:eastAsia="Arial" w:hAnsi="Arial"/>
          <w:b/>
          <w:bCs/>
          <w:color w:val="2E2620"/>
          <w:sz w:val="22"/>
          <w:szCs w:val="22"/>
        </w:rPr>
        <w:t xml:space="preserve">Directory / Browse All: </w:t>
      </w:r>
      <w:r>
        <w:rPr>
          <w:rFonts w:ascii="Arial" w:cs="Arial" w:eastAsia="Arial" w:hAnsi="Arial"/>
          <w:color w:val="2E2620"/>
          <w:sz w:val="22"/>
          <w:szCs w:val="22"/>
        </w:rPr>
        <w:t xml:space="preserve">Filter system (county, care type, price tier, amenities, score tier, score threshold). Community card grid with tier badges and In Assay state. Map toggle alongside list view. Sort options (score, alphabetical, distance).</w:t>
      </w:r>
    </w:p>
    <w:p>
      <w:pPr>
        <w:spacing w:before="80" w:after="120"/>
      </w:pPr>
      <w:r>
        <w:rPr>
          <w:rFonts w:ascii="Arial" w:cs="Arial" w:eastAsia="Arial" w:hAnsi="Arial"/>
          <w:b/>
          <w:bCs/>
          <w:color w:val="2E2620"/>
          <w:sz w:val="22"/>
          <w:szCs w:val="22"/>
        </w:rPr>
        <w:t xml:space="preserve">Community Profile Page: </w:t>
      </w:r>
      <w:r>
        <w:rPr>
          <w:rFonts w:ascii="Arial" w:cs="Arial" w:eastAsia="Arial" w:hAnsi="Arial"/>
          <w:color w:val="2E2620"/>
          <w:sz w:val="22"/>
          <w:szCs w:val="22"/>
        </w:rPr>
        <w:t xml:space="preserve">Full editorial write-up (150–300 words). Tier badge or In Assay state prominently displayed. 'How We Scored This' section (even for In Assay, links to The Burnish Standard). The Mark (1–3 standout details, for 60+ scored communities only). Amenity breakdown with tags. Photography — full bleed or not at all. Comparison context note. Contact / lead form below the fold or in side column.</w:t>
      </w:r>
    </w:p>
    <w:p>
      <w:pPr>
        <w:spacing w:before="80" w:after="120"/>
      </w:pPr>
      <w:r>
        <w:rPr>
          <w:rFonts w:ascii="Arial" w:cs="Arial" w:eastAsia="Arial" w:hAnsi="Arial"/>
          <w:b/>
          <w:bCs/>
          <w:color w:val="2E2620"/>
          <w:sz w:val="22"/>
          <w:szCs w:val="22"/>
        </w:rPr>
        <w:t xml:space="preserve">Search Results: </w:t>
      </w:r>
      <w:r>
        <w:rPr>
          <w:rFonts w:ascii="Arial" w:cs="Arial" w:eastAsia="Arial" w:hAnsi="Arial"/>
          <w:color w:val="2E2620"/>
          <w:sz w:val="22"/>
          <w:szCs w:val="22"/>
        </w:rPr>
        <w:t xml:space="preserve">Consistent with directory card style. Filtered state persists in URL for shareability.</w:t>
      </w:r>
    </w:p>
    <w:p>
      <w:pPr>
        <w:pStyle w:val="Heading2"/>
        <w:spacing w:before="320" w:after="120"/>
      </w:pPr>
      <w:r>
        <w:rPr>
          <w:rFonts w:ascii="Arial" w:cs="Arial" w:eastAsia="Arial" w:hAnsi="Arial"/>
          <w:b/>
          <w:bCs/>
          <w:color w:val="2E2620"/>
          <w:sz w:val="24"/>
          <w:szCs w:val="24"/>
        </w:rPr>
        <w:t xml:space="preserve">Editorial Pages — New or Expand</w:t>
      </w:r>
    </w:p>
    <w:p>
      <w:pPr>
        <w:spacing w:before="80" w:after="120"/>
      </w:pPr>
      <w:r>
        <w:rPr>
          <w:rFonts w:ascii="Arial" w:cs="Arial" w:eastAsia="Arial" w:hAnsi="Arial"/>
          <w:b/>
          <w:bCs/>
          <w:color w:val="2E2620"/>
          <w:sz w:val="22"/>
          <w:szCs w:val="22"/>
        </w:rPr>
        <w:t xml:space="preserve">The Edit: </w:t>
      </w:r>
      <w:r>
        <w:rPr>
          <w:rFonts w:ascii="Arial" w:cs="Arial" w:eastAsia="Arial" w:hAnsi="Arial"/>
          <w:color w:val="2E2620"/>
          <w:sz w:val="22"/>
          <w:szCs w:val="22"/>
        </w:rPr>
        <w:t xml:space="preserve">Curated collection pages at burnish.com/the-edit/[slug]. Each page has editorial intro copy (100–200 words), a featured image, and 4–8 community cards. Burnish Recommended badge on the top pick. One template; content is editorial.</w:t>
      </w:r>
    </w:p>
    <w:p>
      <w:pPr>
        <w:spacing w:before="80" w:after="120"/>
      </w:pPr>
      <w:r>
        <w:rPr>
          <w:rFonts w:ascii="Arial" w:cs="Arial" w:eastAsia="Arial" w:hAnsi="Arial"/>
          <w:b/>
          <w:bCs/>
          <w:color w:val="2E2620"/>
          <w:sz w:val="22"/>
          <w:szCs w:val="22"/>
        </w:rPr>
        <w:t xml:space="preserve">Local Knowledge: </w:t>
      </w:r>
      <w:r>
        <w:rPr>
          <w:rFonts w:ascii="Arial" w:cs="Arial" w:eastAsia="Arial" w:hAnsi="Arial"/>
          <w:color w:val="2E2620"/>
          <w:sz w:val="22"/>
          <w:szCs w:val="22"/>
        </w:rPr>
        <w:t xml:space="preserve">County-level editorial guides at burnish.com/local-knowledge/[county]. Genuine editorial with regional context — not just listings. 300–600 words intro, followed by community cards filtered to that county.</w:t>
      </w:r>
    </w:p>
    <w:p>
      <w:pPr>
        <w:spacing w:before="80" w:after="120"/>
      </w:pPr>
      <w:r>
        <w:rPr>
          <w:rFonts w:ascii="Arial" w:cs="Arial" w:eastAsia="Arial" w:hAnsi="Arial"/>
          <w:b/>
          <w:bCs/>
          <w:color w:val="2E2620"/>
          <w:sz w:val="22"/>
          <w:szCs w:val="22"/>
        </w:rPr>
        <w:t xml:space="preserve">Patina Profile: </w:t>
      </w:r>
      <w:r>
        <w:rPr>
          <w:rFonts w:ascii="Arial" w:cs="Arial" w:eastAsia="Arial" w:hAnsi="Arial"/>
          <w:color w:val="2E2620"/>
          <w:sz w:val="22"/>
          <w:szCs w:val="22"/>
        </w:rPr>
        <w:t xml:space="preserve">Long-form editorial feature template at burnish.com/patina/[community-slug]. Reserved for Platinum and select Gold communities. Narrative-forward, 600–1200 words. Photography-heavy. Distinct from the standard community profile — closer to a magazine feature. Not linked from directory cards; linked from The Edit and Local Knowledge pages.</w:t>
      </w:r>
    </w:p>
    <w:p>
      <w:pPr>
        <w:spacing w:before="80" w:after="120"/>
      </w:pPr>
      <w:r>
        <w:rPr>
          <w:rFonts w:ascii="Arial" w:cs="Arial" w:eastAsia="Arial" w:hAnsi="Arial"/>
          <w:b/>
          <w:bCs/>
          <w:color w:val="2E2620"/>
          <w:sz w:val="22"/>
          <w:szCs w:val="22"/>
        </w:rPr>
        <w:t xml:space="preserve">The Burnish Dispatch: </w:t>
      </w:r>
      <w:r>
        <w:rPr>
          <w:rFonts w:ascii="Arial" w:cs="Arial" w:eastAsia="Arial" w:hAnsi="Arial"/>
          <w:color w:val="2E2620"/>
          <w:sz w:val="22"/>
          <w:szCs w:val="22"/>
        </w:rPr>
        <w:t xml:space="preserve">Newsletter signup page with value proposition, recent dispatch preview, and single-field email capture. Value prop copy: 'New community reviews, The Mark on standout details, and curated Edits — dispatched to your inbox when they're ready.'</w:t>
      </w:r>
    </w:p>
    <w:p>
      <w:pPr>
        <w:spacing w:before="80" w:after="120"/>
      </w:pPr>
      <w:r>
        <w:rPr>
          <w:rFonts w:ascii="Arial" w:cs="Arial" w:eastAsia="Arial" w:hAnsi="Arial"/>
          <w:b/>
          <w:bCs/>
          <w:color w:val="2E2620"/>
          <w:sz w:val="22"/>
          <w:szCs w:val="22"/>
        </w:rPr>
        <w:t xml:space="preserve">Editorial Article / Guide: </w:t>
      </w:r>
      <w:r>
        <w:rPr>
          <w:rFonts w:ascii="Arial" w:cs="Arial" w:eastAsia="Arial" w:hAnsi="Arial"/>
          <w:color w:val="2E2620"/>
          <w:sz w:val="22"/>
          <w:szCs w:val="22"/>
        </w:rPr>
        <w:t xml:space="preserve">Individual article template for decision-framework content — guides, how-tos, explainers. Examples: 'The Complete Guide to Assisted Living in NJ', 'How to Read a State Inspection Report'.</w:t>
      </w:r>
    </w:p>
    <w:p>
      <w:pPr>
        <w:pStyle w:val="Heading2"/>
        <w:spacing w:before="320" w:after="120"/>
      </w:pPr>
      <w:r>
        <w:rPr>
          <w:rFonts w:ascii="Arial" w:cs="Arial" w:eastAsia="Arial" w:hAnsi="Arial"/>
          <w:b/>
          <w:bCs/>
          <w:color w:val="2E2620"/>
          <w:sz w:val="24"/>
          <w:szCs w:val="24"/>
        </w:rPr>
        <w:t xml:space="preserve">Trust &amp; Methodology Pages — New</w:t>
      </w:r>
    </w:p>
    <w:p>
      <w:pPr>
        <w:spacing w:before="80" w:after="120"/>
      </w:pPr>
      <w:r>
        <w:rPr>
          <w:rFonts w:ascii="Arial" w:cs="Arial" w:eastAsia="Arial" w:hAnsi="Arial"/>
          <w:b/>
          <w:bCs/>
          <w:color w:val="2E2620"/>
          <w:sz w:val="22"/>
          <w:szCs w:val="22"/>
        </w:rPr>
        <w:t xml:space="preserve">The Burnish Standard: </w:t>
      </w:r>
      <w:r>
        <w:rPr>
          <w:rFonts w:ascii="Arial" w:cs="Arial" w:eastAsia="Arial" w:hAnsi="Arial"/>
          <w:color w:val="2E2620"/>
          <w:sz w:val="22"/>
          <w:szCs w:val="22"/>
        </w:rPr>
        <w:t xml:space="preserve">The scoring methodology explained in full — the five categories, their weights (Care Quality 30pts, Residential Experience 20pts, Dining 20pts, Life &amp; Community 15pts, Family Experience 15pts), data sources, and what each tier means. This page is linked from every community profile's 'How We Scored This' section.</w:t>
      </w:r>
    </w:p>
    <w:p>
      <w:pPr>
        <w:spacing w:before="80" w:after="120"/>
      </w:pPr>
      <w:r>
        <w:rPr>
          <w:rFonts w:ascii="Arial" w:cs="Arial" w:eastAsia="Arial" w:hAnsi="Arial"/>
          <w:b/>
          <w:bCs/>
          <w:color w:val="2E2620"/>
          <w:sz w:val="22"/>
          <w:szCs w:val="22"/>
        </w:rPr>
        <w:t xml:space="preserve">About Burnish: </w:t>
      </w:r>
      <w:r>
        <w:rPr>
          <w:rFonts w:ascii="Arial" w:cs="Arial" w:eastAsia="Arial" w:hAnsi="Arial"/>
          <w:color w:val="2E2620"/>
          <w:sz w:val="22"/>
          <w:szCs w:val="22"/>
        </w:rPr>
        <w:t xml:space="preserve">Brand story, mission, editorial philosophy. Explains why Burnish was built and what makes it different from other directories. Can be sparse at launch but must exist.</w:t>
      </w:r>
    </w:p>
    <w:p>
      <w:pPr>
        <w:pStyle w:val="Heading2"/>
        <w:spacing w:before="320" w:after="120"/>
      </w:pPr>
      <w:r>
        <w:rPr>
          <w:rFonts w:ascii="Arial" w:cs="Arial" w:eastAsia="Arial" w:hAnsi="Arial"/>
          <w:b/>
          <w:bCs/>
          <w:color w:val="2E2620"/>
          <w:sz w:val="24"/>
          <w:szCs w:val="24"/>
        </w:rPr>
        <w:t xml:space="preserve">Utility Pages — Existing, Update</w:t>
      </w:r>
    </w:p>
    <w:p>
      <w:pPr>
        <w:spacing w:before="80" w:after="120"/>
      </w:pPr>
      <w:r>
        <w:rPr>
          <w:rFonts w:ascii="Arial" w:cs="Arial" w:eastAsia="Arial" w:hAnsi="Arial"/>
          <w:b/>
          <w:bCs/>
          <w:color w:val="2E2620"/>
          <w:sz w:val="22"/>
          <w:szCs w:val="22"/>
        </w:rPr>
        <w:t xml:space="preserve">Contact / Submit a Community: </w:t>
      </w:r>
      <w:r>
        <w:rPr>
          <w:rFonts w:ascii="Arial" w:cs="Arial" w:eastAsia="Arial" w:hAnsi="Arial"/>
          <w:color w:val="2E2620"/>
          <w:sz w:val="22"/>
          <w:szCs w:val="22"/>
        </w:rPr>
        <w:t xml:space="preserve">Simple form for facility operators to submit or claim a listing. Tone is professional and respectful — not a lead form, a professional inquiry form.</w:t>
      </w:r>
    </w:p>
    <w:p>
      <w:pPr>
        <w:spacing w:before="80" w:after="120"/>
      </w:pPr>
      <w:r>
        <w:rPr>
          <w:rFonts w:ascii="Arial" w:cs="Arial" w:eastAsia="Arial" w:hAnsi="Arial"/>
          <w:b/>
          <w:bCs/>
          <w:color w:val="2E2620"/>
          <w:sz w:val="22"/>
          <w:szCs w:val="22"/>
        </w:rPr>
        <w:t xml:space="preserve">Privacy Policy, Terms of Service: </w:t>
      </w:r>
      <w:r>
        <w:rPr>
          <w:rFonts w:ascii="Arial" w:cs="Arial" w:eastAsia="Arial" w:hAnsi="Arial"/>
          <w:color w:val="2E2620"/>
          <w:sz w:val="22"/>
          <w:szCs w:val="22"/>
        </w:rPr>
        <w:t xml:space="preserve">Standard. Update to reflect Burnish brand name and any data practices related to lead generation.</w:t>
      </w:r>
    </w:p>
    <w:p>
      <w:pPr>
        <w:pBdr>
          <w:bottom w:val="single" w:color="C9A96E" w:sz="4" w:space="1"/>
        </w:pBdr>
        <w:spacing w:before="200" w:after="200"/>
      </w:pPr>
      <w:r>
        <w:t xml:space="preserve"/>
      </w:r>
    </w:p>
    <w:p>
      <w:pPr>
        <w:pStyle w:val="Heading1"/>
        <w:spacing w:before="480" w:after="160"/>
      </w:pPr>
      <w:r>
        <w:rPr>
          <w:rFonts w:ascii="Arial" w:cs="Arial" w:eastAsia="Arial" w:hAnsi="Arial"/>
          <w:b/>
          <w:bCs/>
          <w:color w:val="2E2620"/>
          <w:sz w:val="32"/>
          <w:szCs w:val="32"/>
        </w:rPr>
        <w:t xml:space="preserve">7. Lead Generation Design Principles</w:t>
      </w:r>
    </w:p>
    <w:p>
      <w:pPr>
        <w:pStyle w:val="Heading2"/>
        <w:spacing w:before="320" w:after="120"/>
      </w:pPr>
      <w:r>
        <w:rPr>
          <w:rFonts w:ascii="Arial" w:cs="Arial" w:eastAsia="Arial" w:hAnsi="Arial"/>
          <w:b/>
          <w:bCs/>
          <w:color w:val="2E2620"/>
          <w:sz w:val="24"/>
          <w:szCs w:val="24"/>
        </w:rPr>
        <w:t xml:space="preserve">Lead Form Philosophy</w:t>
      </w:r>
    </w:p>
    <w:p>
      <w:pPr>
        <w:pStyle w:val="ListParagraph"/>
        <w:numPr>
          <w:ilvl w:val="0"/>
          <w:numId w:val="2"/>
        </w:numPr>
        <w:spacing w:before="60" w:after="60"/>
      </w:pPr>
      <w:r>
        <w:rPr>
          <w:rFonts w:ascii="Arial" w:cs="Arial" w:eastAsia="Arial" w:hAnsi="Arial"/>
          <w:color w:val="2E2620"/>
          <w:sz w:val="22"/>
          <w:szCs w:val="22"/>
        </w:rPr>
        <w:t xml:space="preserve">CTAs should feel like a service, not a sales funnel. Language: 'Request Information' or 'Connect with This Community' — never 'Get Pricing Now' or 'Submit Lead'</w:t>
      </w:r>
    </w:p>
    <w:p>
      <w:pPr>
        <w:pStyle w:val="ListParagraph"/>
        <w:numPr>
          <w:ilvl w:val="0"/>
          <w:numId w:val="2"/>
        </w:numPr>
        <w:spacing w:before="60" w:after="60"/>
      </w:pPr>
      <w:r>
        <w:rPr>
          <w:rFonts w:ascii="Arial" w:cs="Arial" w:eastAsia="Arial" w:hAnsi="Arial"/>
          <w:color w:val="2E2620"/>
          <w:sz w:val="22"/>
          <w:szCs w:val="22"/>
        </w:rPr>
        <w:t xml:space="preserve">The lead form on community profiles should be secondary in visual hierarchy to the editorial content — below the fold, or in a side column on desktop</w:t>
      </w:r>
    </w:p>
    <w:p>
      <w:pPr>
        <w:pStyle w:val="ListParagraph"/>
        <w:numPr>
          <w:ilvl w:val="0"/>
          <w:numId w:val="2"/>
        </w:numPr>
        <w:spacing w:before="60" w:after="60"/>
      </w:pPr>
      <w:r>
        <w:rPr>
          <w:rFonts w:ascii="Arial" w:cs="Arial" w:eastAsia="Arial" w:hAnsi="Arial"/>
          <w:color w:val="2E2620"/>
          <w:sz w:val="22"/>
          <w:szCs w:val="22"/>
        </w:rPr>
        <w:t xml:space="preserve">For Platinum communities, use a softer CTA: 'Request a Personal Introduction' — signals that Burnish is facilitating, not routing</w:t>
      </w:r>
    </w:p>
    <w:p>
      <w:pPr>
        <w:pStyle w:val="Heading2"/>
        <w:spacing w:before="320" w:after="120"/>
      </w:pPr>
      <w:r>
        <w:rPr>
          <w:rFonts w:ascii="Arial" w:cs="Arial" w:eastAsia="Arial" w:hAnsi="Arial"/>
          <w:b/>
          <w:bCs/>
          <w:color w:val="2E2620"/>
          <w:sz w:val="24"/>
          <w:szCs w:val="24"/>
        </w:rPr>
        <w:t xml:space="preserve">Email Capture</w:t>
      </w:r>
    </w:p>
    <w:p>
      <w:pPr>
        <w:pStyle w:val="ListParagraph"/>
        <w:numPr>
          <w:ilvl w:val="0"/>
          <w:numId w:val="2"/>
        </w:numPr>
        <w:spacing w:before="60" w:after="60"/>
      </w:pPr>
      <w:r>
        <w:rPr>
          <w:rFonts w:ascii="Arial" w:cs="Arial" w:eastAsia="Arial" w:hAnsi="Arial"/>
          <w:color w:val="2E2620"/>
          <w:sz w:val="22"/>
          <w:szCs w:val="22"/>
        </w:rPr>
        <w:t xml:space="preserve">The Burnish Dispatch signup: placed in homepage hero (secondary CTA), after editorial articles and The Edit pages, and in the site footer</w:t>
      </w:r>
    </w:p>
    <w:p>
      <w:pPr>
        <w:pStyle w:val="ListParagraph"/>
        <w:numPr>
          <w:ilvl w:val="0"/>
          <w:numId w:val="2"/>
        </w:numPr>
        <w:spacing w:before="60" w:after="60"/>
      </w:pPr>
      <w:r>
        <w:rPr>
          <w:rFonts w:ascii="Arial" w:cs="Arial" w:eastAsia="Arial" w:hAnsi="Arial"/>
          <w:color w:val="2E2620"/>
          <w:sz w:val="22"/>
          <w:szCs w:val="22"/>
        </w:rPr>
        <w:t xml:space="preserve">Value proposition copy: 'New community reviews, The Mark on standout details, and curated Edits — dispatched to your inbox when they're ready.'</w:t>
      </w:r>
    </w:p>
    <w:p>
      <w:pPr>
        <w:pStyle w:val="ListParagraph"/>
        <w:numPr>
          <w:ilvl w:val="0"/>
          <w:numId w:val="2"/>
        </w:numPr>
        <w:spacing w:before="60" w:after="60"/>
      </w:pPr>
      <w:r>
        <w:rPr>
          <w:rFonts w:ascii="Arial" w:cs="Arial" w:eastAsia="Arial" w:hAnsi="Arial"/>
          <w:color w:val="2E2620"/>
          <w:sz w:val="22"/>
          <w:szCs w:val="22"/>
        </w:rPr>
        <w:t xml:space="preserve">Single field (email only) on inline captures. Full name optional on the dedicated Dispatch signup page</w:t>
      </w:r>
    </w:p>
    <w:p>
      <w:pPr>
        <w:pBdr>
          <w:bottom w:val="single" w:color="C9A96E" w:sz="4" w:space="1"/>
        </w:pBdr>
        <w:spacing w:before="200" w:after="200"/>
      </w:pPr>
      <w:r>
        <w:t xml:space="preserve"/>
      </w:r>
    </w:p>
    <w:p>
      <w:pPr>
        <w:pStyle w:val="Heading1"/>
        <w:spacing w:before="480" w:after="160"/>
      </w:pPr>
      <w:r>
        <w:rPr>
          <w:rFonts w:ascii="Arial" w:cs="Arial" w:eastAsia="Arial" w:hAnsi="Arial"/>
          <w:b/>
          <w:bCs/>
          <w:color w:val="2E2620"/>
          <w:sz w:val="32"/>
          <w:szCs w:val="32"/>
        </w:rPr>
        <w:t xml:space="preserve">8. Design Anti-Patterns — What Not to Build</w:t>
      </w:r>
    </w:p>
    <w:p>
      <w:pPr>
        <w:spacing w:before="80" w:after="120"/>
      </w:pPr>
      <w:r>
        <w:rPr>
          <w:rFonts w:ascii="Arial" w:cs="Arial" w:eastAsia="Arial" w:hAnsi="Arial"/>
          <w:color w:val="2E2620"/>
          <w:sz w:val="22"/>
          <w:szCs w:val="22"/>
        </w:rPr>
        <w:t xml:space="preserve">These patterns are common in the senior living and directory space. Burnish explicitly rejects all of them. If any exist in the current build, remove or redesign.</w:t>
      </w:r>
    </w:p>
    <w:p>
      <w:pPr>
        <w:spacing w:before="80" w:after="80"/>
      </w:pPr>
      <w:r>
        <w:t xml:space="preserve"/>
      </w:r>
    </w:p>
    <w:p>
      <w:pPr>
        <w:pStyle w:val="ListParagraph"/>
        <w:numPr>
          <w:ilvl w:val="0"/>
          <w:numId w:val="2"/>
        </w:numPr>
        <w:spacing w:before="60" w:after="60"/>
      </w:pPr>
      <w:r>
        <w:rPr>
          <w:rFonts w:ascii="Arial" w:cs="Arial" w:eastAsia="Arial" w:hAnsi="Arial"/>
          <w:color w:val="2E2620"/>
          <w:sz w:val="22"/>
          <w:szCs w:val="22"/>
        </w:rPr>
        <w:t xml:space="preserve">Smiling multi-generational family stock photography — signals a generic directory, not an editorial brand</w:t>
      </w:r>
    </w:p>
    <w:p>
      <w:pPr>
        <w:pStyle w:val="ListParagraph"/>
        <w:numPr>
          <w:ilvl w:val="0"/>
          <w:numId w:val="2"/>
        </w:numPr>
        <w:spacing w:before="60" w:after="60"/>
      </w:pPr>
      <w:r>
        <w:rPr>
          <w:rFonts w:ascii="Arial" w:cs="Arial" w:eastAsia="Arial" w:hAnsi="Arial"/>
          <w:color w:val="2E2620"/>
          <w:sz w:val="22"/>
          <w:szCs w:val="22"/>
        </w:rPr>
        <w:t xml:space="preserve">Pastel color schemes — blush, lavender, soft green; these read as wellness brands, not authoritative publications</w:t>
      </w:r>
    </w:p>
    <w:p>
      <w:pPr>
        <w:pStyle w:val="ListParagraph"/>
        <w:numPr>
          <w:ilvl w:val="0"/>
          <w:numId w:val="2"/>
        </w:numPr>
        <w:spacing w:before="60" w:after="60"/>
      </w:pPr>
      <w:r>
        <w:rPr>
          <w:rFonts w:ascii="Arial" w:cs="Arial" w:eastAsia="Arial" w:hAnsi="Arial"/>
          <w:color w:val="2E2620"/>
          <w:sz w:val="22"/>
          <w:szCs w:val="22"/>
        </w:rPr>
        <w:t xml:space="preserve">Star ratings — Yelp-adjacent, undermines the Burnish tier system</w:t>
      </w:r>
    </w:p>
    <w:p>
      <w:pPr>
        <w:pStyle w:val="ListParagraph"/>
        <w:numPr>
          <w:ilvl w:val="0"/>
          <w:numId w:val="2"/>
        </w:numPr>
        <w:spacing w:before="60" w:after="60"/>
      </w:pPr>
      <w:r>
        <w:rPr>
          <w:rFonts w:ascii="Arial" w:cs="Arial" w:eastAsia="Arial" w:hAnsi="Arial"/>
          <w:color w:val="2E2620"/>
          <w:sz w:val="22"/>
          <w:szCs w:val="22"/>
        </w:rPr>
        <w:t xml:space="preserve">Cluttered UI with too many CTAs per page — one primary action per page maximum</w:t>
      </w:r>
    </w:p>
    <w:p>
      <w:pPr>
        <w:pStyle w:val="ListParagraph"/>
        <w:numPr>
          <w:ilvl w:val="0"/>
          <w:numId w:val="2"/>
        </w:numPr>
        <w:spacing w:before="60" w:after="60"/>
      </w:pPr>
      <w:r>
        <w:rPr>
          <w:rFonts w:ascii="Arial" w:cs="Arial" w:eastAsia="Arial" w:hAnsi="Arial"/>
          <w:color w:val="2E2620"/>
          <w:sz w:val="22"/>
          <w:szCs w:val="22"/>
        </w:rPr>
        <w:t xml:space="preserve">Clinical or medical language in editorial copy — avoid 'care needs', 'placement', 'patient', 'facility' in non-clinical contexts</w:t>
      </w:r>
    </w:p>
    <w:p>
      <w:pPr>
        <w:pStyle w:val="ListParagraph"/>
        <w:numPr>
          <w:ilvl w:val="0"/>
          <w:numId w:val="2"/>
        </w:numPr>
        <w:spacing w:before="60" w:after="60"/>
      </w:pPr>
      <w:r>
        <w:rPr>
          <w:rFonts w:ascii="Arial" w:cs="Arial" w:eastAsia="Arial" w:hAnsi="Arial"/>
          <w:color w:val="2E2620"/>
          <w:sz w:val="22"/>
          <w:szCs w:val="22"/>
        </w:rPr>
        <w:t xml:space="preserve">Pop-up lead forms on page entry — not a lead-farm, it is an editorial brand</w:t>
      </w:r>
    </w:p>
    <w:p>
      <w:pPr>
        <w:pStyle w:val="ListParagraph"/>
        <w:numPr>
          <w:ilvl w:val="0"/>
          <w:numId w:val="2"/>
        </w:numPr>
        <w:spacing w:before="60" w:after="60"/>
      </w:pPr>
      <w:r>
        <w:rPr>
          <w:rFonts w:ascii="Arial" w:cs="Arial" w:eastAsia="Arial" w:hAnsi="Arial"/>
          <w:color w:val="2E2620"/>
          <w:sz w:val="22"/>
          <w:szCs w:val="22"/>
        </w:rPr>
        <w:t xml:space="preserve">The word 'journey' — hollow</w:t>
      </w:r>
    </w:p>
    <w:p>
      <w:pPr>
        <w:pStyle w:val="ListParagraph"/>
        <w:numPr>
          <w:ilvl w:val="0"/>
          <w:numId w:val="2"/>
        </w:numPr>
        <w:spacing w:before="60" w:after="60"/>
      </w:pPr>
      <w:r>
        <w:rPr>
          <w:rFonts w:ascii="Arial" w:cs="Arial" w:eastAsia="Arial" w:hAnsi="Arial"/>
          <w:color w:val="2E2620"/>
          <w:sz w:val="22"/>
          <w:szCs w:val="22"/>
        </w:rPr>
        <w:t xml:space="preserve">Auto-playing video — particularly inappropriate for this audience</w:t>
      </w:r>
    </w:p>
    <w:p>
      <w:pPr>
        <w:pStyle w:val="ListParagraph"/>
        <w:numPr>
          <w:ilvl w:val="0"/>
          <w:numId w:val="2"/>
        </w:numPr>
        <w:spacing w:before="60" w:after="60"/>
      </w:pPr>
      <w:r>
        <w:rPr>
          <w:rFonts w:ascii="Arial" w:cs="Arial" w:eastAsia="Arial" w:hAnsi="Arial"/>
          <w:color w:val="2E2620"/>
          <w:sz w:val="22"/>
          <w:szCs w:val="22"/>
        </w:rPr>
        <w:t xml:space="preserve">Tiny text or low contrast — this audience skews older</w:t>
      </w:r>
    </w:p>
    <w:p>
      <w:pPr>
        <w:pBdr>
          <w:bottom w:val="single" w:color="C9A96E" w:sz="4" w:space="1"/>
        </w:pBdr>
        <w:spacing w:before="200" w:after="200"/>
      </w:pPr>
      <w:r>
        <w:t xml:space="preserve"/>
      </w:r>
    </w:p>
    <w:p>
      <w:pPr>
        <w:pStyle w:val="Heading1"/>
        <w:spacing w:before="480" w:after="160"/>
      </w:pPr>
      <w:r>
        <w:rPr>
          <w:rFonts w:ascii="Arial" w:cs="Arial" w:eastAsia="Arial" w:hAnsi="Arial"/>
          <w:b/>
          <w:bCs/>
          <w:color w:val="2E2620"/>
          <w:sz w:val="32"/>
          <w:szCs w:val="32"/>
        </w:rPr>
        <w:t xml:space="preserve">9. Accessibility Requirements</w:t>
      </w:r>
    </w:p>
    <w:p>
      <w:pPr>
        <w:spacing w:before="80" w:after="120"/>
      </w:pPr>
      <w:r>
        <w:rPr>
          <w:rFonts w:ascii="Arial" w:cs="Arial" w:eastAsia="Arial" w:hAnsi="Arial"/>
          <w:color w:val="2E2620"/>
          <w:sz w:val="22"/>
          <w:szCs w:val="22"/>
        </w:rPr>
        <w:t xml:space="preserve">Non-negotiable given the audience. A meaningful portion of Burnish's readers are older adults with varying degrees of visual acuity.</w:t>
      </w:r>
    </w:p>
    <w:p>
      <w:pPr>
        <w:spacing w:before="80" w:after="80"/>
      </w:pPr>
      <w:r>
        <w:t xml:space="preserve"/>
      </w:r>
    </w:p>
    <w:p>
      <w:pPr>
        <w:pStyle w:val="ListParagraph"/>
        <w:numPr>
          <w:ilvl w:val="0"/>
          <w:numId w:val="2"/>
        </w:numPr>
        <w:spacing w:before="60" w:after="60"/>
      </w:pPr>
      <w:r>
        <w:rPr>
          <w:rFonts w:ascii="Arial" w:cs="Arial" w:eastAsia="Arial" w:hAnsi="Arial"/>
          <w:color w:val="2E2620"/>
          <w:sz w:val="22"/>
          <w:szCs w:val="22"/>
        </w:rPr>
        <w:t xml:space="preserve">WCAG AA compliance minimum — target AAA where feasible</w:t>
      </w:r>
    </w:p>
    <w:p>
      <w:pPr>
        <w:pStyle w:val="ListParagraph"/>
        <w:numPr>
          <w:ilvl w:val="0"/>
          <w:numId w:val="2"/>
        </w:numPr>
        <w:spacing w:before="60" w:after="60"/>
      </w:pPr>
      <w:r>
        <w:rPr>
          <w:rFonts w:ascii="Arial" w:cs="Arial" w:eastAsia="Arial" w:hAnsi="Arial"/>
          <w:color w:val="2E2620"/>
          <w:sz w:val="22"/>
          <w:szCs w:val="22"/>
        </w:rPr>
        <w:t xml:space="preserve">Minimum body text size: 16px on desktop, 15px on mobile</w:t>
      </w:r>
    </w:p>
    <w:p>
      <w:pPr>
        <w:pStyle w:val="ListParagraph"/>
        <w:numPr>
          <w:ilvl w:val="0"/>
          <w:numId w:val="2"/>
        </w:numPr>
        <w:spacing w:before="60" w:after="60"/>
      </w:pPr>
      <w:r>
        <w:rPr>
          <w:rFonts w:ascii="Arial" w:cs="Arial" w:eastAsia="Arial" w:hAnsi="Arial"/>
          <w:color w:val="2E2620"/>
          <w:sz w:val="22"/>
          <w:szCs w:val="22"/>
        </w:rPr>
        <w:t xml:space="preserve">Contrast ratio: minimum 4.5:1 for body text in both dark and light modes — verify both</w:t>
      </w:r>
    </w:p>
    <w:p>
      <w:pPr>
        <w:pStyle w:val="ListParagraph"/>
        <w:numPr>
          <w:ilvl w:val="0"/>
          <w:numId w:val="2"/>
        </w:numPr>
        <w:spacing w:before="60" w:after="60"/>
      </w:pPr>
      <w:r>
        <w:rPr>
          <w:rFonts w:ascii="Arial" w:cs="Arial" w:eastAsia="Arial" w:hAnsi="Arial"/>
          <w:color w:val="2E2620"/>
          <w:sz w:val="22"/>
          <w:szCs w:val="22"/>
        </w:rPr>
        <w:t xml:space="preserve">All interactive elements must have visible focus states — style them on-brand rather than default browser blue</w:t>
      </w:r>
    </w:p>
    <w:p>
      <w:pPr>
        <w:pStyle w:val="ListParagraph"/>
        <w:numPr>
          <w:ilvl w:val="0"/>
          <w:numId w:val="2"/>
        </w:numPr>
        <w:spacing w:before="60" w:after="60"/>
      </w:pPr>
      <w:r>
        <w:rPr>
          <w:rFonts w:ascii="Arial" w:cs="Arial" w:eastAsia="Arial" w:hAnsi="Arial"/>
          <w:color w:val="2E2620"/>
          <w:sz w:val="22"/>
          <w:szCs w:val="22"/>
        </w:rPr>
        <w:t xml:space="preserve">Alt text on all images — written editorially, not generically</w:t>
      </w:r>
    </w:p>
    <w:p>
      <w:pPr>
        <w:pStyle w:val="ListParagraph"/>
        <w:numPr>
          <w:ilvl w:val="0"/>
          <w:numId w:val="2"/>
        </w:numPr>
        <w:spacing w:before="60" w:after="60"/>
      </w:pPr>
      <w:r>
        <w:rPr>
          <w:rFonts w:ascii="Arial" w:cs="Arial" w:eastAsia="Arial" w:hAnsi="Arial"/>
          <w:color w:val="2E2620"/>
          <w:sz w:val="22"/>
          <w:szCs w:val="22"/>
        </w:rPr>
        <w:t xml:space="preserve">Navigation must be keyboard accessible</w:t>
      </w:r>
    </w:p>
    <w:p>
      <w:pPr>
        <w:pStyle w:val="ListParagraph"/>
        <w:numPr>
          <w:ilvl w:val="0"/>
          <w:numId w:val="2"/>
        </w:numPr>
        <w:spacing w:before="60" w:after="60"/>
      </w:pPr>
      <w:r>
        <w:rPr>
          <w:rFonts w:ascii="Arial" w:cs="Arial" w:eastAsia="Arial" w:hAnsi="Arial"/>
          <w:color w:val="2E2620"/>
          <w:sz w:val="22"/>
          <w:szCs w:val="22"/>
        </w:rPr>
        <w:t xml:space="preserve">Use rem units (not px) so browser font preferences are respected</w:t>
      </w:r>
    </w:p>
    <w:p>
      <w:pPr>
        <w:pBdr>
          <w:bottom w:val="single" w:color="C9A96E" w:sz="4" w:space="1"/>
        </w:pBdr>
        <w:spacing w:before="200" w:after="200"/>
      </w:pPr>
      <w:r>
        <w:t xml:space="preserve"/>
      </w:r>
    </w:p>
    <w:p>
      <w:pPr>
        <w:pStyle w:val="Heading1"/>
        <w:spacing w:before="480" w:after="160"/>
      </w:pPr>
      <w:r>
        <w:rPr>
          <w:rFonts w:ascii="Arial" w:cs="Arial" w:eastAsia="Arial" w:hAnsi="Arial"/>
          <w:b/>
          <w:bCs/>
          <w:color w:val="2E2620"/>
          <w:sz w:val="32"/>
          <w:szCs w:val="32"/>
        </w:rPr>
        <w:t xml:space="preserve">10. Phased Implementation Priorities</w:t>
      </w:r>
    </w:p>
    <w:p>
      <w:pPr>
        <w:spacing w:before="80" w:after="120"/>
      </w:pPr>
      <w:r>
        <w:rPr>
          <w:rFonts w:ascii="Arial" w:cs="Arial" w:eastAsia="Arial" w:hAnsi="Arial"/>
          <w:color w:val="2E2620"/>
          <w:sz w:val="22"/>
          <w:szCs w:val="22"/>
        </w:rPr>
        <w:t xml:space="preserve">Features are organized into four phases. Complete each phase in sequence. Do not begin Phase 3 features until Phase 2 is stable.</w:t>
      </w:r>
    </w:p>
    <w:p>
      <w:pPr>
        <w:pStyle w:val="Heading2"/>
        <w:spacing w:before="320" w:after="120"/>
      </w:pPr>
      <w:r>
        <w:rPr>
          <w:rFonts w:ascii="Arial" w:cs="Arial" w:eastAsia="Arial" w:hAnsi="Arial"/>
          <w:b/>
          <w:bCs/>
          <w:color w:val="2E2620"/>
          <w:sz w:val="24"/>
          <w:szCs w:val="24"/>
        </w:rPr>
        <w:t xml:space="preserve">Phase 1 — Foundation (Launch-Ready)</w:t>
      </w:r>
    </w:p>
    <w:p>
      <w:pPr>
        <w:spacing w:before="80" w:after="120"/>
      </w:pPr>
      <w:r>
        <w:rPr>
          <w:rFonts w:ascii="Arial" w:cs="Arial" w:eastAsia="Arial" w:hAnsi="Arial"/>
          <w:color w:val="2E2620"/>
          <w:sz w:val="22"/>
          <w:szCs w:val="22"/>
        </w:rPr>
        <w:t xml:space="preserve">Everything the site needs to be credible on day one. This phase is about brand application and infrastructure, not new content.</w:t>
      </w:r>
    </w:p>
    <w:p>
      <w:pPr>
        <w:pStyle w:val="ListParagraph"/>
        <w:numPr>
          <w:ilvl w:val="0"/>
          <w:numId w:val="2"/>
        </w:numPr>
        <w:spacing w:before="60" w:after="60"/>
      </w:pPr>
      <w:r>
        <w:rPr>
          <w:rFonts w:ascii="Arial" w:cs="Arial" w:eastAsia="Arial" w:hAnsi="Arial"/>
          <w:color w:val="2E2620"/>
          <w:sz w:val="22"/>
          <w:szCs w:val="22"/>
        </w:rPr>
        <w:t xml:space="preserve">Apply full color system (dark/light) with mode toggle — single biggest visual upgrade</w:t>
      </w:r>
    </w:p>
    <w:p>
      <w:pPr>
        <w:pStyle w:val="ListParagraph"/>
        <w:numPr>
          <w:ilvl w:val="0"/>
          <w:numId w:val="2"/>
        </w:numPr>
        <w:spacing w:before="60" w:after="60"/>
      </w:pPr>
      <w:r>
        <w:rPr>
          <w:rFonts w:ascii="Arial" w:cs="Arial" w:eastAsia="Arial" w:hAnsi="Arial"/>
          <w:color w:val="2E2620"/>
          <w:sz w:val="22"/>
          <w:szCs w:val="22"/>
        </w:rPr>
        <w:t xml:space="preserve">Implement Cormorant Garamond + Jost typography system across all pages</w:t>
      </w:r>
    </w:p>
    <w:p>
      <w:pPr>
        <w:pStyle w:val="ListParagraph"/>
        <w:numPr>
          <w:ilvl w:val="0"/>
          <w:numId w:val="2"/>
        </w:numPr>
        <w:spacing w:before="60" w:after="60"/>
      </w:pPr>
      <w:r>
        <w:rPr>
          <w:rFonts w:ascii="Arial" w:cs="Arial" w:eastAsia="Arial" w:hAnsi="Arial"/>
          <w:color w:val="2E2620"/>
          <w:sz w:val="22"/>
          <w:szCs w:val="22"/>
        </w:rPr>
        <w:t xml:space="preserve">Build tier badge component (Platinum, Gold, Silver, Bronze, In Assay) — used on cards and profile pages</w:t>
      </w:r>
    </w:p>
    <w:p>
      <w:pPr>
        <w:pStyle w:val="ListParagraph"/>
        <w:numPr>
          <w:ilvl w:val="0"/>
          <w:numId w:val="2"/>
        </w:numPr>
        <w:spacing w:before="60" w:after="60"/>
      </w:pPr>
      <w:r>
        <w:rPr>
          <w:rFonts w:ascii="Arial" w:cs="Arial" w:eastAsia="Arial" w:hAnsi="Arial"/>
          <w:color w:val="2E2620"/>
          <w:sz w:val="22"/>
          <w:szCs w:val="22"/>
        </w:rPr>
        <w:t xml:space="preserve">Redesign community profile card to include tier badge, amenity tags, and editorial line</w:t>
      </w:r>
    </w:p>
    <w:p>
      <w:pPr>
        <w:pStyle w:val="ListParagraph"/>
        <w:numPr>
          <w:ilvl w:val="0"/>
          <w:numId w:val="2"/>
        </w:numPr>
        <w:spacing w:before="60" w:after="60"/>
      </w:pPr>
      <w:r>
        <w:rPr>
          <w:rFonts w:ascii="Arial" w:cs="Arial" w:eastAsia="Arial" w:hAnsi="Arial"/>
          <w:color w:val="2E2620"/>
          <w:sz w:val="22"/>
          <w:szCs w:val="22"/>
        </w:rPr>
        <w:t xml:space="preserve">Build community profile page template: editorial write-up, tier badge, 'How We Scored This' section, amenity breakdown, photography treatment, lead form placement</w:t>
      </w:r>
    </w:p>
    <w:p>
      <w:pPr>
        <w:pStyle w:val="ListParagraph"/>
        <w:numPr>
          <w:ilvl w:val="0"/>
          <w:numId w:val="2"/>
        </w:numPr>
        <w:spacing w:before="60" w:after="60"/>
      </w:pPr>
      <w:r>
        <w:rPr>
          <w:rFonts w:ascii="Arial" w:cs="Arial" w:eastAsia="Arial" w:hAnsi="Arial"/>
          <w:color w:val="2E2620"/>
          <w:sz w:val="22"/>
          <w:szCs w:val="22"/>
        </w:rPr>
        <w:t xml:space="preserve">Build The Burnish Standard page with scoring methodology, category weights, and tier definitions</w:t>
      </w:r>
    </w:p>
    <w:p>
      <w:pPr>
        <w:pStyle w:val="ListParagraph"/>
        <w:numPr>
          <w:ilvl w:val="0"/>
          <w:numId w:val="2"/>
        </w:numPr>
        <w:spacing w:before="60" w:after="60"/>
      </w:pPr>
      <w:r>
        <w:rPr>
          <w:rFonts w:ascii="Arial" w:cs="Arial" w:eastAsia="Arial" w:hAnsi="Arial"/>
          <w:color w:val="2E2620"/>
          <w:sz w:val="22"/>
          <w:szCs w:val="22"/>
        </w:rPr>
        <w:t xml:space="preserve">Build About Burnish page</w:t>
      </w:r>
    </w:p>
    <w:p>
      <w:pPr>
        <w:pStyle w:val="ListParagraph"/>
        <w:numPr>
          <w:ilvl w:val="0"/>
          <w:numId w:val="2"/>
        </w:numPr>
        <w:spacing w:before="60" w:after="60"/>
      </w:pPr>
      <w:r>
        <w:rPr>
          <w:rFonts w:ascii="Arial" w:cs="Arial" w:eastAsia="Arial" w:hAnsi="Arial"/>
          <w:color w:val="2E2620"/>
          <w:sz w:val="22"/>
          <w:szCs w:val="22"/>
        </w:rPr>
        <w:t xml:space="preserve">Audit and remove all anti-patterns from existing build</w:t>
      </w:r>
    </w:p>
    <w:p>
      <w:pPr>
        <w:pStyle w:val="ListParagraph"/>
        <w:numPr>
          <w:ilvl w:val="0"/>
          <w:numId w:val="2"/>
        </w:numPr>
        <w:spacing w:before="60" w:after="60"/>
      </w:pPr>
      <w:r>
        <w:rPr>
          <w:rFonts w:ascii="Arial" w:cs="Arial" w:eastAsia="Arial" w:hAnsi="Arial"/>
          <w:color w:val="2E2620"/>
          <w:sz w:val="22"/>
          <w:szCs w:val="22"/>
        </w:rPr>
        <w:t xml:space="preserve">Verify WCAG AA compliance in both dark and light modes</w:t>
      </w:r>
    </w:p>
    <w:p>
      <w:pPr>
        <w:pStyle w:val="Heading2"/>
        <w:spacing w:before="320" w:after="120"/>
      </w:pPr>
      <w:r>
        <w:rPr>
          <w:rFonts w:ascii="Arial" w:cs="Arial" w:eastAsia="Arial" w:hAnsi="Arial"/>
          <w:b/>
          <w:bCs/>
          <w:color w:val="2E2620"/>
          <w:sz w:val="24"/>
          <w:szCs w:val="24"/>
        </w:rPr>
        <w:t xml:space="preserve">Phase 2 — Editorial Engine (First 60 Days)</w:t>
      </w:r>
    </w:p>
    <w:p>
      <w:pPr>
        <w:spacing w:before="80" w:after="120"/>
      </w:pPr>
      <w:r>
        <w:rPr>
          <w:rFonts w:ascii="Arial" w:cs="Arial" w:eastAsia="Arial" w:hAnsi="Arial"/>
          <w:color w:val="2E2620"/>
          <w:sz w:val="22"/>
          <w:szCs w:val="22"/>
        </w:rPr>
        <w:t xml:space="preserve">The features that turn the site from a directory into a media brand.</w:t>
      </w:r>
    </w:p>
    <w:p>
      <w:pPr>
        <w:pStyle w:val="ListParagraph"/>
        <w:numPr>
          <w:ilvl w:val="0"/>
          <w:numId w:val="2"/>
        </w:numPr>
        <w:spacing w:before="60" w:after="60"/>
      </w:pPr>
      <w:r>
        <w:rPr>
          <w:rFonts w:ascii="Arial" w:cs="Arial" w:eastAsia="Arial" w:hAnsi="Arial"/>
          <w:color w:val="2E2620"/>
          <w:sz w:val="22"/>
          <w:szCs w:val="22"/>
        </w:rPr>
        <w:t xml:space="preserve">Build The Edit template — curated collection pages with editorial intro, featured image, community cards, Burnish Recommended badge</w:t>
      </w:r>
    </w:p>
    <w:p>
      <w:pPr>
        <w:pStyle w:val="ListParagraph"/>
        <w:numPr>
          <w:ilvl w:val="0"/>
          <w:numId w:val="2"/>
        </w:numPr>
        <w:spacing w:before="60" w:after="60"/>
      </w:pPr>
      <w:r>
        <w:rPr>
          <w:rFonts w:ascii="Arial" w:cs="Arial" w:eastAsia="Arial" w:hAnsi="Arial"/>
          <w:color w:val="2E2620"/>
          <w:sz w:val="22"/>
          <w:szCs w:val="22"/>
        </w:rPr>
        <w:t xml:space="preserve">Build Patina Profile template — long-form narrative feature page, distinct from standard profile</w:t>
      </w:r>
    </w:p>
    <w:p>
      <w:pPr>
        <w:pStyle w:val="ListParagraph"/>
        <w:numPr>
          <w:ilvl w:val="0"/>
          <w:numId w:val="2"/>
        </w:numPr>
        <w:spacing w:before="60" w:after="60"/>
      </w:pPr>
      <w:r>
        <w:rPr>
          <w:rFonts w:ascii="Arial" w:cs="Arial" w:eastAsia="Arial" w:hAnsi="Arial"/>
          <w:color w:val="2E2620"/>
          <w:sz w:val="22"/>
          <w:szCs w:val="22"/>
        </w:rPr>
        <w:t xml:space="preserve">Build Local Knowledge template — county-level editorial guide page</w:t>
      </w:r>
    </w:p>
    <w:p>
      <w:pPr>
        <w:pStyle w:val="ListParagraph"/>
        <w:numPr>
          <w:ilvl w:val="0"/>
          <w:numId w:val="2"/>
        </w:numPr>
        <w:spacing w:before="60" w:after="60"/>
      </w:pPr>
      <w:r>
        <w:rPr>
          <w:rFonts w:ascii="Arial" w:cs="Arial" w:eastAsia="Arial" w:hAnsi="Arial"/>
          <w:color w:val="2E2620"/>
          <w:sz w:val="22"/>
          <w:szCs w:val="22"/>
        </w:rPr>
        <w:t xml:space="preserve">Build The Burnish Dispatch signup page and integrate newsletter infrastructure</w:t>
      </w:r>
    </w:p>
    <w:p>
      <w:pPr>
        <w:pStyle w:val="ListParagraph"/>
        <w:numPr>
          <w:ilvl w:val="0"/>
          <w:numId w:val="2"/>
        </w:numPr>
        <w:spacing w:before="60" w:after="60"/>
      </w:pPr>
      <w:r>
        <w:rPr>
          <w:rFonts w:ascii="Arial" w:cs="Arial" w:eastAsia="Arial" w:hAnsi="Arial"/>
          <w:color w:val="2E2620"/>
          <w:sz w:val="22"/>
          <w:szCs w:val="22"/>
        </w:rPr>
        <w:t xml:space="preserve">Add Burnish Dispatch signup to homepage hero (secondary CTA), editorial page footers, and site footer</w:t>
      </w:r>
    </w:p>
    <w:p>
      <w:pPr>
        <w:pStyle w:val="ListParagraph"/>
        <w:numPr>
          <w:ilvl w:val="0"/>
          <w:numId w:val="2"/>
        </w:numPr>
        <w:spacing w:before="60" w:after="60"/>
      </w:pPr>
      <w:r>
        <w:rPr>
          <w:rFonts w:ascii="Arial" w:cs="Arial" w:eastAsia="Arial" w:hAnsi="Arial"/>
          <w:color w:val="2E2620"/>
          <w:sz w:val="22"/>
          <w:szCs w:val="22"/>
        </w:rPr>
        <w:t xml:space="preserve">Publish first scored community profiles — even a handful changes the feel of the entire site</w:t>
      </w:r>
    </w:p>
    <w:p>
      <w:pPr>
        <w:pStyle w:val="ListParagraph"/>
        <w:numPr>
          <w:ilvl w:val="0"/>
          <w:numId w:val="2"/>
        </w:numPr>
        <w:spacing w:before="60" w:after="60"/>
      </w:pPr>
      <w:r>
        <w:rPr>
          <w:rFonts w:ascii="Arial" w:cs="Arial" w:eastAsia="Arial" w:hAnsi="Arial"/>
          <w:color w:val="2E2620"/>
          <w:sz w:val="22"/>
          <w:szCs w:val="22"/>
        </w:rPr>
        <w:t xml:space="preserve">Build Editorial Article / Guide template for decision-framework content</w:t>
      </w:r>
    </w:p>
    <w:p>
      <w:pPr>
        <w:pStyle w:val="Heading2"/>
        <w:spacing w:before="320" w:after="120"/>
      </w:pPr>
      <w:r>
        <w:rPr>
          <w:rFonts w:ascii="Arial" w:cs="Arial" w:eastAsia="Arial" w:hAnsi="Arial"/>
          <w:b/>
          <w:bCs/>
          <w:color w:val="2E2620"/>
          <w:sz w:val="24"/>
          <w:szCs w:val="24"/>
        </w:rPr>
        <w:t xml:space="preserve">Phase 3 — Discovery &amp; Filtering (Days 60–120)</w:t>
      </w:r>
    </w:p>
    <w:p>
      <w:pPr>
        <w:spacing w:before="80" w:after="120"/>
      </w:pPr>
      <w:r>
        <w:rPr>
          <w:rFonts w:ascii="Arial" w:cs="Arial" w:eastAsia="Arial" w:hAnsi="Arial"/>
          <w:color w:val="2E2620"/>
          <w:sz w:val="22"/>
          <w:szCs w:val="22"/>
        </w:rPr>
        <w:t xml:space="preserve">Features that serve users actively browsing rather than arriving from search. Requires sufficient data in the system to be useful.</w:t>
      </w:r>
    </w:p>
    <w:p>
      <w:pPr>
        <w:pStyle w:val="ListParagraph"/>
        <w:numPr>
          <w:ilvl w:val="0"/>
          <w:numId w:val="2"/>
        </w:numPr>
        <w:spacing w:before="60" w:after="60"/>
      </w:pPr>
      <w:r>
        <w:rPr>
          <w:rFonts w:ascii="Arial" w:cs="Arial" w:eastAsia="Arial" w:hAnsi="Arial"/>
          <w:color w:val="2E2620"/>
          <w:sz w:val="22"/>
          <w:szCs w:val="22"/>
        </w:rPr>
        <w:t xml:space="preserve">Build rich filter system — county, care type, price tier, amenities, score tier, score threshold — no page reload</w:t>
      </w:r>
    </w:p>
    <w:p>
      <w:pPr>
        <w:pStyle w:val="ListParagraph"/>
        <w:numPr>
          <w:ilvl w:val="0"/>
          <w:numId w:val="2"/>
        </w:numPr>
        <w:spacing w:before="60" w:after="60"/>
      </w:pPr>
      <w:r>
        <w:rPr>
          <w:rFonts w:ascii="Arial" w:cs="Arial" w:eastAsia="Arial" w:hAnsi="Arial"/>
          <w:color w:val="2E2620"/>
          <w:sz w:val="22"/>
          <w:szCs w:val="22"/>
        </w:rPr>
        <w:t xml:space="preserve">Build map view alongside list view for directory browsing</w:t>
      </w:r>
    </w:p>
    <w:p>
      <w:pPr>
        <w:pStyle w:val="ListParagraph"/>
        <w:numPr>
          <w:ilvl w:val="0"/>
          <w:numId w:val="2"/>
        </w:numPr>
        <w:spacing w:before="60" w:after="60"/>
      </w:pPr>
      <w:r>
        <w:rPr>
          <w:rFonts w:ascii="Arial" w:cs="Arial" w:eastAsia="Arial" w:hAnsi="Arial"/>
          <w:color w:val="2E2620"/>
          <w:sz w:val="22"/>
          <w:szCs w:val="22"/>
        </w:rPr>
        <w:t xml:space="preserve">Add 'How it compares' comparison context note to community profiles</w:t>
      </w:r>
    </w:p>
    <w:p>
      <w:pPr>
        <w:pStyle w:val="ListParagraph"/>
        <w:numPr>
          <w:ilvl w:val="0"/>
          <w:numId w:val="2"/>
        </w:numPr>
        <w:spacing w:before="60" w:after="60"/>
      </w:pPr>
      <w:r>
        <w:rPr>
          <w:rFonts w:ascii="Arial" w:cs="Arial" w:eastAsia="Arial" w:hAnsi="Arial"/>
          <w:color w:val="2E2620"/>
          <w:sz w:val="22"/>
          <w:szCs w:val="22"/>
        </w:rPr>
        <w:t xml:space="preserve">Refine community card grid with sort options (score, alphabetical, distance)</w:t>
      </w:r>
    </w:p>
    <w:p>
      <w:pPr>
        <w:pStyle w:val="ListParagraph"/>
        <w:numPr>
          <w:ilvl w:val="0"/>
          <w:numId w:val="2"/>
        </w:numPr>
        <w:spacing w:before="60" w:after="60"/>
      </w:pPr>
      <w:r>
        <w:rPr>
          <w:rFonts w:ascii="Arial" w:cs="Arial" w:eastAsia="Arial" w:hAnsi="Arial"/>
          <w:color w:val="2E2620"/>
          <w:sz w:val="22"/>
          <w:szCs w:val="22"/>
        </w:rPr>
        <w:t xml:space="preserve">Add The Mark component to scored community profiles (60+ only)</w:t>
      </w:r>
    </w:p>
    <w:p>
      <w:pPr>
        <w:pStyle w:val="Heading2"/>
        <w:spacing w:before="320" w:after="120"/>
      </w:pPr>
      <w:r>
        <w:rPr>
          <w:rFonts w:ascii="Arial" w:cs="Arial" w:eastAsia="Arial" w:hAnsi="Arial"/>
          <w:b/>
          <w:bCs/>
          <w:color w:val="2E2620"/>
          <w:sz w:val="24"/>
          <w:szCs w:val="24"/>
        </w:rPr>
        <w:t xml:space="preserve">Phase 4 — Trust &amp; Conversion (Ongoing)</w:t>
      </w:r>
    </w:p>
    <w:p>
      <w:pPr>
        <w:spacing w:before="80" w:after="120"/>
      </w:pPr>
      <w:r>
        <w:rPr>
          <w:rFonts w:ascii="Arial" w:cs="Arial" w:eastAsia="Arial" w:hAnsi="Arial"/>
          <w:color w:val="2E2620"/>
          <w:sz w:val="22"/>
          <w:szCs w:val="22"/>
        </w:rPr>
        <w:t xml:space="preserve">Lead generation refinements and the facility-facing product. Build after Phase 3 is stable and the directory has sufficient coverage.</w:t>
      </w:r>
    </w:p>
    <w:p>
      <w:pPr>
        <w:pStyle w:val="ListParagraph"/>
        <w:numPr>
          <w:ilvl w:val="0"/>
          <w:numId w:val="2"/>
        </w:numPr>
        <w:spacing w:before="60" w:after="60"/>
      </w:pPr>
      <w:r>
        <w:rPr>
          <w:rFonts w:ascii="Arial" w:cs="Arial" w:eastAsia="Arial" w:hAnsi="Arial"/>
          <w:color w:val="2E2620"/>
          <w:sz w:val="22"/>
          <w:szCs w:val="22"/>
        </w:rPr>
        <w:t xml:space="preserve">Refine lead form language and placement based on user behavior data</w:t>
      </w:r>
    </w:p>
    <w:p>
      <w:pPr>
        <w:pStyle w:val="ListParagraph"/>
        <w:numPr>
          <w:ilvl w:val="0"/>
          <w:numId w:val="2"/>
        </w:numPr>
        <w:spacing w:before="60" w:after="60"/>
      </w:pPr>
      <w:r>
        <w:rPr>
          <w:rFonts w:ascii="Arial" w:cs="Arial" w:eastAsia="Arial" w:hAnsi="Arial"/>
          <w:color w:val="2E2620"/>
          <w:sz w:val="22"/>
          <w:szCs w:val="22"/>
        </w:rPr>
        <w:t xml:space="preserve">Build facility claim / submit listing workflow</w:t>
      </w:r>
    </w:p>
    <w:p>
      <w:pPr>
        <w:pStyle w:val="ListParagraph"/>
        <w:numPr>
          <w:ilvl w:val="0"/>
          <w:numId w:val="2"/>
        </w:numPr>
        <w:spacing w:before="60" w:after="60"/>
      </w:pPr>
      <w:r>
        <w:rPr>
          <w:rFonts w:ascii="Arial" w:cs="Arial" w:eastAsia="Arial" w:hAnsi="Arial"/>
          <w:color w:val="2E2620"/>
          <w:sz w:val="22"/>
          <w:szCs w:val="22"/>
        </w:rPr>
        <w:t xml:space="preserve">Consider facility-facing dashboard — operators can view their Burnish profile and submit additional information for score improvement</w:t>
      </w:r>
    </w:p>
    <w:p>
      <w:pPr>
        <w:pStyle w:val="ListParagraph"/>
        <w:numPr>
          <w:ilvl w:val="0"/>
          <w:numId w:val="2"/>
        </w:numPr>
        <w:spacing w:before="60" w:after="60"/>
      </w:pPr>
      <w:r>
        <w:rPr>
          <w:rFonts w:ascii="Arial" w:cs="Arial" w:eastAsia="Arial" w:hAnsi="Arial"/>
          <w:color w:val="2E2620"/>
          <w:sz w:val="22"/>
          <w:szCs w:val="22"/>
        </w:rPr>
        <w:t xml:space="preserve">Expand Burnish Dispatch to regular cadence with curated content</w:t>
      </w:r>
    </w:p>
    <w:p>
      <w:pPr>
        <w:pBdr>
          <w:bottom w:val="single" w:color="C9A96E" w:sz="4" w:space="1"/>
        </w:pBdr>
        <w:spacing w:before="200" w:after="200"/>
      </w:pPr>
      <w:r>
        <w:t xml:space="preserve"/>
      </w:r>
    </w:p>
    <w:p>
      <w:pPr>
        <w:spacing w:before="80" w:after="80"/>
      </w:pPr>
      <w:r>
        <w:t xml:space="preserve"/>
      </w:r>
    </w:p>
    <w:p>
      <w:pPr>
        <w:pBdr>
          <w:left w:val="single" w:color="C9A96E" w:sz="12" w:space="12"/>
        </w:pBdr>
        <w:spacing w:before="160" w:after="160"/>
        <w:ind w:left="720" w:right="720"/>
      </w:pPr>
      <w:r>
        <w:rPr>
          <w:rFonts w:ascii="Arial" w:cs="Arial" w:eastAsia="Arial" w:hAnsi="Arial"/>
          <w:i/>
          <w:iCs/>
          <w:color w:val="444444"/>
          <w:sz w:val="22"/>
          <w:szCs w:val="22"/>
        </w:rPr>
        <w:t xml:space="preserve">Burnish is not a lead-generation website dressed up as an editorial brand. It is an editorial brand that happens to generate leads. That distinction should be legible in every design decision.</w:t>
      </w:r>
    </w:p>
    <w:p>
      <w:pPr>
        <w:spacing w:before="80" w:after="80"/>
      </w:pPr>
      <w:r>
        <w:t xml:space="preserve"/>
      </w:r>
    </w:p>
    <w:p>
      <w:pPr>
        <w:spacing w:before="240" w:after="0"/>
        <w:jc w:val="center"/>
      </w:pPr>
      <w:r>
        <w:rPr>
          <w:rFonts w:ascii="Arial" w:cs="Arial" w:eastAsia="Arial" w:hAnsi="Arial"/>
          <w:color w:val="AAAAAA"/>
          <w:sz w:val="18"/>
          <w:szCs w:val="18"/>
        </w:rPr>
        <w:t xml:space="preserve">Burnish  ·  Confidential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2E2620"/>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2E262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2026-02-23T03:53:13.248Z</dcterms:created>
  <dcterms:modified xsi:type="dcterms:W3CDTF">2026-02-23T03:53:13.249Z</dcterms:modified>
</cp:coreProperties>
</file>

<file path=docProps/custom.xml><?xml version="1.0" encoding="utf-8"?>
<Properties xmlns="http://schemas.openxmlformats.org/officeDocument/2006/custom-properties" xmlns:vt="http://schemas.openxmlformats.org/officeDocument/2006/docPropsVTypes"/>
</file>