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4CB3" w14:textId="724BE793" w:rsidR="00C97774" w:rsidRDefault="00C97774" w:rsidP="00C97774">
      <w:pPr>
        <w:spacing w:line="276" w:lineRule="auto"/>
        <w:jc w:val="both"/>
        <w:rPr>
          <w:b/>
          <w:bCs/>
          <w:color w:val="000000" w:themeColor="text1"/>
        </w:rPr>
      </w:pPr>
      <w:r w:rsidRPr="00167CE7">
        <w:rPr>
          <w:b/>
          <w:bCs/>
          <w:color w:val="000000" w:themeColor="text1"/>
        </w:rPr>
        <w:t>S</w:t>
      </w:r>
      <w:r w:rsidR="00A416C4">
        <w:rPr>
          <w:b/>
          <w:bCs/>
          <w:color w:val="000000" w:themeColor="text1"/>
        </w:rPr>
        <w:t>upplementary</w:t>
      </w:r>
      <w:r w:rsidRPr="00167CE7">
        <w:rPr>
          <w:b/>
          <w:bCs/>
          <w:color w:val="000000" w:themeColor="text1"/>
        </w:rPr>
        <w:t xml:space="preserve"> F</w:t>
      </w:r>
      <w:r w:rsidR="00A416C4">
        <w:rPr>
          <w:b/>
          <w:bCs/>
          <w:color w:val="000000" w:themeColor="text1"/>
        </w:rPr>
        <w:t>igure</w:t>
      </w:r>
      <w:r w:rsidR="00406E30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</w:t>
      </w:r>
      <w:r w:rsidR="00A416C4">
        <w:rPr>
          <w:b/>
          <w:bCs/>
          <w:color w:val="000000" w:themeColor="text1"/>
        </w:rPr>
        <w:t>Legends</w:t>
      </w:r>
    </w:p>
    <w:p w14:paraId="2C5420E6" w14:textId="77777777" w:rsidR="00C97774" w:rsidRPr="00167CE7" w:rsidRDefault="00C97774" w:rsidP="00C97774">
      <w:pPr>
        <w:spacing w:line="276" w:lineRule="auto"/>
        <w:jc w:val="both"/>
        <w:rPr>
          <w:b/>
          <w:bCs/>
          <w:color w:val="000000" w:themeColor="text1"/>
        </w:rPr>
      </w:pPr>
    </w:p>
    <w:p w14:paraId="52375A53" w14:textId="327EE555" w:rsidR="00C97774" w:rsidRDefault="00C97774" w:rsidP="00C97774">
      <w:pPr>
        <w:spacing w:line="276" w:lineRule="auto"/>
        <w:jc w:val="both"/>
        <w:rPr>
          <w:color w:val="000000" w:themeColor="text1"/>
        </w:rPr>
      </w:pPr>
      <w:r w:rsidRPr="00167CE7">
        <w:rPr>
          <w:b/>
          <w:bCs/>
          <w:color w:val="000000" w:themeColor="text1"/>
        </w:rPr>
        <w:t>Figure S1:</w:t>
      </w:r>
      <w:r w:rsidRPr="00167CE7">
        <w:rPr>
          <w:color w:val="000000" w:themeColor="text1"/>
        </w:rPr>
        <w:t xml:space="preserve"> Growth curve of </w:t>
      </w:r>
      <w:r w:rsidRPr="00167CE7">
        <w:rPr>
          <w:i/>
          <w:iCs/>
          <w:color w:val="000000" w:themeColor="text1"/>
        </w:rPr>
        <w:t xml:space="preserve">S. </w:t>
      </w:r>
      <w:proofErr w:type="spellStart"/>
      <w:r w:rsidRPr="00167CE7">
        <w:rPr>
          <w:i/>
          <w:iCs/>
          <w:color w:val="000000" w:themeColor="text1"/>
        </w:rPr>
        <w:t>pastorianus</w:t>
      </w:r>
      <w:proofErr w:type="spellEnd"/>
      <w:r w:rsidRPr="00167CE7">
        <w:rPr>
          <w:color w:val="000000" w:themeColor="text1"/>
        </w:rPr>
        <w:t xml:space="preserve"> CBS 1513 cultured in wort, SD + 6% ethanol, SD media w/o leucine and SD media with all amino acids, at 13 °C (Panel A), 22 °C (Panel B) and 30 °C (Panel C).</w:t>
      </w:r>
    </w:p>
    <w:p w14:paraId="4930B62F" w14:textId="77777777" w:rsidR="00C97774" w:rsidRPr="00167CE7" w:rsidRDefault="00C97774" w:rsidP="00C97774">
      <w:pPr>
        <w:spacing w:line="276" w:lineRule="auto"/>
        <w:jc w:val="both"/>
        <w:rPr>
          <w:color w:val="000000" w:themeColor="text1"/>
        </w:rPr>
      </w:pPr>
    </w:p>
    <w:p w14:paraId="30910030" w14:textId="6CCA0DC7" w:rsidR="00C97774" w:rsidRDefault="00C97774" w:rsidP="00C97774">
      <w:pPr>
        <w:spacing w:line="276" w:lineRule="auto"/>
        <w:jc w:val="both"/>
        <w:rPr>
          <w:i/>
          <w:iCs/>
          <w:color w:val="000000" w:themeColor="text1"/>
        </w:rPr>
      </w:pPr>
      <w:r w:rsidRPr="00167CE7">
        <w:rPr>
          <w:b/>
          <w:bCs/>
          <w:color w:val="000000" w:themeColor="text1"/>
        </w:rPr>
        <w:t xml:space="preserve">Figure S2: </w:t>
      </w:r>
      <w:r w:rsidRPr="00167CE7">
        <w:rPr>
          <w:color w:val="000000" w:themeColor="text1"/>
        </w:rPr>
        <w:t>Validation of DE genes obtained during RNA-</w:t>
      </w:r>
      <w:proofErr w:type="spellStart"/>
      <w:r w:rsidRPr="00167CE7">
        <w:rPr>
          <w:color w:val="000000" w:themeColor="text1"/>
        </w:rPr>
        <w:t>seq</w:t>
      </w:r>
      <w:proofErr w:type="spellEnd"/>
      <w:r w:rsidRPr="00167CE7">
        <w:rPr>
          <w:color w:val="000000" w:themeColor="text1"/>
        </w:rPr>
        <w:t xml:space="preserve"> by RT-qPCRs. Relative mRNA of </w:t>
      </w:r>
      <w:r w:rsidRPr="00167CE7">
        <w:rPr>
          <w:b/>
          <w:bCs/>
          <w:color w:val="000000" w:themeColor="text1"/>
        </w:rPr>
        <w:t>Panel A:</w:t>
      </w:r>
      <w:r w:rsidRPr="00167CE7">
        <w:rPr>
          <w:color w:val="000000" w:themeColor="text1"/>
        </w:rPr>
        <w:t xml:space="preserve"> </w:t>
      </w:r>
      <w:r w:rsidRPr="00167CE7">
        <w:rPr>
          <w:i/>
          <w:iCs/>
          <w:color w:val="000000" w:themeColor="text1"/>
        </w:rPr>
        <w:t>REB1</w:t>
      </w:r>
      <w:r w:rsidRPr="00167CE7">
        <w:rPr>
          <w:color w:val="000000" w:themeColor="text1"/>
        </w:rPr>
        <w:t xml:space="preserve">, </w:t>
      </w:r>
      <w:r w:rsidRPr="00167CE7">
        <w:rPr>
          <w:b/>
          <w:bCs/>
          <w:color w:val="000000" w:themeColor="text1"/>
        </w:rPr>
        <w:t>Panel B</w:t>
      </w:r>
      <w:r w:rsidRPr="00167CE7">
        <w:rPr>
          <w:color w:val="000000" w:themeColor="text1"/>
        </w:rPr>
        <w:t xml:space="preserve">: </w:t>
      </w:r>
      <w:r w:rsidRPr="00167CE7">
        <w:rPr>
          <w:i/>
          <w:iCs/>
          <w:color w:val="000000" w:themeColor="text1"/>
        </w:rPr>
        <w:t>PRE7</w:t>
      </w:r>
      <w:r w:rsidRPr="00167CE7">
        <w:rPr>
          <w:color w:val="000000" w:themeColor="text1"/>
        </w:rPr>
        <w:t xml:space="preserve">, </w:t>
      </w:r>
      <w:r w:rsidRPr="00167CE7">
        <w:rPr>
          <w:b/>
          <w:bCs/>
          <w:color w:val="000000" w:themeColor="text1"/>
        </w:rPr>
        <w:t>Panel C</w:t>
      </w:r>
      <w:r w:rsidRPr="00167CE7">
        <w:rPr>
          <w:color w:val="000000" w:themeColor="text1"/>
        </w:rPr>
        <w:t xml:space="preserve">: </w:t>
      </w:r>
      <w:r w:rsidRPr="00167CE7">
        <w:rPr>
          <w:i/>
          <w:iCs/>
          <w:color w:val="000000" w:themeColor="text1"/>
        </w:rPr>
        <w:t xml:space="preserve">YBR241C, </w:t>
      </w:r>
      <w:r w:rsidRPr="00167CE7">
        <w:rPr>
          <w:b/>
          <w:bCs/>
          <w:color w:val="000000" w:themeColor="text1"/>
        </w:rPr>
        <w:t>Panel D</w:t>
      </w:r>
      <w:r w:rsidRPr="00167CE7">
        <w:rPr>
          <w:i/>
          <w:iCs/>
          <w:color w:val="000000" w:themeColor="text1"/>
        </w:rPr>
        <w:t>: TDA10,</w:t>
      </w:r>
      <w:r w:rsidRPr="00167CE7">
        <w:rPr>
          <w:color w:val="000000" w:themeColor="text1"/>
        </w:rPr>
        <w:t xml:space="preserve"> </w:t>
      </w:r>
      <w:r w:rsidRPr="00167CE7">
        <w:rPr>
          <w:b/>
          <w:bCs/>
          <w:color w:val="000000" w:themeColor="text1"/>
        </w:rPr>
        <w:t>Panel E</w:t>
      </w:r>
      <w:r w:rsidRPr="00167CE7">
        <w:rPr>
          <w:i/>
          <w:iCs/>
          <w:color w:val="000000" w:themeColor="text1"/>
        </w:rPr>
        <w:t>: POT1</w:t>
      </w:r>
      <w:r w:rsidRPr="00167CE7">
        <w:rPr>
          <w:color w:val="000000" w:themeColor="text1"/>
        </w:rPr>
        <w:t xml:space="preserve"> and </w:t>
      </w:r>
      <w:r w:rsidRPr="00167CE7">
        <w:rPr>
          <w:b/>
          <w:bCs/>
          <w:color w:val="000000" w:themeColor="text1"/>
        </w:rPr>
        <w:t>Panel F</w:t>
      </w:r>
      <w:r w:rsidRPr="00167CE7">
        <w:rPr>
          <w:color w:val="000000" w:themeColor="text1"/>
        </w:rPr>
        <w:t xml:space="preserve">: </w:t>
      </w:r>
      <w:r w:rsidRPr="00167CE7">
        <w:rPr>
          <w:i/>
          <w:iCs/>
          <w:color w:val="000000" w:themeColor="text1"/>
        </w:rPr>
        <w:t xml:space="preserve">GUT2 </w:t>
      </w:r>
      <w:r w:rsidRPr="00167CE7">
        <w:rPr>
          <w:color w:val="000000" w:themeColor="text1"/>
        </w:rPr>
        <w:t xml:space="preserve">at 13 °C vs 30 °C in SD medium, for both </w:t>
      </w:r>
      <w:r w:rsidRPr="00167CE7">
        <w:rPr>
          <w:i/>
          <w:iCs/>
          <w:color w:val="000000" w:themeColor="text1"/>
        </w:rPr>
        <w:t>S. cerevisiae</w:t>
      </w:r>
      <w:r w:rsidRPr="00167CE7">
        <w:rPr>
          <w:color w:val="000000" w:themeColor="text1"/>
        </w:rPr>
        <w:t xml:space="preserve">-like and </w:t>
      </w:r>
      <w:r w:rsidRPr="00167CE7">
        <w:rPr>
          <w:i/>
          <w:iCs/>
          <w:color w:val="000000" w:themeColor="text1"/>
        </w:rPr>
        <w:t xml:space="preserve">S. </w:t>
      </w:r>
      <w:proofErr w:type="spellStart"/>
      <w:r w:rsidRPr="00167CE7">
        <w:rPr>
          <w:i/>
          <w:iCs/>
          <w:color w:val="000000" w:themeColor="text1"/>
        </w:rPr>
        <w:t>eubayanus</w:t>
      </w:r>
      <w:proofErr w:type="spellEnd"/>
      <w:r w:rsidRPr="00167CE7">
        <w:rPr>
          <w:color w:val="000000" w:themeColor="text1"/>
        </w:rPr>
        <w:t xml:space="preserve">-like alleles of </w:t>
      </w:r>
      <w:r w:rsidRPr="00167CE7">
        <w:rPr>
          <w:i/>
          <w:iCs/>
          <w:color w:val="000000" w:themeColor="text1"/>
        </w:rPr>
        <w:t xml:space="preserve">S. </w:t>
      </w:r>
      <w:proofErr w:type="spellStart"/>
      <w:r w:rsidRPr="00167CE7">
        <w:rPr>
          <w:i/>
          <w:iCs/>
          <w:color w:val="000000" w:themeColor="text1"/>
        </w:rPr>
        <w:t>pastorianus</w:t>
      </w:r>
      <w:proofErr w:type="spellEnd"/>
      <w:r w:rsidRPr="00167CE7">
        <w:rPr>
          <w:color w:val="000000" w:themeColor="text1"/>
        </w:rPr>
        <w:t xml:space="preserve"> CBS 1513. Error bars denote standard deviations and </w:t>
      </w:r>
      <w:r w:rsidRPr="00167CE7">
        <w:rPr>
          <w:i/>
          <w:iCs/>
          <w:color w:val="000000" w:themeColor="text1"/>
        </w:rPr>
        <w:t>p</w:t>
      </w:r>
      <w:r w:rsidRPr="00167CE7">
        <w:rPr>
          <w:color w:val="000000" w:themeColor="text1"/>
        </w:rPr>
        <w:t>-values are indicated as: </w:t>
      </w:r>
      <w:r w:rsidRPr="00167CE7">
        <w:rPr>
          <w:i/>
          <w:iCs/>
          <w:color w:val="000000" w:themeColor="text1"/>
        </w:rPr>
        <w:t>* p &lt; 0</w:t>
      </w:r>
      <w:r w:rsidRPr="00167CE7">
        <w:rPr>
          <w:color w:val="000000" w:themeColor="text1"/>
        </w:rPr>
        <w:t>.</w:t>
      </w:r>
      <w:r w:rsidRPr="00167CE7">
        <w:rPr>
          <w:i/>
          <w:iCs/>
          <w:color w:val="000000" w:themeColor="text1"/>
        </w:rPr>
        <w:t>05 ** p &lt; 0</w:t>
      </w:r>
      <w:r w:rsidRPr="00167CE7">
        <w:rPr>
          <w:color w:val="000000" w:themeColor="text1"/>
        </w:rPr>
        <w:t>.</w:t>
      </w:r>
      <w:r w:rsidRPr="00167CE7">
        <w:rPr>
          <w:i/>
          <w:iCs/>
          <w:color w:val="000000" w:themeColor="text1"/>
        </w:rPr>
        <w:t>01 ***p &lt; 0</w:t>
      </w:r>
      <w:r w:rsidRPr="00167CE7">
        <w:rPr>
          <w:color w:val="000000" w:themeColor="text1"/>
        </w:rPr>
        <w:t>.</w:t>
      </w:r>
      <w:r w:rsidRPr="00167CE7">
        <w:rPr>
          <w:i/>
          <w:iCs/>
          <w:color w:val="000000" w:themeColor="text1"/>
        </w:rPr>
        <w:t xml:space="preserve">001; </w:t>
      </w:r>
      <w:r w:rsidRPr="00167CE7">
        <w:rPr>
          <w:color w:val="000000" w:themeColor="text1"/>
        </w:rPr>
        <w:t xml:space="preserve">and ns = no significant change upon </w:t>
      </w:r>
      <w:r w:rsidRPr="00167CE7">
        <w:rPr>
          <w:i/>
          <w:iCs/>
          <w:color w:val="000000" w:themeColor="text1"/>
        </w:rPr>
        <w:t>t-test.</w:t>
      </w:r>
    </w:p>
    <w:p w14:paraId="1E7F69EE" w14:textId="77777777" w:rsidR="00C97774" w:rsidRPr="00167CE7" w:rsidRDefault="00C97774" w:rsidP="00C97774">
      <w:pPr>
        <w:spacing w:line="276" w:lineRule="auto"/>
        <w:jc w:val="both"/>
        <w:rPr>
          <w:i/>
          <w:iCs/>
          <w:color w:val="000000" w:themeColor="text1"/>
        </w:rPr>
      </w:pPr>
    </w:p>
    <w:p w14:paraId="45C109B4" w14:textId="190F92D3" w:rsidR="00C97774" w:rsidRDefault="00C97774" w:rsidP="00C97774">
      <w:pPr>
        <w:spacing w:line="276" w:lineRule="auto"/>
        <w:jc w:val="both"/>
        <w:rPr>
          <w:color w:val="000000" w:themeColor="text1"/>
        </w:rPr>
      </w:pPr>
      <w:r w:rsidRPr="00167CE7">
        <w:rPr>
          <w:b/>
          <w:bCs/>
          <w:color w:val="000000" w:themeColor="text1"/>
        </w:rPr>
        <w:t>Figure S3:</w:t>
      </w:r>
      <w:r w:rsidRPr="00167CE7">
        <w:rPr>
          <w:color w:val="000000" w:themeColor="text1"/>
        </w:rPr>
        <w:t xml:space="preserve"> </w:t>
      </w:r>
      <w:r w:rsidRPr="00167CE7">
        <w:rPr>
          <w:b/>
          <w:bCs/>
          <w:color w:val="000000" w:themeColor="text1"/>
        </w:rPr>
        <w:t>Panel A</w:t>
      </w:r>
      <w:r w:rsidRPr="00167CE7">
        <w:rPr>
          <w:color w:val="000000" w:themeColor="text1"/>
        </w:rPr>
        <w:t xml:space="preserve">: Venn diagram of the genes differentially expressed between growth at 13 °C and 22 °C in standard medium (SD; green), standard media without leucine (SD-Leu; blue), standard media with 6% ethanol (SD ethanol; yellow) and maltose rich medium (Wort; pink). The genes present in the intersection of all media conditions are considered temperature-dependent media-independent. </w:t>
      </w:r>
      <w:r w:rsidRPr="00167CE7">
        <w:rPr>
          <w:b/>
          <w:bCs/>
          <w:color w:val="000000" w:themeColor="text1"/>
        </w:rPr>
        <w:t>Panel B</w:t>
      </w:r>
      <w:r w:rsidRPr="00167CE7">
        <w:rPr>
          <w:color w:val="000000" w:themeColor="text1"/>
        </w:rPr>
        <w:t xml:space="preserve">: Histogram representing the significance (-log10(p-value)) of the GO terms enriched of the core DE genes at 13 °C vs 22 °C. Molecular function, cellular component and biological process are coloured in red, yellow and blue, respectively. </w:t>
      </w:r>
      <w:r w:rsidRPr="00167CE7">
        <w:rPr>
          <w:b/>
          <w:bCs/>
          <w:color w:val="000000" w:themeColor="text1"/>
        </w:rPr>
        <w:t>Panel C</w:t>
      </w:r>
      <w:r w:rsidRPr="00167CE7">
        <w:rPr>
          <w:color w:val="000000" w:themeColor="text1"/>
        </w:rPr>
        <w:t xml:space="preserve">: Venn diagram of the genes differentially expressed between growth at 22 °C and 30 °C in standard medium (SD; green), standard media without leucine (SD-Leu; blue), standard media with 6% ethanol (SD ethanol; yellow) and maltose rich medium (Wort; pink). The genes present in the intersection of all media conditions are considered temperature-dependent media-independent. </w:t>
      </w:r>
      <w:r w:rsidRPr="00167CE7">
        <w:rPr>
          <w:b/>
          <w:bCs/>
          <w:color w:val="000000" w:themeColor="text1"/>
        </w:rPr>
        <w:t>Panel D</w:t>
      </w:r>
      <w:r w:rsidRPr="00167CE7">
        <w:rPr>
          <w:color w:val="000000" w:themeColor="text1"/>
        </w:rPr>
        <w:t>: Histogram representing the significance (-log10(p-value)) of the GO terms enriched of the core DE genes at 22 °C vs 30 °C. Molecular function, cellular component and biological process are coloured in red, yellow and blue, respectively.</w:t>
      </w:r>
    </w:p>
    <w:p w14:paraId="05806772" w14:textId="77777777" w:rsidR="00C97774" w:rsidRPr="00167CE7" w:rsidRDefault="00C97774" w:rsidP="00C97774">
      <w:pPr>
        <w:spacing w:line="276" w:lineRule="auto"/>
        <w:jc w:val="both"/>
        <w:rPr>
          <w:color w:val="000000" w:themeColor="text1"/>
        </w:rPr>
      </w:pPr>
    </w:p>
    <w:p w14:paraId="0EC62D8B" w14:textId="2A0D3C22" w:rsidR="00C97774" w:rsidRDefault="00C97774" w:rsidP="00C97774">
      <w:pPr>
        <w:spacing w:line="276" w:lineRule="auto"/>
        <w:jc w:val="both"/>
        <w:rPr>
          <w:color w:val="000000" w:themeColor="text1"/>
        </w:rPr>
      </w:pPr>
      <w:r w:rsidRPr="00167CE7">
        <w:rPr>
          <w:b/>
          <w:bCs/>
          <w:color w:val="000000" w:themeColor="text1"/>
        </w:rPr>
        <w:t>Figure S4:</w:t>
      </w:r>
      <w:r w:rsidRPr="00167CE7">
        <w:rPr>
          <w:color w:val="000000" w:themeColor="text1"/>
        </w:rPr>
        <w:t xml:space="preserve"> Histogram representing the total number of protein complex (Y axis) that have X different subunits (X=2* represents homodimers and X=2 heterodimers).</w:t>
      </w:r>
    </w:p>
    <w:p w14:paraId="58C8B546" w14:textId="77777777" w:rsidR="00C97774" w:rsidRPr="00167CE7" w:rsidRDefault="00C97774" w:rsidP="00C97774">
      <w:pPr>
        <w:spacing w:line="276" w:lineRule="auto"/>
        <w:jc w:val="both"/>
        <w:rPr>
          <w:color w:val="000000" w:themeColor="text1"/>
        </w:rPr>
      </w:pPr>
    </w:p>
    <w:p w14:paraId="64AD85F7" w14:textId="60EC22EA" w:rsidR="007B7B5B" w:rsidRDefault="00C97774" w:rsidP="00C97774">
      <w:pPr>
        <w:spacing w:line="276" w:lineRule="auto"/>
      </w:pPr>
      <w:r w:rsidRPr="00167CE7">
        <w:rPr>
          <w:b/>
          <w:bCs/>
          <w:color w:val="000000" w:themeColor="text1"/>
        </w:rPr>
        <w:t>Figure S5:</w:t>
      </w:r>
      <w:r w:rsidRPr="00167CE7">
        <w:rPr>
          <w:color w:val="000000" w:themeColor="text1"/>
        </w:rPr>
        <w:t xml:space="preserve"> Histograms representing the potential assemblies of the partially and fully redundant heterodimers and trimers, based on the expression data obtained at 13 °C, 22 °C and 30 °C, in wort, SD, SD w/o leucine and SD+ 6% ethanol media. Chimeric, </w:t>
      </w:r>
      <w:proofErr w:type="spellStart"/>
      <w:r w:rsidRPr="00167CE7">
        <w:rPr>
          <w:color w:val="000000" w:themeColor="text1"/>
        </w:rPr>
        <w:t>uni</w:t>
      </w:r>
      <w:proofErr w:type="spellEnd"/>
      <w:r w:rsidRPr="00167CE7">
        <w:rPr>
          <w:color w:val="000000" w:themeColor="text1"/>
        </w:rPr>
        <w:t>-specific, partially and fully redundant cases are coloured in red, beige, light blue and dark blue, respectively. Inconclusive cases are coloured in light grey.</w:t>
      </w:r>
    </w:p>
    <w:p w14:paraId="08167E8A" w14:textId="77777777" w:rsidR="00C97774" w:rsidRDefault="00C97774" w:rsidP="00C97774">
      <w:pPr>
        <w:spacing w:line="276" w:lineRule="auto"/>
      </w:pPr>
    </w:p>
    <w:sectPr w:rsidR="00C97774" w:rsidSect="006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74"/>
    <w:rsid w:val="00406E30"/>
    <w:rsid w:val="006646FD"/>
    <w:rsid w:val="007B7B5B"/>
    <w:rsid w:val="00A416C4"/>
    <w:rsid w:val="00C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E957"/>
  <w15:chartTrackingRefBased/>
  <w15:docId w15:val="{BB2A5754-FDD5-704E-9224-4B58A73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74"/>
    <w:pPr>
      <w:suppressAutoHyphens/>
    </w:pPr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Delneri</dc:creator>
  <cp:keywords/>
  <dc:description/>
  <cp:lastModifiedBy>Daniela Delneri</cp:lastModifiedBy>
  <cp:revision>3</cp:revision>
  <dcterms:created xsi:type="dcterms:W3CDTF">2021-10-14T11:07:00Z</dcterms:created>
  <dcterms:modified xsi:type="dcterms:W3CDTF">2021-10-14T11:11:00Z</dcterms:modified>
</cp:coreProperties>
</file>