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40" w:lineRule="auto"/>
        <w:jc w:val="left"/>
      </w:pPr>
      <w:r>
        <w:rPr>
          <w:rFonts w:ascii="Times New Roman" w:hAnsi="Times New Roman"/>
          <w:b w:val="0"/>
          <w:sz w:val="24"/>
        </w:rPr>
        <w:t>April 12, 2026</w:t>
      </w:r>
    </w:p>
    <w:p>
      <w:pPr>
        <w:spacing w:after="240" w:before="0" w:line="240" w:lineRule="auto"/>
        <w:jc w:val="left"/>
      </w:pPr>
      <w:r>
        <w:rPr>
          <w:rFonts w:ascii="Times New Roman" w:hAnsi="Times New Roman"/>
          <w:b w:val="0"/>
          <w:sz w:val="24"/>
        </w:rPr>
        <w:t>Dear Editors of npj Digital Medicine,</w:t>
      </w:r>
    </w:p>
    <w:p>
      <w:pPr>
        <w:spacing w:after="120" w:before="0" w:line="240" w:lineRule="auto"/>
        <w:jc w:val="left"/>
      </w:pPr>
      <w:r>
        <w:rPr>
          <w:rFonts w:ascii="Times New Roman" w:hAnsi="Times New Roman"/>
          <w:b w:val="0"/>
          <w:i w:val="0"/>
          <w:sz w:val="24"/>
        </w:rPr>
        <w:t xml:space="preserve">We are pleased to submit our manuscript entitled </w:t>
      </w:r>
      <w:r>
        <w:rPr>
          <w:rFonts w:ascii="Times New Roman" w:hAnsi="Times New Roman"/>
          <w:b/>
          <w:i w:val="0"/>
          <w:sz w:val="24"/>
        </w:rPr>
        <w:t>"PathOmicDRP: Integrating Multi-Omics and Histopathology through Cross-Attention Networks for Cancer Drug Response Prediction"</w:t>
      </w:r>
      <w:r>
        <w:rPr>
          <w:rFonts w:ascii="Times New Roman" w:hAnsi="Times New Roman"/>
          <w:b w:val="0"/>
          <w:i w:val="0"/>
          <w:sz w:val="24"/>
        </w:rPr>
        <w:t xml:space="preserve"> for consideration as an Article in </w:t>
      </w:r>
      <w:r>
        <w:rPr>
          <w:rFonts w:ascii="Times New Roman" w:hAnsi="Times New Roman"/>
          <w:b w:val="0"/>
          <w:i/>
          <w:sz w:val="24"/>
        </w:rPr>
        <w:t>npj Digital Medicine</w:t>
      </w:r>
      <w:r>
        <w:rPr>
          <w:rFonts w:ascii="Times New Roman" w:hAnsi="Times New Roman"/>
          <w:b w:val="0"/>
          <w:i w:val="0"/>
          <w:sz w:val="24"/>
        </w:rPr>
        <w:t>.</w:t>
      </w:r>
    </w:p>
    <w:p>
      <w:pPr>
        <w:spacing w:after="120" w:before="0" w:line="240" w:lineRule="auto"/>
        <w:jc w:val="left"/>
      </w:pPr>
      <w:r>
        <w:rPr>
          <w:rFonts w:ascii="Times New Roman" w:hAnsi="Times New Roman"/>
          <w:b w:val="0"/>
          <w:sz w:val="24"/>
        </w:rPr>
        <w:t>PathOmicDRP is a multi-modal deep learning framework that integrates genomic, transcriptomic, proteomic, and histopathology data through cross-attention fusion to predict cancer drug response. Applied to 431 TCGA breast cancer patients, it is the first model to combine all four molecular modalities with whole-slide histopathology images for drug sensitivity prediction.</w:t>
      </w:r>
    </w:p>
    <w:p>
      <w:pPr>
        <w:spacing w:after="120" w:before="0" w:line="240" w:lineRule="auto"/>
        <w:jc w:val="left"/>
      </w:pPr>
      <w:r>
        <w:rPr>
          <w:rFonts w:ascii="Times New Roman" w:hAnsi="Times New Roman"/>
          <w:b w:val="0"/>
          <w:i w:val="0"/>
          <w:sz w:val="24"/>
        </w:rPr>
        <w:t>Our central finding is a striking performance dissociation between imputed and clinical evaluation metrics. While linear baselines (ElasticNet) achieve near-perfect accuracy on imputed IC</w:t>
      </w:r>
      <w:r>
        <w:rPr>
          <w:rFonts w:ascii="Times New Roman" w:hAnsi="Times New Roman"/>
          <w:b w:val="0"/>
          <w:i w:val="0"/>
          <w:sz w:val="24"/>
          <w:vertAlign w:val="subscript"/>
        </w:rPr>
        <w:t>50</w:t>
      </w:r>
      <w:r>
        <w:rPr>
          <w:rFonts w:ascii="Times New Roman" w:hAnsi="Times New Roman"/>
          <w:b w:val="0"/>
          <w:i w:val="0"/>
          <w:sz w:val="24"/>
        </w:rPr>
        <w:t xml:space="preserve"> targets (PCC = 0.925)—reflecting the circular relationship between linear imputation and linear prediction—PathOmicDRP dramatically outperforms all baselines on real clinical treatment outcomes (mean AUC = 0.831 vs. 0.461), with statistical significance for Doxorubicin (AUC = 0.944, permutation </w:t>
      </w:r>
      <w:r>
        <w:rPr>
          <w:rFonts w:ascii="Times New Roman" w:hAnsi="Times New Roman"/>
          <w:b w:val="0"/>
          <w:i/>
          <w:sz w:val="24"/>
        </w:rPr>
        <w:t>p</w:t>
      </w:r>
      <w:r>
        <w:rPr>
          <w:rFonts w:ascii="Times New Roman" w:hAnsi="Times New Roman"/>
          <w:b w:val="0"/>
          <w:i w:val="0"/>
          <w:sz w:val="24"/>
        </w:rPr>
        <w:t xml:space="preserve"> = 0.0006) and Cyclophosphamide (AUC = 0.907, </w:t>
      </w:r>
      <w:r>
        <w:rPr>
          <w:rFonts w:ascii="Times New Roman" w:hAnsi="Times New Roman"/>
          <w:b w:val="0"/>
          <w:i/>
          <w:sz w:val="24"/>
        </w:rPr>
        <w:t>p</w:t>
      </w:r>
      <w:r>
        <w:rPr>
          <w:rFonts w:ascii="Times New Roman" w:hAnsi="Times New Roman"/>
          <w:b w:val="0"/>
          <w:i w:val="0"/>
          <w:sz w:val="24"/>
        </w:rPr>
        <w:t xml:space="preserve"> = 0.007). This reversal reveals that imputed IC</w:t>
      </w:r>
      <w:r>
        <w:rPr>
          <w:rFonts w:ascii="Times New Roman" w:hAnsi="Times New Roman"/>
          <w:b w:val="0"/>
          <w:i w:val="0"/>
          <w:sz w:val="24"/>
          <w:vertAlign w:val="subscript"/>
        </w:rPr>
        <w:t>50</w:t>
      </w:r>
      <w:r>
        <w:rPr>
          <w:rFonts w:ascii="Times New Roman" w:hAnsi="Times New Roman"/>
          <w:b w:val="0"/>
          <w:i w:val="0"/>
          <w:sz w:val="24"/>
        </w:rPr>
        <w:t xml:space="preserve"> accuracy, the standard evaluation metric in the field, is fundamentally misleading.</w:t>
      </w:r>
    </w:p>
    <w:p>
      <w:pPr>
        <w:spacing w:after="120" w:before="0" w:line="240" w:lineRule="auto"/>
        <w:jc w:val="left"/>
      </w:pPr>
      <w:r>
        <w:rPr>
          <w:rFonts w:ascii="Times New Roman" w:hAnsi="Times New Roman"/>
          <w:b w:val="0"/>
          <w:i w:val="0"/>
          <w:sz w:val="24"/>
        </w:rPr>
        <w:t>This finding has broad implications for the drug response prediction community, where oncoPredict and pRRophetic-derived targets are widely used. We demonstrate that model evaluation should prioritize clinical outcome prediction over imputed target accuracy. Additionally, we show that PathOmicDRP's learned representations contain substantially more clinical information than the training targets themselves (AUC 0.735 vs. 0.423), functioning as a representation learning framework rather than a simple regression model.</w:t>
      </w:r>
    </w:p>
    <w:p>
      <w:pPr>
        <w:spacing w:after="120" w:before="0" w:line="240" w:lineRule="auto"/>
        <w:jc w:val="left"/>
      </w:pPr>
      <w:r>
        <w:rPr>
          <w:rFonts w:ascii="Times New Roman" w:hAnsi="Times New Roman"/>
          <w:b w:val="0"/>
          <w:i w:val="0"/>
          <w:sz w:val="24"/>
        </w:rPr>
        <w:t>Beyond the central finding, we provide comprehensive benchmarking against 7 machine learning methods and 6 fusion architectures, demonstrating that cross-attention fusion offers superior robustness to missing modalities compared to self-attention alternatives (+12.6 percentage points retention at maximum ablation). External validation against 51 GDSC breast cancer cell lines with experimentally measured IC</w:t>
      </w:r>
      <w:r>
        <w:rPr>
          <w:rFonts w:ascii="Times New Roman" w:hAnsi="Times New Roman"/>
          <w:b w:val="0"/>
          <w:i w:val="0"/>
          <w:sz w:val="24"/>
          <w:vertAlign w:val="subscript"/>
        </w:rPr>
        <w:t>50</w:t>
      </w:r>
      <w:r>
        <w:rPr>
          <w:rFonts w:ascii="Times New Roman" w:hAnsi="Times New Roman"/>
          <w:b w:val="0"/>
          <w:i w:val="0"/>
          <w:sz w:val="24"/>
        </w:rPr>
        <w:t xml:space="preserve"> confirms that the model captures genuine pharmacological relationships (Spearman </w:t>
      </w:r>
      <w:r>
        <w:rPr>
          <w:rFonts w:ascii="Times New Roman" w:hAnsi="Times New Roman"/>
          <w:b w:val="0"/>
          <w:i/>
          <w:sz w:val="24"/>
        </w:rPr>
        <w:t>ρ</w:t>
      </w:r>
      <w:r>
        <w:rPr>
          <w:rFonts w:ascii="Times New Roman" w:hAnsi="Times New Roman"/>
          <w:b w:val="0"/>
          <w:i w:val="0"/>
          <w:sz w:val="24"/>
        </w:rPr>
        <w:t xml:space="preserve"> = 0.670, </w:t>
      </w:r>
      <w:r>
        <w:rPr>
          <w:rFonts w:ascii="Times New Roman" w:hAnsi="Times New Roman"/>
          <w:b w:val="0"/>
          <w:i/>
          <w:sz w:val="24"/>
        </w:rPr>
        <w:t>p</w:t>
      </w:r>
      <w:r>
        <w:rPr>
          <w:rFonts w:ascii="Times New Roman" w:hAnsi="Times New Roman"/>
          <w:b w:val="0"/>
          <w:i w:val="0"/>
          <w:sz w:val="24"/>
        </w:rPr>
        <w:t xml:space="preserve"> = 0.012).</w:t>
      </w:r>
    </w:p>
    <w:p>
      <w:pPr>
        <w:spacing w:after="120" w:before="0" w:line="240" w:lineRule="auto"/>
        <w:jc w:val="left"/>
      </w:pPr>
      <w:r>
        <w:rPr>
          <w:rFonts w:ascii="Times New Roman" w:hAnsi="Times New Roman"/>
          <w:b w:val="0"/>
          <w:i w:val="0"/>
          <w:sz w:val="24"/>
        </w:rPr>
        <w:t xml:space="preserve">We believe this work is well-suited for </w:t>
      </w:r>
      <w:r>
        <w:rPr>
          <w:rFonts w:ascii="Times New Roman" w:hAnsi="Times New Roman"/>
          <w:b w:val="0"/>
          <w:i/>
          <w:sz w:val="24"/>
        </w:rPr>
        <w:t>npj Digital Medicine</w:t>
      </w:r>
      <w:r>
        <w:rPr>
          <w:rFonts w:ascii="Times New Roman" w:hAnsi="Times New Roman"/>
          <w:b w:val="0"/>
          <w:i w:val="0"/>
          <w:sz w:val="24"/>
        </w:rPr>
        <w:t xml:space="preserve"> given its focus on digital tools for clinical medicine and its readership of both computational and clinical researchers. The performance dissociation finding and the representation learning framework have direct implications for how the community develops and evaluates AI-driven drug response prediction tools.</w:t>
      </w:r>
    </w:p>
    <w:p>
      <w:pPr>
        <w:spacing w:after="120" w:before="0" w:line="240" w:lineRule="auto"/>
        <w:jc w:val="left"/>
      </w:pPr>
      <w:r>
        <w:rPr>
          <w:rFonts w:ascii="Times New Roman" w:hAnsi="Times New Roman"/>
          <w:b w:val="0"/>
          <w:sz w:val="24"/>
        </w:rPr>
        <w:t>The manuscript has not been published or submitted elsewhere. All data are from publicly available sources (TCGA, GDSC). We confirm that all authors have approved the manuscript for submission.</w:t>
      </w:r>
    </w:p>
    <w:p>
      <w:pPr>
        <w:spacing w:after="360" w:before="0" w:line="240" w:lineRule="auto"/>
        <w:jc w:val="left"/>
      </w:pPr>
      <w:r>
        <w:rPr>
          <w:rFonts w:ascii="Times New Roman" w:hAnsi="Times New Roman"/>
          <w:b w:val="0"/>
          <w:sz w:val="24"/>
        </w:rPr>
        <w:t>We look forward to your consideration.</w:t>
      </w:r>
    </w:p>
    <w:p>
      <w:pPr>
        <w:spacing w:after="120" w:before="0" w:line="240" w:lineRule="auto"/>
        <w:jc w:val="left"/>
      </w:pPr>
      <w:r>
        <w:rPr>
          <w:rFonts w:ascii="Times New Roman" w:hAnsi="Times New Roman"/>
          <w:b w:val="0"/>
          <w:sz w:val="24"/>
        </w:rPr>
        <w:t>Sincerely,</w:t>
      </w:r>
    </w:p>
    <w:p>
      <w:pPr>
        <w:spacing w:after="0" w:before="0" w:line="240" w:lineRule="auto"/>
        <w:jc w:val="left"/>
      </w:pPr>
      <w:r>
        <w:rPr>
          <w:rFonts w:ascii="Times New Roman" w:hAnsi="Times New Roman"/>
          <w:b w:val="0"/>
          <w:sz w:val="24"/>
        </w:rPr>
        <w:t>[Author Name]</w:t>
      </w:r>
    </w:p>
    <w:p>
      <w:pPr>
        <w:spacing w:after="0" w:before="0" w:line="240" w:lineRule="auto"/>
        <w:jc w:val="left"/>
      </w:pPr>
      <w:r>
        <w:rPr>
          <w:rFonts w:ascii="Times New Roman" w:hAnsi="Times New Roman"/>
          <w:b w:val="0"/>
          <w:sz w:val="24"/>
        </w:rPr>
        <w:t>[Affiliation]</w:t>
      </w:r>
    </w:p>
    <w:p>
      <w:pPr>
        <w:spacing w:after="0" w:before="0" w:line="240" w:lineRule="auto"/>
        <w:jc w:val="left"/>
      </w:pPr>
      <w:r>
        <w:rPr>
          <w:rFonts w:ascii="Times New Roman" w:hAnsi="Times New Roman"/>
          <w:b w:val="0"/>
          <w:sz w:val="24"/>
        </w:rPr>
        <w:t>[Email]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