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Bootstrap 95% CIs on the clinical AUCs are reported to quantify uncertainty under small outcome-imbalanced subsets. Drug-level analysis revealed a mechanistically coherent split: PathOmicDRP's learned fusion substantially outperformed a fair PCA-256 baseline on DNA-damaging agents (doxorubicin ΔAUC = +0.56, cyclophosphamide ΔAUC = +0.57), whereas the simpler linear baseline matched or exceeded PathOmicDRP on microtubule-targeting taxanes (Δ = −0.39 and −0.48), defining cross-modal multi-factorial response as the regime in which fusion is most valuable.</w:t>
      </w:r>
    </w:p>
    <w:p>
      <w:r>
        <w:t>The model captured biologically meaningful patterns: predicted drug sensitivity stratified patients by RPPA-defined molecular subtypes with significant subtype-specific differences for 9 of 13 drugs (p &lt; 0.05), and drug clustering by predicted IC₅₀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(IC₅₀,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Protein-level measurements provide a distinct layer of biological information that is not fully captured by transcriptomic profiling. While mRNA abundance correlates only moderately with protein levels (r ≈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IC₅₀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(IC₅₀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log₁ₚ-transformed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log₂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ln(IC₅₀) for each drug independently. Models were then applied to TCGA patient RNA-seq profiles (log₁ₚ-transformed TPM, standardized to the training distribution) to generate predicted IC₅₀ values. A total of 181 drug models with adequate training data (≥30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IC₅₀ matrix (1,095 patients ×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512×512 resolution to eliminate background regions, followed by (2) pixel-level tissue detection requiring &gt;70% tissue content (mean RGB intensity &lt; 220). Patches of 256×256 pixels at 20× magnification were extracted from each slide by reading level-1 pyramid images (128×128 at ~10×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256×256 patch was resized to 224×224, normalized with ImageNet statistics (mean=[0.485, 0.456, 0.406], std=[0.229, 0.224, 0.225]), and passed through UNI to obtain a 1,024-dimensional feature vector. Features from all slides of the same patient were concatenated, yielding per-patient feature matrices of shape (N_patches,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IC₅₀ values for multiple drugs simultaneously. The model contains ~4.9M trainable parameters (with histopathology branch) or ~4.5M parameters (omics-only mode).</w:t>
      </w:r>
    </w:p>
    <w:p>
      <w:pPr/>
      <w:r>
        <w:t>for each modality m ∈ {genomic, transcriptomic, proteomic, histology}. This regularization ensures the model does not become overly dependent on any single modality.</w:t>
      </w:r>
    </w:p>
    <w:p>
      <w:pPr/>
      <w:r>
        <w:t>T_m = { 0, with probability p_drop; T_m, otherwise }</w:t>
      </w:r>
    </w:p>
    <w:p>
      <w:pPr/>
      <w:r>
        <w:t>During training, modality dropout is applied independently to each token group with probability p_drop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ŷ_d^patient = X_patient · β_d + β₀</w:t>
      </w:r>
    </w:p>
    <w:p>
      <w:pPr/>
      <w:r>
        <w:t>with λ selected by cross-validation on the cell line data. The trained model is then applied to TCGA patient expression profiles to obtain imputed IC₅₀ values:</w:t>
      </w:r>
    </w:p>
    <w:p>
      <w:pPr/>
      <w:r>
        <w:t>ŷ_d^cell = X_cell · β_d + β₀, where β_d = argmin_β ||X_cell · β - y_d^cell||₂² + λ||β||₂²</w:t>
      </w:r>
    </w:p>
    <w:p>
      <w:pPr/>
      <w:r>
        <w:t>For each drug d in the GDSC database, a Ridge regression model is trained on breast cancer cell line expression data:</w:t>
      </w:r>
    </w:p>
    <w:p>
      <w:pPr>
        <w:pStyle w:val="Heading3"/>
      </w:pPr>
      <w:r>
        <w:t>Drug response imputation</w:t>
      </w:r>
    </w:p>
    <w:p>
      <w:pPr/>
      <w:r>
        <w:t>The omics token sequence is formed by concatenation: T_omics = [t₁^gen; ...; t_{K_gen}^gen; t₁^trans; ...; t_{N_trans}^trans; t₁^prot; ...; t_{K_prot}^prot] ∈ ℝ^{(K_gen + N_trans + K_prot) × d}, where d = 256.</w:t>
      </w:r>
    </w:p>
    <w:p>
      <w:pPr/>
      <w:r>
        <w:t>t_j^trans = LayerNorm(MLP_trans(x_{trans,j})) ∈ ℝ^d, for j = 1, ..., N_trans</w:t>
      </w:r>
    </w:p>
    <w:p>
      <w:pPr/>
      <w:r>
        <w:t>where K_gen = 8. The proteomic encoder follows an identical architecture with K_prot = 16 tokens and an expanded intermediate dimension (2d). For transcriptomic features x_trans ∈ ℝ^{2000} (gene expression values), each gene is independently projected and layer-normalized to produce N_trans = 2,000 pathway tokens:</w:t>
      </w:r>
    </w:p>
    <w:p>
      <w:pPr/>
      <w:r>
        <w:t>t_k^gen = w_{gen,k} · h_gen ∈ ℝ^d, for k = 1, ..., K_gen</w:t>
      </w:r>
    </w:p>
    <w:p>
      <w:pPr/>
      <w:r>
        <w:t>w_gen = softmax(W_token · h_gen) ∈ ℝ^{K_gen}</w:t>
      </w:r>
    </w:p>
    <w:p>
      <w:pPr/>
      <w:r>
        <w:t>h_gen = MLP_gen(x_gen) = GELU(W₂ · GELU(W₁ · x_gen + b₁) + b₂) ∈ ℝ^d</w:t>
      </w:r>
    </w:p>
    <w:p>
      <w:pPr/>
      <w:r>
        <w:t>Each omics modality is encoded into a set of tokens through learned decomposition. For genomic features x_gen ∈ ℝ^{193} (binary mutations + TMB):</w:t>
      </w:r>
    </w:p>
    <w:p>
      <w:pPr>
        <w:pStyle w:val="Heading3"/>
      </w:pPr>
      <w:r>
        <w:t>Modality-specific tokenization</w:t>
      </w:r>
    </w:p>
    <w:p>
      <w:pPr/>
      <w:r>
        <w:t>t_k^histo = Σ_i ᾱ_{k,i} · h_i ∈ ℝ^d, for k = 1, ..., K</w:t>
      </w:r>
    </w:p>
    <w:p>
      <w:pPr/>
      <w:r>
        <w:t>The K slide-level tokens are obtained by weighted aggregation:</w:t>
      </w:r>
    </w:p>
    <w:p>
      <w:pPr/>
      <w:r>
        <w:t>ᾱ_{k,i} = exp(a_{k,i}) / Σ_j exp(a_{k,j})</w:t>
      </w:r>
    </w:p>
    <w:p>
      <w:pPr/>
      <w:r>
        <w:t>where V, U ∈ ℝ^{(d/2) × d}, W_attn ∈ ℝ^{K × (d/2)}, tanh and σ denote the hyperbolic tangent and sigmoid activation functions respectively, and ⊙ denotes element-wise multiplication. The attention coefficients are normalized via softmax over patches for each of K = 16 tokens:</w:t>
      </w:r>
    </w:p>
    <w:p>
      <w:pPr/>
      <w:r>
        <w:t>a_i = W_attn · (tanh(V · h_i) ⊙ σ(U · h_i)) ∈ ℝ^K</w:t>
      </w:r>
    </w:p>
    <w:p>
      <w:pPr/>
      <w:r>
        <w:t>Gated attention weights are computed as:</w:t>
      </w:r>
    </w:p>
    <w:p>
      <w:pPr/>
      <w:r>
        <w:t>h_i = GELU(W_proj · p_i + b_proj) ∈ ℝ^d</w:t>
      </w:r>
    </w:p>
    <w:p>
      <w:pPr/>
      <w:r>
        <w:t>Given N patch features {p₁, ..., p_N} ∈ ℝ^{1024} extracted by UNI, the ABMIL module first projects each patch to a hidden representation:</w:t>
      </w:r>
    </w:p>
    <w:p>
      <w:pPr>
        <w:pStyle w:val="Heading3"/>
      </w:pPr>
      <w:r>
        <w:t>Histopathology aggregation (ABMIL)</w:t>
      </w:r>
    </w:p>
    <w:p>
      <w:pPr/>
      <w:r>
        <w:t>Z_fused = SelfAttn([T_omics^(L); T_histo^(L)]) ∈ ℝ^{(N_omics + N_histo) × d}</w:t>
      </w:r>
    </w:p>
    <w:p>
      <w:pPr/>
      <w:r>
        <w:t>where MHA denotes multi-head attention with H = 8 heads and FFN is a two-layer feed-forward network with GELU activation and expansion ratio 4. After L layers, all tokens are concatenated and processed by a self-attention layer:</w:t>
      </w:r>
    </w:p>
    <w:p>
      <w:pPr/>
      <w:r>
        <w:t>T_histo^(l) = LayerNorm(T_histo^(l) + FFN(T_histo^(l)))</w:t>
      </w:r>
    </w:p>
    <w:p>
      <w:pPr/>
      <w:r>
        <w:t>T_histo^(l) = LayerNorm(T_histo^(l-1) + MHA(Q=T_histo^(l-1), K=T_omics^(l), V=T_omics^(l)))</w:t>
      </w:r>
    </w:p>
    <w:p>
      <w:pPr/>
      <w:r>
        <w:t>T_omics^(l) = LayerNorm(T_omics^(l) + FFN(T_omics^(l)))</w:t>
      </w:r>
    </w:p>
    <w:p>
      <w:pPr/>
      <w:r>
        <w:t>T_omics^(l) = LayerNorm(T_omics^(l-1) + MHA(Q=T_omics^(l-1), K=T_histo^(l-1), V=T_histo^(l-1)))</w:t>
      </w:r>
    </w:p>
    <w:p>
      <w:pPr/>
      <w:r>
        <w:t>The cross-attention fusion module applies L = 2 layers of bidirectional cross-attention between omics tokens T_omics ∈ ℝ^{N_omics × d} and histology tokens T_histo ∈ ℝ^{N_histo × d}. In each layer l:</w:t>
      </w:r>
    </w:p>
    <w:p>
      <w:pPr>
        <w:pStyle w:val="Heading3"/>
      </w:pPr>
      <w:r>
        <w:t>Cross-attention fusion</w:t>
      </w:r>
    </w:p>
    <w:p>
      <w:pPr/>
      <w:r>
        <w:t>where D = 13 is the number of drugs and z_global is the global patient representation.</w:t>
      </w:r>
    </w:p>
    <w:p>
      <w:pPr/>
      <w:r>
        <w:t>ŷ = W₂ · GELU(W₁ · z_global + b₁) + b₂ ∈ ℝ^D</w:t>
      </w:r>
    </w:p>
    <w:p>
      <w:pPr/>
      <w:r>
        <w:t>z_global = Σ_i α_i · z_i ∈ ℝ^d</w:t>
      </w:r>
    </w:p>
    <w:p>
      <w:pPr/>
      <w:r>
        <w:t>α_i = softmax_i(w_pool^T z_i), where w_pool ∈ ℝ^d</w:t>
      </w:r>
    </w:p>
    <w:p>
      <w:pPr/>
      <w:r>
        <w:t>The prediction head applies attention-weighted pooling over the fused token sequence Z_fused ∈ ℝ^{N_total × d}:</w:t>
      </w:r>
    </w:p>
    <w:p>
      <w:pPr>
        <w:pStyle w:val="Heading3"/>
      </w:pPr>
      <w:r>
        <w:t>Prediction head</w:t>
      </w:r>
    </w:p>
    <w:p>
      <w:pPr/>
      <w:r>
        <w:t>where E is the set of uncensored patients, R(t_i) is the risk set at time t_i, r_i = w^T z_i is the risk score from a linear layer on the fused embedding z_i, and λ = 0.1.</w:t>
      </w:r>
    </w:p>
    <w:p>
      <w:pPr/>
      <w:r>
        <w:t>L_total = L_drug + λ · L_cox, where L_cox = −(1/|E|) Σ_{i∈E} [r_i − log(Σ_{j∈R(t_i)} exp(r_j))]</w:t>
      </w:r>
    </w:p>
    <w:p>
      <w:pPr/>
      <w:r>
        <w:t>with δ = 1.0. For the multi-task extension, the joint loss combines drug prediction and survival:</w:t>
      </w:r>
    </w:p>
    <w:p>
      <w:pPr/>
      <w:r>
        <w:t>L_drug = (1/D) Σ_d L_δ(ŷ_d, y_d), where L_δ(a,b) = { 0.5(a-b)² if |a-b| ≤ δ; δ(|a-b| - 0.5δ) otherwise }</w:t>
      </w:r>
    </w:p>
    <w:p>
      <w:pPr/>
      <w:r>
        <w:t>The model is trained end-to-end using the Huber loss (smooth L1) for multi-drug IC₅₀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(lr=3×10⁻⁴, weight decay=10⁻⁴), cosine annealing scheduler, HuberLoss (δ=1.0),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IC₅₀ values were similarly standardized.</w:t>
      </w:r>
    </w:p>
    <w:p>
      <w:r>
        <w:t>Training used the AdamW optimizer (learning rate = 3 × 10⁻⁴, weight decay = 10⁻⁴) with cosine annealing learning rate schedule. Huber loss (δ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(ΔPCC) quantified its contribution. Second, feature-level attribution was computed using gradient ×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IC₅₀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IC₅₀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The transcriptomic-only baseline achieved a global PCC of 0.923 ± 0.001 and R² of 0.851 ± 0.001. Adding genomic features (mutations + TMB) yielded no meaningful improvement (PCC = 0.922 ± 0.001, R² = 0.851 ± 0.001), consistent with prior literature showing that gene expression captures the majority of drug response signal. In contrast, the addition of RPPA proteomic features yielded a substantial improvement in per-drug prediction accuracy (mean per-drug PCC: 0.353 → 0.432; +22.4%), despite the smaller sample size (431 vs. 964 patients). The global PCC also improved to 0.932 ± 0.008 and R² to 0.868 ±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We examined per-drug prediction accuracy for the 13 clinically relevant drugs in the three-modal configuration (Fig. 3d). The highest prediction accuracy was observed for AZD5991, a selective MCL-1 inhibitor (PCC = 0.468 ± 0.116), Gemcitabine (PCC = 0.437 ± 0.115), Docetaxel (PCC = 0.433 ± 0.131), and Cisplatin (PCC = 0.411 ±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Adding UNI-extracted H&amp;E features as a fourth modality yielded consistent improvements in per-drug prediction accuracy (Table 1). The four-modal PathOmicDRP achieved a mean per-drug PCC of 0.455 ± 0.023, compared to 0.445 ±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(ΔPCC = +0.095), Vinblastine (+0.075), and Paclitaxel (+0.066), all of which are drugs whose efficacy is known to be influenced by tumor morphological characteristics such as cellularity, stromal composition, and mitotic activity. Conversely, modest decreases were observed for Gemcitabine (−0.064) and Venetoclax (−0.068), suggesting that the response to these agents may be more strongly driven by molecular features than histological patterns in breast cancer (Fig. 5C).</w:t>
      </w:r>
    </w:p>
    <w:p>
      <w:r>
        <w:t>Global PCC (0.931) and R²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PCC_drug improvement from 0.445 ± 0.057 (3-modal) to 0.455 ±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(ΔPCC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IC₅₀ measurements. All 13 drugs were successfully matched to GDSC entries. The drug-drug Spearman correlation matrices showed significant conservation between TCGA predictions and GDSC ground truth (Pearson r = 0.399, p = 2.95 × 10⁻⁴; Spearman ρ = 0.422, p = 1.17 × 10⁻⁴;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ΔPCC of +0.045 upon adding histopathology, compared to +0.012 for cytotoxic drugs (Cisplatin, Docetaxel, Paclitaxel, Gemcitabine, Vinblastine) and −0.011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PCC_drug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To validate that PathOmicDRP captures known pharmacological relationships, we tested the concordance between predicted drug sensitivity and established molecular biomarkers. ER expression (RPPA) showed strong negative correlation with predicted Tamoxifen IC₅₀ (Spearman ρ = −0.315, p = 2.2 × 10⁻¹¹) and Fulvestrant IC₅₀ (ρ = −0.260, p = 4.5 × 10⁻⁸), confirming that ER-positive patients are predicted as more sensitive to endocrine therapies (Fig. 5B). HER2 protein expression correlated with lower predicted Lapatinib IC₅₀ (ρ = −0.256, p = 7.3 × 10⁻⁸) (Fig. 5C). TP53 mutations were associated with higher predicted Cisplatin IC₅₀ (p = 5 × 10⁻⁴),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(ΔPCC = +0.235 ± 0.033, 95% CI [0.20, 0.28]; 79.8% of total modality-ablation drop), followed by transcriptomics (ΔPCC = +0.054 ± 0.041, 95% CI [0.02, 0.11]; 18.4%). Genomic (ΔPCC = +0.000 ± 0.001) and proteomic (ΔPCC = +0.005 ±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The dominant contribution of histopathology is not a raw accuracy gain (the three-modal vs four-modal mean PCC_drug difference was +0.010, paired t = 0.76, n.s.) but rather a ~60% reduction in cross-fold variance (SD 0.057 →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IC₅₀—using identical clinical outcome labels and evaluation protocol. ElasticNet’s 13-dimensional predicted IC₅₀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IC₅₀ with near-perfect accuracy (PCC = 0.925) but failing on clinical outcomes—confirms that imputed IC₅₀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pPr>
        <w:pStyle w:val="Heading3"/>
      </w:pPr>
      <w:r>
        <w:t>Drug-level heterogeneity defines the scope of fusion benefit</w:t>
      </w:r>
    </w:p>
    <w:p>
      <w:pPr/>
      <w:r>
        <w:t>Drug-level heterogeneity — when does cross-modal fusion help? Pooling clinical AUC across four drugs hides substantial per-drug structure. Examined individually, the four drugs split cleanly by mechanism of action: for DNA-damaging agents (Cyclophosphamide AUC 0.926 vs. PCA-256 raw 0.352, ΔAUC = +0.574; Doxorubicin AUC 0.806 vs. 0.243, ΔAUC = +0.562) PathOmicDRP's learned 256-dimensional embedding decisively outperformed a PCA-256 reduction of the same raw four-modal feature vector, whereas for microtubule-targeting taxanes (Docetaxel AUC 0.357 vs. 0.744, ΔAUC = −0.387; Paclitaxel AUC 0.287 vs. 0.769, ΔAUC = −0.481) the simple linear PCA baseline was superior. This dichotomy is mechanistically coherent: DNA-damage response is multi-factorial, integrating somatic genotype (TP53, BRCA, DNA-repair mutations), transcriptional DNA-damage-response activation, proteomic phosphorylation cascades, and histological proliferation/immune features, precisely the regime in which cross-modal attention fusion is designed to excel. Taxane response, by contrast, is dominated by a narrow set of high-variance proliferation/mitotic signals (Ki-67, tubulin-isoform expression, mitotic index) that linear dimensionality reduction preserves directly; supervised fusion offers little additional lift and can even dilute these concentrated signals by distributing them across a joint representation.</w:t>
      </w:r>
    </w:p>
    <w:p>
      <w:pPr/>
      <w:r>
        <w:t>Consistent with this interpretation, histopathology's contribution on the imputed-IC₅₀ prediction task also varied systematically by drug class: the three taxanes and vinca alkaloids examined (Paclitaxel, Docetaxel, Vinblastine) all showed positive histology gains (mean Δhistology PCC = +0.047), as did hormone drugs (Tamoxifen, Fulvestrant; +0.054) — all drugs whose efficacy tracks with tissue-level morphological or receptor-status information. Purely cell-line-imputed DNA-damaging agents (Cisplatin, Gemcitabine) and two apoptosis inhibitors (Venetoclax, ABT737) showed neutral or slightly negative histology contributions on the imputed target, underscoring that histological signal helps most where it directly reflects the drug's mechanism (proliferation for taxanes, hormone-receptor tissue context for endocrine therapy, tumour-microenvironment complexity for clinical DNA-damage response). Collectively, these per-drug patterns define a practical scope: PathOmicDRP's cross-attention multi-modal fusion is most valuable for clinical outcome prediction of drugs with mechanistically multi-factorial, cross-modal response determinants — a regime populated by conventional cytotoxic chemotherapy backbones (anthracyclines, alkylators) that remain central to breast-cancer treatment. For drugs whose response is dominated by a single molecular axis, simpler linear baselines are competitive or preferable, and the gains from multi-modal fusion should not be assumed a priori.</w:t>
      </w:r>
    </w:p>
    <w:p>
      <w:pPr/>
      <w:r>
        <w:t>A key question is whether PathOmicDRP’s learned representations encode information beyond the imputed IC₅₀ targets used for training. To test this, we extracted 256-dimensional fused embeddings from the cross-attention fusion layer and compared their clinical predictive power against the 13-dimensional imputed IC₅₀ values. Logistic regression classifiers trained on PathOmicDRP embeddings achieved a mean clinical AUC of 0.735, compared to 0.423 for imputed IC₅₀ features and 0.418 for single-drug IC₅₀ values—a +0.312 AUC advantage (Fig. 7B). This demonstrates that multi-modal fusion acts as a representation learning framework: the imputed IC₅₀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Exploratory multi-task survival prediction yielded modest results (C-index = 0.521 ±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IC₅₀ for Tamoxifen (n_pos = 1506 vs n_neg = 474, ΔIC₅₀ = -0.66, Mann–Whitney p = 1.4e-30) and Fulvestrant (ΔIC₅₀ = -0.58, p = 8.9e-34); HER2-positive tumors showed directionally lower predicted Lapatinib IC₅₀ (n_pos = 247, p = 0.12, limited by class imbalance). Drug-drug correlation structure between TCGA predictions and METABRIC predictions was nearly perfectly conserved (Spearman ρ = 0.961, p = 4.4e-44, 78 drug pairs), indicating that the model captures platform-invariant pharmacological relationships. Cox proportional-hazards analysis on overall survival (n = 1980) showed that higher predicted resistance (larger IC₅₀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w:t>
      </w:r>
    </w:p>
    <w:p>
      <w:pPr/>
      <w:r>
        <w:t>Although effect sizes in the METABRIC Cox analysis are modest (per-SD hazard ratios in the 1.08–1.12 range), they support a prognostic — rather than directly therapeutic — interpretation of predicted drug sensitivity: patients whose tumours are predicted to be more resistant to standard cytotoxics (notably ABT737, Venetoclax, Cisplatin, Cyclophosphamide; q &lt; 0.1) experience worse overall survival in an independent cohort, which is consistent with the biological plausibility of the model's learned sensitivity surface even when per-patient treatment assignment is unknown.</w:t>
      </w:r>
    </w:p>
    <w:p>
      <w:pPr/>
      <w:r>
        <w:t>To validate that PathOmicDRP captures genuine pharmacological relationships beyond the training cohort, we compared the model’s predicted drug sensitivity patterns against experimentally measured IC₅₀ values from 51 GDSC breast cancer cell lines. Drug-drug correlation structures showed strong conservation between TCGA patient predictions and GDSC ground truth (Mantel test Spearman ρ = 0.524, p = 8.4 × 10⁻⁷; 78 drug pairs) (Fig. S16A). Mean drug sensitivity rankings were significantly correlated between the two datasets (ρ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IC₅₀ accuracy—where all attention-based models performed similarly (PCC_drug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IC₅₀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We conducted comprehensive benchmarking against both traditional machine learning and alternative deep learning fusion architectures. On the imputed IC₅₀ prediction task, ElasticNet achieved PCC_drug = 0.925 ± 0.003, substantially outperforming PathOmicDRP (0.455 ± 0.023). This result is expected and informative: the imputed IC₅₀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IC₅₀ targets (clinical AUC 0.735 vs. 0.423), confirming that multi-modal cross-attention fusion acts as a representation learning framework that transcends its training signal. External validation against 51 GDSC breast cancer cell lines with experimentally measured IC₅₀ further demonstrated that learned drug relationships reflect real pharmacology (Spearman ρ = 0.670, p = 0.012). Together, these findings establish that imputed IC₅₀ accuracy is a fundamentally misleading metric for evaluating drug response models, and that cross-modal deep learning captures non-linear interactions essential for clinical prediction.</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Beyond the imputed IC₅₀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 10⁻¹¹), HER2 predicted Lapatinib sensitivity (p = 7.3 × 10⁻⁸),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Docetaxel emerged as the most promising candidate for clinical validation. Patients who achieved complete response (CR, n=66) had significantly lower predicted IC₅₀ values (mean = −7.61 ± 1.52) compared to patients with progressive disease (PD, n=3; mean = −6.59 ± 0.68), yielding an AUC of 0.763 (Mann-Whitney p = 0.068, Cohen's d = 0.86). Although the p-value did not reach conventional significance at α = 0.05, the large effect size and consistent directionality — lower predicted IC₅₀ corresponding to better clinical response — provide encouraging evidence that the model captures clinically meaningful drug sensitivity variation for this taxane.</w:t>
      </w:r>
    </w:p>
    <w:p>
      <w:r>
        <w:t>For the remaining drugs, no significant associations were observed between predicted IC₅₀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IC₅₀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IC₅₀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pPr/>
      <w:r>
        <w:t>A principal limitation of this study is the absence of an external, fully four-modal validation cohort. PathOmicDRP integrates somatic mutations, bulk mRNA, reverse-phase protein array (RPPA), and hematoxylin-and-eosin whole-slide images with per-patient drug-treatment records, and to our knowledge TCGA-BRCA is the only publicly available breast-cancer resource that simultaneously provides all four modalities together with treatment/response annotation. We surveyed candidate cohorts including METABRIC, CPTAC-BRCA, ICGC BRCA-UK/EU/KR, AACR Project GENIE and GENIE-BPC, I-SPY 1/2, NCI-MATCH, ORIEN/Avatar, TCIA breast collections, the Chinese Breast Cancer Genome Atlas (CBCGA), AURORA, MBCproject, SCAN-B, and BRCA1/2-focused consortia. Every alternative lacks at least one required modality: METABRIC, ICGC, AURORA, MBCproject, SCAN-B and CBCGA provide no RPPA and no systematic public H&amp;E WSIs; CPTAC-BRCA and CBCGA deliver mass-spectrometry proteomics rather than RPPA and lack drug-response data; GENIE and NCI-MATCH provide targeted genomic panels without transcriptomics, RPPA or imaging; the I-SPY trials do not publicly release systematic RPPA or H&amp;E WSIs. Because cohort-scale RPPA for breast cancer has been generated exclusively within the TCPA/TCGA framework, a fully matched four-modal external validation is currently infeasible with public data. Our METABRIC transcriptomic-transfer validation (Results) is therefore the most stringent external test currently possible. Prospective generation of a complementary RPPA-plus-WSI cohort — potentially nested within active neoadjuvant trials such as I-SPY 2 — is an important direction for future work.</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IC₅₀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IC₅₀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PCC_drug = mean per-drug Pearson correlation coefficient.</w:t>
      </w:r>
    </w:p>
    <w:p/>
    <w:p>
      <w:r>
        <w:t>Table 2. Per-drug PCC comparison between three-modal (G+T+P) and four-modal (G+T+P+H) configurations (5-fold CV). ΔPCC = change upon adding histopathology.</w:t>
      </w:r>
    </w:p>
    <w:p/>
    <w:p>
      <w:r>
        <w:t>Table 3. Modality importance quantified by PCC drop upon ablation of each modality in the best four-modal model.</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rPr>
                <w:b/>
                <w:sz w:val="18"/>
              </w:rPr>
              <w:t>R²</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 ± 0.001</w:t>
            </w:r>
          </w:p>
        </w:tc>
        <w:tc>
          <w:tcPr>
            <w:tcW w:type="dxa" w:w="1234"/>
          </w:tcPr>
          <w:p>
            <w:r>
              <w:rPr>
                <w:sz w:val="18"/>
              </w:rPr>
              <w:t>0.851 ± 0.001</w:t>
            </w:r>
          </w:p>
        </w:tc>
        <w:tc>
          <w:tcPr>
            <w:tcW w:type="dxa" w:w="1234"/>
          </w:tcPr>
          <w:p>
            <w:r>
              <w:rPr>
                <w:sz w:val="18"/>
              </w:rPr>
              <w:t>2.127 ± 0.009</w:t>
            </w:r>
          </w:p>
        </w:tc>
        <w:tc>
          <w:tcPr>
            <w:tcW w:type="dxa" w:w="1234"/>
          </w:tcPr>
          <w:p>
            <w:r>
              <w:rPr>
                <w:sz w:val="18"/>
              </w:rPr>
              <w:t>0.359 ±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rPr>
                <w:sz w:val="18"/>
              </w:rPr>
              <w:t>0.922 ± 0.001</w:t>
            </w:r>
          </w:p>
        </w:tc>
        <w:tc>
          <w:tcPr>
            <w:tcW w:type="dxa" w:w="1234"/>
          </w:tcPr>
          <w:p>
            <w:r>
              <w:rPr>
                <w:sz w:val="18"/>
              </w:rPr>
              <w:t>0.851 ± 0.001</w:t>
            </w:r>
          </w:p>
        </w:tc>
        <w:tc>
          <w:tcPr>
            <w:tcW w:type="dxa" w:w="1234"/>
          </w:tcPr>
          <w:p>
            <w:r>
              <w:rPr>
                <w:sz w:val="18"/>
              </w:rPr>
              <w:t>2.128 ± 0.026</w:t>
            </w:r>
          </w:p>
        </w:tc>
        <w:tc>
          <w:tcPr>
            <w:tcW w:type="dxa" w:w="1234"/>
          </w:tcPr>
          <w:p>
            <w:r>
              <w:rPr>
                <w:sz w:val="18"/>
              </w:rPr>
              <w:t>0.353 ±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rPr>
                <w:sz w:val="18"/>
              </w:rPr>
              <w:t>0.932 ± 0.008</w:t>
            </w:r>
          </w:p>
        </w:tc>
        <w:tc>
          <w:tcPr>
            <w:tcW w:type="dxa" w:w="1234"/>
          </w:tcPr>
          <w:p>
            <w:r>
              <w:rPr>
                <w:sz w:val="18"/>
              </w:rPr>
              <w:t>0.868 ± 0.016</w:t>
            </w:r>
          </w:p>
        </w:tc>
        <w:tc>
          <w:tcPr>
            <w:tcW w:type="dxa" w:w="1234"/>
          </w:tcPr>
          <w:p>
            <w:r>
              <w:rPr>
                <w:sz w:val="18"/>
              </w:rPr>
              <w:t>2.111 ± 0.107</w:t>
            </w:r>
          </w:p>
        </w:tc>
        <w:tc>
          <w:tcPr>
            <w:tcW w:type="dxa" w:w="1234"/>
          </w:tcPr>
          <w:p>
            <w:r>
              <w:rPr>
                <w:sz w:val="18"/>
              </w:rPr>
              <w:t>0.432 ±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rPr>
                <w:sz w:val="18"/>
              </w:rPr>
              <w:t>0.468 ±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rPr>
                <w:sz w:val="18"/>
              </w:rPr>
              <w:t>0.437 ±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rPr>
                <w:sz w:val="18"/>
              </w:rPr>
              <w:t>0.433 ±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rPr>
                <w:sz w:val="18"/>
              </w:rPr>
              <w:t>0.411 ±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rPr>
                <w:sz w:val="18"/>
              </w:rPr>
              <w:t>0.372 ±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rPr>
                <w:sz w:val="18"/>
              </w:rPr>
              <w:t>0.367 ±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rPr>
                <w:sz w:val="18"/>
              </w:rPr>
              <w:t>0.341 ±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rPr>
                <w:sz w:val="18"/>
              </w:rPr>
              <w:t>0.335 ±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rPr>
                <w:sz w:val="18"/>
              </w:rPr>
              <w:t>0.286 ±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rPr>
                <w:sz w:val="18"/>
              </w:rPr>
              <w:t>0.243 ±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rPr>
                <w:sz w:val="18"/>
              </w:rPr>
              <w:t>0.236 ±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rPr>
                <w:sz w:val="18"/>
              </w:rPr>
              <w:t>0.220 ±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rPr>
                <w:sz w:val="18"/>
              </w:rPr>
              <w:t>0.187 ±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rPr>
                <w:b/>
                <w:sz w:val="18"/>
              </w:rPr>
              <w:t>R²</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0.923±0.001</w:t>
            </w:r>
          </w:p>
        </w:tc>
        <w:tc>
          <w:tcPr>
            <w:tcW w:type="dxa" w:w="1234"/>
          </w:tcPr>
          <w:p>
            <w:r>
              <w:rPr>
                <w:sz w:val="18"/>
              </w:rPr>
              <w:t>0.851±0.001</w:t>
            </w:r>
          </w:p>
        </w:tc>
        <w:tc>
          <w:tcPr>
            <w:tcW w:type="dxa" w:w="1234"/>
          </w:tcPr>
          <w:p>
            <w:r>
              <w:rPr>
                <w:sz w:val="18"/>
              </w:rPr>
              <w:t>0.359±0.056</w:t>
            </w:r>
          </w:p>
        </w:tc>
        <w:tc>
          <w:tcPr>
            <w:tcW w:type="dxa" w:w="1234"/>
          </w:tcPr>
          <w:p>
            <w:r>
              <w:rPr>
                <w:sz w:val="18"/>
              </w:rPr>
              <w:t>0.348±0.074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rPr>
                <w:sz w:val="18"/>
              </w:rPr>
              <w:t>0.922±0.002</w:t>
            </w:r>
          </w:p>
        </w:tc>
        <w:tc>
          <w:tcPr>
            <w:tcW w:type="dxa" w:w="1234"/>
          </w:tcPr>
          <w:p>
            <w:r>
              <w:rPr>
                <w:sz w:val="18"/>
              </w:rPr>
              <w:t>0.851±0.004</w:t>
            </w:r>
          </w:p>
        </w:tc>
        <w:tc>
          <w:tcPr>
            <w:tcW w:type="dxa" w:w="1234"/>
          </w:tcPr>
          <w:p>
            <w:r>
              <w:rPr>
                <w:sz w:val="18"/>
              </w:rPr>
              <w:t>0.353±0.041</w:t>
            </w:r>
          </w:p>
        </w:tc>
        <w:tc>
          <w:tcPr>
            <w:tcW w:type="dxa" w:w="1234"/>
          </w:tcPr>
          <w:p>
            <w:r>
              <w:rPr>
                <w:sz w:val="18"/>
              </w:rPr>
              <w:t>0.336±0.054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rPr>
                <w:sz w:val="18"/>
              </w:rPr>
              <w:t>0.931±0.005</w:t>
            </w:r>
          </w:p>
        </w:tc>
        <w:tc>
          <w:tcPr>
            <w:tcW w:type="dxa" w:w="1234"/>
          </w:tcPr>
          <w:p>
            <w:r>
              <w:rPr>
                <w:sz w:val="18"/>
              </w:rPr>
              <w:t>0.867±0.009</w:t>
            </w:r>
          </w:p>
        </w:tc>
        <w:tc>
          <w:tcPr>
            <w:tcW w:type="dxa" w:w="1234"/>
          </w:tcPr>
          <w:p>
            <w:r>
              <w:rPr>
                <w:sz w:val="18"/>
              </w:rPr>
              <w:t>0.445±0.057</w:t>
            </w:r>
          </w:p>
        </w:tc>
        <w:tc>
          <w:tcPr>
            <w:tcW w:type="dxa" w:w="1234"/>
          </w:tcPr>
          <w:p>
            <w:r>
              <w:rPr>
                <w:sz w:val="18"/>
              </w:rPr>
              <w:t>0.443±0.067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rPr>
                <w:sz w:val="18"/>
              </w:rPr>
              <w:t>0.931±0.007</w:t>
            </w:r>
          </w:p>
        </w:tc>
        <w:tc>
          <w:tcPr>
            <w:tcW w:type="dxa" w:w="1234"/>
          </w:tcPr>
          <w:p>
            <w:r>
              <w:rPr>
                <w:sz w:val="18"/>
              </w:rPr>
              <w:t>0.866±0.013</w:t>
            </w:r>
          </w:p>
        </w:tc>
        <w:tc>
          <w:tcPr>
            <w:tcW w:type="dxa" w:w="1234"/>
          </w:tcPr>
          <w:p>
            <w:r>
              <w:rPr>
                <w:sz w:val="18"/>
              </w:rPr>
              <w:t>0.455±0.023</w:t>
            </w:r>
          </w:p>
        </w:tc>
        <w:tc>
          <w:tcPr>
            <w:tcW w:type="dxa" w:w="1234"/>
          </w:tcPr>
          <w:p>
            <w:r>
              <w:rPr>
                <w:sz w:val="18"/>
              </w:rPr>
              <w:t>0.454±0.024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b/>
                <w:sz w:val="18"/>
              </w:rPr>
              <w:t>ΔPCC</w:t>
            </w:r>
          </w:p>
        </w:tc>
      </w:tr>
      <w:tr>
        <w:tc>
          <w:tcPr>
            <w:tcW w:type="dxa" w:w="2160"/>
          </w:tcPr>
          <w:p>
            <w:r>
              <w:rPr>
                <w:sz w:val="18"/>
              </w:rPr>
              <w:t>Cisplatin</w:t>
            </w:r>
          </w:p>
        </w:tc>
        <w:tc>
          <w:tcPr>
            <w:tcW w:type="dxa" w:w="2160"/>
          </w:tcPr>
          <w:p>
            <w:r>
              <w:rPr>
                <w:sz w:val="18"/>
              </w:rPr>
              <w:t>0.497±0.099</w:t>
            </w:r>
          </w:p>
        </w:tc>
        <w:tc>
          <w:tcPr>
            <w:tcW w:type="dxa" w:w="2160"/>
          </w:tcPr>
          <w:p>
            <w:r>
              <w:rPr>
                <w:sz w:val="18"/>
              </w:rPr>
              <w:t>0.478±0.046</w:t>
            </w:r>
          </w:p>
        </w:tc>
        <w:tc>
          <w:tcPr>
            <w:tcW w:type="dxa" w:w="2160"/>
          </w:tcPr>
          <w:p>
            <w:r>
              <w:rPr>
                <w:sz w:val="18"/>
              </w:rPr>
              <w:t>-0.018</w:t>
            </w:r>
          </w:p>
        </w:tc>
      </w:tr>
      <w:tr>
        <w:tc>
          <w:tcPr>
            <w:tcW w:type="dxa" w:w="2160"/>
          </w:tcPr>
          <w:p>
            <w:r>
              <w:rPr>
                <w:sz w:val="18"/>
              </w:rPr>
              <w:t>Docetaxel</w:t>
            </w:r>
          </w:p>
        </w:tc>
        <w:tc>
          <w:tcPr>
            <w:tcW w:type="dxa" w:w="2160"/>
          </w:tcPr>
          <w:p>
            <w:r>
              <w:rPr>
                <w:sz w:val="18"/>
              </w:rPr>
              <w:t>0.511±0.122</w:t>
            </w:r>
          </w:p>
        </w:tc>
        <w:tc>
          <w:tcPr>
            <w:tcW w:type="dxa" w:w="2160"/>
          </w:tcPr>
          <w:p>
            <w:r>
              <w:rPr>
                <w:sz w:val="18"/>
              </w:rPr>
              <w:t>0.512±0.077</w:t>
            </w:r>
          </w:p>
        </w:tc>
        <w:tc>
          <w:tcPr>
            <w:tcW w:type="dxa" w:w="2160"/>
          </w:tcPr>
          <w:p>
            <w:r>
              <w:rPr>
                <w:sz w:val="18"/>
              </w:rPr>
              <w:t>+0.001</w:t>
            </w:r>
          </w:p>
        </w:tc>
      </w:tr>
      <w:tr>
        <w:tc>
          <w:tcPr>
            <w:tcW w:type="dxa" w:w="2160"/>
          </w:tcPr>
          <w:p>
            <w:r>
              <w:rPr>
                <w:sz w:val="18"/>
              </w:rPr>
              <w:t>Paclitaxel</w:t>
            </w:r>
          </w:p>
        </w:tc>
        <w:tc>
          <w:tcPr>
            <w:tcW w:type="dxa" w:w="2160"/>
          </w:tcPr>
          <w:p>
            <w:r>
              <w:rPr>
                <w:sz w:val="18"/>
              </w:rPr>
              <w:t>0.389±0.096</w:t>
            </w:r>
          </w:p>
        </w:tc>
        <w:tc>
          <w:tcPr>
            <w:tcW w:type="dxa" w:w="2160"/>
          </w:tcPr>
          <w:p>
            <w:r>
              <w:rPr>
                <w:sz w:val="18"/>
              </w:rPr>
              <w:t>0.455±0.057</w:t>
            </w:r>
          </w:p>
        </w:tc>
        <w:tc>
          <w:tcPr>
            <w:tcW w:type="dxa" w:w="2160"/>
          </w:tcPr>
          <w:p>
            <w:r>
              <w:rPr>
                <w:sz w:val="18"/>
              </w:rPr>
              <w:t>+0.065</w:t>
            </w:r>
          </w:p>
        </w:tc>
      </w:tr>
      <w:tr>
        <w:tc>
          <w:tcPr>
            <w:tcW w:type="dxa" w:w="2160"/>
          </w:tcPr>
          <w:p>
            <w:r>
              <w:rPr>
                <w:sz w:val="18"/>
              </w:rPr>
              <w:t>Gemcitabine</w:t>
            </w:r>
          </w:p>
        </w:tc>
        <w:tc>
          <w:tcPr>
            <w:tcW w:type="dxa" w:w="2160"/>
          </w:tcPr>
          <w:p>
            <w:r>
              <w:rPr>
                <w:sz w:val="18"/>
              </w:rPr>
              <w:t>0.538±0.109</w:t>
            </w:r>
          </w:p>
        </w:tc>
        <w:tc>
          <w:tcPr>
            <w:tcW w:type="dxa" w:w="2160"/>
          </w:tcPr>
          <w:p>
            <w:r>
              <w:rPr>
                <w:sz w:val="18"/>
              </w:rPr>
              <w:t>0.475±0.069</w:t>
            </w:r>
          </w:p>
        </w:tc>
        <w:tc>
          <w:tcPr>
            <w:tcW w:type="dxa" w:w="2160"/>
          </w:tcPr>
          <w:p>
            <w:r>
              <w:rPr>
                <w:sz w:val="18"/>
              </w:rPr>
              <w:t>-0.064</w:t>
            </w:r>
          </w:p>
        </w:tc>
      </w:tr>
      <w:tr>
        <w:tc>
          <w:tcPr>
            <w:tcW w:type="dxa" w:w="2160"/>
          </w:tcPr>
          <w:p>
            <w:r>
              <w:rPr>
                <w:sz w:val="18"/>
              </w:rPr>
              <w:t>Tamoxifen</w:t>
            </w:r>
          </w:p>
        </w:tc>
        <w:tc>
          <w:tcPr>
            <w:tcW w:type="dxa" w:w="2160"/>
          </w:tcPr>
          <w:p>
            <w:r>
              <w:rPr>
                <w:sz w:val="18"/>
              </w:rPr>
              <w:t>0.350±0.126</w:t>
            </w:r>
          </w:p>
        </w:tc>
        <w:tc>
          <w:tcPr>
            <w:tcW w:type="dxa" w:w="2160"/>
          </w:tcPr>
          <w:p>
            <w:r>
              <w:rPr>
                <w:sz w:val="18"/>
              </w:rPr>
              <w:t>0.446±0.075</w:t>
            </w:r>
          </w:p>
        </w:tc>
        <w:tc>
          <w:tcPr>
            <w:tcW w:type="dxa" w:w="2160"/>
          </w:tcPr>
          <w:p>
            <w:r>
              <w:rPr>
                <w:sz w:val="18"/>
              </w:rPr>
              <w:t>+0.095</w:t>
            </w:r>
          </w:p>
        </w:tc>
      </w:tr>
      <w:tr>
        <w:tc>
          <w:tcPr>
            <w:tcW w:type="dxa" w:w="2160"/>
          </w:tcPr>
          <w:p>
            <w:r>
              <w:rPr>
                <w:sz w:val="18"/>
              </w:rPr>
              <w:t>Lapatinib</w:t>
            </w:r>
          </w:p>
        </w:tc>
        <w:tc>
          <w:tcPr>
            <w:tcW w:type="dxa" w:w="2160"/>
          </w:tcPr>
          <w:p>
            <w:r>
              <w:rPr>
                <w:sz w:val="18"/>
              </w:rPr>
              <w:t>0.432±0.148</w:t>
            </w:r>
          </w:p>
        </w:tc>
        <w:tc>
          <w:tcPr>
            <w:tcW w:type="dxa" w:w="2160"/>
          </w:tcPr>
          <w:p>
            <w:r>
              <w:rPr>
                <w:sz w:val="18"/>
              </w:rPr>
              <w:t>0.458±0.192</w:t>
            </w:r>
          </w:p>
        </w:tc>
        <w:tc>
          <w:tcPr>
            <w:tcW w:type="dxa" w:w="2160"/>
          </w:tcPr>
          <w:p>
            <w:r>
              <w:rPr>
                <w:sz w:val="18"/>
              </w:rPr>
              <w:t>+0.027</w:t>
            </w:r>
          </w:p>
        </w:tc>
      </w:tr>
      <w:tr>
        <w:tc>
          <w:tcPr>
            <w:tcW w:type="dxa" w:w="2160"/>
          </w:tcPr>
          <w:p>
            <w:r>
              <w:rPr>
                <w:sz w:val="18"/>
              </w:rPr>
              <w:t>Vinblastine</w:t>
            </w:r>
          </w:p>
        </w:tc>
        <w:tc>
          <w:tcPr>
            <w:tcW w:type="dxa" w:w="2160"/>
          </w:tcPr>
          <w:p>
            <w:r>
              <w:rPr>
                <w:sz w:val="18"/>
              </w:rPr>
              <w:t>0.450±0.097</w:t>
            </w:r>
          </w:p>
        </w:tc>
        <w:tc>
          <w:tcPr>
            <w:tcW w:type="dxa" w:w="2160"/>
          </w:tcPr>
          <w:p>
            <w:r>
              <w:rPr>
                <w:sz w:val="18"/>
              </w:rPr>
              <w:t>0.525±0.081</w:t>
            </w:r>
          </w:p>
        </w:tc>
        <w:tc>
          <w:tcPr>
            <w:tcW w:type="dxa" w:w="2160"/>
          </w:tcPr>
          <w:p>
            <w:r>
              <w:rPr>
                <w:sz w:val="18"/>
              </w:rPr>
              <w:t>+0.075</w:t>
            </w:r>
          </w:p>
        </w:tc>
      </w:tr>
      <w:tr>
        <w:tc>
          <w:tcPr>
            <w:tcW w:type="dxa" w:w="2160"/>
          </w:tcPr>
          <w:p>
            <w:r>
              <w:rPr>
                <w:sz w:val="18"/>
              </w:rPr>
              <w:t>OSI-027</w:t>
            </w:r>
          </w:p>
        </w:tc>
        <w:tc>
          <w:tcPr>
            <w:tcW w:type="dxa" w:w="2160"/>
          </w:tcPr>
          <w:p>
            <w:r>
              <w:rPr>
                <w:sz w:val="18"/>
              </w:rPr>
              <w:t>0.530±0.084</w:t>
            </w:r>
          </w:p>
        </w:tc>
        <w:tc>
          <w:tcPr>
            <w:tcW w:type="dxa" w:w="2160"/>
          </w:tcPr>
          <w:p>
            <w:r>
              <w:rPr>
                <w:sz w:val="18"/>
              </w:rPr>
              <w:t>0.533±0.111</w:t>
            </w:r>
          </w:p>
        </w:tc>
        <w:tc>
          <w:tcPr>
            <w:tcW w:type="dxa" w:w="2160"/>
          </w:tcPr>
          <w:p>
            <w:r>
              <w:rPr>
                <w:sz w:val="18"/>
              </w:rPr>
              <w:t>+0.004</w:t>
            </w:r>
          </w:p>
        </w:tc>
      </w:tr>
      <w:tr>
        <w:tc>
          <w:tcPr>
            <w:tcW w:type="dxa" w:w="2160"/>
          </w:tcPr>
          <w:p>
            <w:r>
              <w:rPr>
                <w:sz w:val="18"/>
              </w:rPr>
              <w:t>Daporinad</w:t>
            </w:r>
          </w:p>
        </w:tc>
        <w:tc>
          <w:tcPr>
            <w:tcW w:type="dxa" w:w="2160"/>
          </w:tcPr>
          <w:p>
            <w:r>
              <w:rPr>
                <w:sz w:val="18"/>
              </w:rPr>
              <w:t>0.313±0.101</w:t>
            </w:r>
          </w:p>
        </w:tc>
        <w:tc>
          <w:tcPr>
            <w:tcW w:type="dxa" w:w="2160"/>
          </w:tcPr>
          <w:p>
            <w:r>
              <w:rPr>
                <w:sz w:val="18"/>
              </w:rPr>
              <w:t>0.313±0.090</w:t>
            </w:r>
          </w:p>
        </w:tc>
        <w:tc>
          <w:tcPr>
            <w:tcW w:type="dxa" w:w="2160"/>
          </w:tcPr>
          <w:p>
            <w:r>
              <w:rPr>
                <w:sz w:val="18"/>
              </w:rPr>
              <w:t>-0.001</w:t>
            </w:r>
          </w:p>
        </w:tc>
      </w:tr>
      <w:tr>
        <w:tc>
          <w:tcPr>
            <w:tcW w:type="dxa" w:w="2160"/>
          </w:tcPr>
          <w:p>
            <w:r>
              <w:rPr>
                <w:sz w:val="18"/>
              </w:rPr>
              <w:t>Venetoclax</w:t>
            </w:r>
          </w:p>
        </w:tc>
        <w:tc>
          <w:tcPr>
            <w:tcW w:type="dxa" w:w="2160"/>
          </w:tcPr>
          <w:p>
            <w:r>
              <w:rPr>
                <w:sz w:val="18"/>
              </w:rPr>
              <w:t>0.487±0.103</w:t>
            </w:r>
          </w:p>
        </w:tc>
        <w:tc>
          <w:tcPr>
            <w:tcW w:type="dxa" w:w="2160"/>
          </w:tcPr>
          <w:p>
            <w:r>
              <w:rPr>
                <w:sz w:val="18"/>
              </w:rPr>
              <w:t>0.419±0.070</w:t>
            </w:r>
          </w:p>
        </w:tc>
        <w:tc>
          <w:tcPr>
            <w:tcW w:type="dxa" w:w="2160"/>
          </w:tcPr>
          <w:p>
            <w:r>
              <w:rPr>
                <w:sz w:val="18"/>
              </w:rPr>
              <w:t>-0.068</w:t>
            </w:r>
          </w:p>
        </w:tc>
      </w:tr>
      <w:tr>
        <w:tc>
          <w:tcPr>
            <w:tcW w:type="dxa" w:w="2160"/>
          </w:tcPr>
          <w:p>
            <w:r>
              <w:rPr>
                <w:sz w:val="18"/>
              </w:rPr>
              <w:t>ABT737</w:t>
            </w:r>
          </w:p>
        </w:tc>
        <w:tc>
          <w:tcPr>
            <w:tcW w:type="dxa" w:w="2160"/>
          </w:tcPr>
          <w:p>
            <w:r>
              <w:rPr>
                <w:sz w:val="18"/>
              </w:rPr>
              <w:t>0.378±0.050</w:t>
            </w:r>
          </w:p>
        </w:tc>
        <w:tc>
          <w:tcPr>
            <w:tcW w:type="dxa" w:w="2160"/>
          </w:tcPr>
          <w:p>
            <w:r>
              <w:rPr>
                <w:sz w:val="18"/>
              </w:rPr>
              <w:t>0.366±0.042</w:t>
            </w:r>
          </w:p>
        </w:tc>
        <w:tc>
          <w:tcPr>
            <w:tcW w:type="dxa" w:w="2160"/>
          </w:tcPr>
          <w:p>
            <w:r>
              <w:rPr>
                <w:sz w:val="18"/>
              </w:rPr>
              <w:t>-0.012</w:t>
            </w:r>
          </w:p>
        </w:tc>
      </w:tr>
      <w:tr>
        <w:tc>
          <w:tcPr>
            <w:tcW w:type="dxa" w:w="2160"/>
          </w:tcPr>
          <w:p>
            <w:r>
              <w:rPr>
                <w:sz w:val="18"/>
              </w:rPr>
              <w:t>AZD5991</w:t>
            </w:r>
          </w:p>
        </w:tc>
        <w:tc>
          <w:tcPr>
            <w:tcW w:type="dxa" w:w="2160"/>
          </w:tcPr>
          <w:p>
            <w:r>
              <w:rPr>
                <w:sz w:val="18"/>
              </w:rPr>
              <w:t>0.484±0.034</w:t>
            </w:r>
          </w:p>
        </w:tc>
        <w:tc>
          <w:tcPr>
            <w:tcW w:type="dxa" w:w="2160"/>
          </w:tcPr>
          <w:p>
            <w:r>
              <w:rPr>
                <w:sz w:val="18"/>
              </w:rPr>
              <w:t>0.506±0.030</w:t>
            </w:r>
          </w:p>
        </w:tc>
        <w:tc>
          <w:tcPr>
            <w:tcW w:type="dxa" w:w="2160"/>
          </w:tcPr>
          <w:p>
            <w:r>
              <w:rPr>
                <w:sz w:val="18"/>
              </w:rPr>
              <w:t>+0.022</w:t>
            </w:r>
          </w:p>
        </w:tc>
      </w:tr>
      <w:tr>
        <w:tc>
          <w:tcPr>
            <w:tcW w:type="dxa" w:w="2160"/>
          </w:tcPr>
          <w:p>
            <w:r>
              <w:rPr>
                <w:sz w:val="18"/>
              </w:rPr>
              <w:t>Fulvestrant</w:t>
            </w:r>
          </w:p>
        </w:tc>
        <w:tc>
          <w:tcPr>
            <w:tcW w:type="dxa" w:w="2160"/>
          </w:tcPr>
          <w:p>
            <w:r>
              <w:rPr>
                <w:sz w:val="18"/>
              </w:rPr>
              <w:t>0.419±0.122</w:t>
            </w:r>
          </w:p>
        </w:tc>
        <w:tc>
          <w:tcPr>
            <w:tcW w:type="dxa" w:w="2160"/>
          </w:tcPr>
          <w:p>
            <w:r>
              <w:rPr>
                <w:sz w:val="18"/>
              </w:rPr>
              <w:t>0.432±0.059</w:t>
            </w:r>
          </w:p>
        </w:tc>
        <w:tc>
          <w:tcPr>
            <w:tcW w:type="dxa" w:w="2160"/>
          </w:tcPr>
          <w:p>
            <w:r>
              <w:rPr>
                <w:sz w:val="18"/>
              </w:rPr>
              <w:t>+0.013</w:t>
            </w:r>
          </w:p>
        </w:tc>
      </w:tr>
      <w:tr>
        <w:tc>
          <w:tcPr>
            <w:tcW w:type="dxa" w:w="2160"/>
          </w:tcPr>
          <w:p>
            <w:r>
              <w:rPr>
                <w:sz w:val="18"/>
              </w:rPr>
              <w:t>Mean</w:t>
            </w:r>
          </w:p>
        </w:tc>
        <w:tc>
          <w:tcPr>
            <w:tcW w:type="dxa" w:w="2160"/>
          </w:tcPr>
          <w:p>
            <w:r>
              <w:rPr>
                <w:sz w:val="18"/>
              </w:rPr>
              <w:t>0.445±0.057</w:t>
            </w:r>
          </w:p>
        </w:tc>
        <w:tc>
          <w:tcPr>
            <w:tcW w:type="dxa" w:w="2160"/>
          </w:tcPr>
          <w:p>
            <w:r>
              <w:rPr>
                <w:sz w:val="18"/>
              </w:rPr>
              <w:t>0.455±0.023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b/>
                <w:sz w:val="18"/>
              </w:rPr>
              <w:t>ΔPCC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rPr>
          <w:b/>
        </w:rPr>
        <w:t>Figure 2.</w:t>
      </w:r>
      <w:r>
        <w:t xml:space="preserve"> Model performance. (A) Progressive modality integration showing per-drug PCC improvement. (B) Predicted vs. actual IC₅₀ scatter (global PCC = 0.952). (C) Benchmark comparison against traditional ML methods. (D) Per-drug PCC for 3-modal vs. 4-modal with significance annotations. (E) Cross-validation stability showing reduced variance in 4-modal model.</w:t>
      </w:r>
    </w:p>
    <w:p>
      <w:r>
        <w:rPr>
          <w:b/>
        </w:rPr>
        <w:t>Figure 3.</w:t>
      </w:r>
      <w:r>
        <w:t xml:space="preserve"> Clinical validation and biomarker concordance. (A) Direct treatment outcome prediction AUC: 4-modal vs. 3-modal embeddings. (B) ER status stratification of predicted Tamoxifen and Fulvestrant IC₅₀. (C) HER2 status stratification of predicted Lapatinib IC₅₀. (D) PIK3CA mutation effects on predicted drug sensitivity. (E) Docetaxel clinical validation waterfall. (F) Biomarker-drug concordance significance.</w:t>
      </w:r>
    </w:p>
    <w:p>
      <w:r>
        <w:rPr>
          <w:b/>
        </w:rPr>
        <w:t>Figure 4.</w:t>
      </w:r>
      <w:r>
        <w:t xml:space="preserve"> Biological insights. (A) UMAP of fused 4-modal embeddings by molecular subtype. (B) UMAP by predicted Tamoxifen IC₅₀. (C) Subtype-specific drug sensitivity heatmap with Kruskal-Wallis significance. (D) Drug clustering by IC₅₀ correlation with MOA annotations. (E) ABMIL attention heatmap on H&amp;E tissue with zoom inset of high-attention region. (F) Drug sensitivity radar by subtype.</w:t>
      </w:r>
    </w:p>
    <w:p>
      <w:r>
        <w:rPr>
          <w:b/>
        </w:rPr>
        <w:t>Figure 5.</w:t>
      </w:r>
      <w:r>
        <w:t xml:space="preserve"> Interpretability. (A) Modality importance by PCC drop upon ablation. (B) Top 12 genomic features by gradient × input attribution. (C) Per-drug ΔPCC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rPr>
          <w:b/>
        </w:rPr>
        <w:t xml:space="preserve">Figure 7. Performance dissociation between imputed and clinical metrics. (A) Imputed IC₅₀ prediction accuracy (PCC_drug)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IC₅₀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Figure S16. External validation against GDSC pharmacological data. (A) Drug-drug correlation structure conservation between TCGA patient predictions and GDSC cell line real IC₅₀ (Mantel Spearman ρ = 0.524, p = 8.4 × 10⁻⁷). (B) IC₅₀ variance comparison across 13 drugs. (C) Mean drug sensitivity ranking correlation (ρ = 0.670, p = 0.012). (D) Drug-drug correlation heatmap (upper triangle: TCGA predictions; lower triangle: GDSC real IC₅₀).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