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a959d57f98fb8f5f322dc2816ea48fb368770c6"/>
    <w:p>
      <w:pPr>
        <w:pStyle w:val="Heading1"/>
      </w:pPr>
      <w:r>
        <w:t xml:space="preserve">Two orthogonal, regimen-agnostic pre-CRT predictors and directionally coherent radiation-phase pharmacodynamics predict final total-neoadjuvant-therapy response in microsatellite-stable locally advanced rectal cancer</w:t>
      </w:r>
    </w:p>
    <w:p>
      <w:pPr>
        <w:pStyle w:val="FirstParagraph"/>
      </w:pPr>
      <w:r>
        <w:rPr>
          <w:i/>
          <w:iCs/>
        </w:rPr>
        <w:t xml:space="preserve">Manuscript v0.7.7 — Genome Medicine submission. 2026-04-24.</w:t>
      </w:r>
    </w:p>
    <w:p>
      <w:pPr>
        <w:pStyle w:val="BodyText"/>
      </w:pPr>
      <w:r>
        <w:rPr>
          <w:i/>
          <w:iCs/>
        </w:rPr>
        <w:t xml:space="preserve">v0.7.7 changes from v0.7.6: (i) new §3.14 NanoString PanCancer Immune orthogonal platform test added — pre-registered Arrow 5 Δ rescue failed (4 primary composites bad ≥ good direction), and post-hoc extreme-phenotype (n = 3 pCR vs n = 3 poor) pre-treatment analysis revealed</w:t>
      </w:r>
      <w:r>
        <w:rPr>
          <w:i/>
          <w:iCs/>
        </w:rPr>
        <w:t xml:space="preserve"> </w:t>
      </w:r>
      <w:r>
        <w:rPr>
          <w:b/>
          <w:bCs/>
          <w:i/>
          <w:iCs/>
        </w:rPr>
        <w:t xml:space="preserve">23 / 23 composites good &gt; bad direction with six reaching one-sided MW ceiling P = 0.05</w:t>
      </w:r>
      <w:r>
        <w:rPr>
          <w:i/>
          <w:iCs/>
        </w:rPr>
        <w:t xml:space="preserve"> </w:t>
      </w:r>
      <w:r>
        <w:rPr>
          <w:i/>
          <w:iCs/>
        </w:rPr>
        <w:t xml:space="preserve">(Ayers tumor inflammation signature [63], IFN-γ 6-gene [64], IFN-γ 10-gene [64], CD8 cytotoxic, M1 macrophage, GC transcription factor), plus M1 / M2 and NK-activating / inhibiting ratio ceiling hits — providing in-house extreme-phenotype replication of the Thread 2 immune axis that was previously external-only at full-cohort resolution; (ii) Inflamed-but-Ineffective (IBI) vs Inflamed-Active-Effective (IAE) molecular dichotomy introduced in §3.14 Discussion — IBI bad inflamed responders lack productive TCR / JAK-STAT / NF-κB / BATF / TAPBP signalling despite immune infiltration; (iii) Path B+ framing update throughout — Immune axis now supported by in-house NanoString extreme-phenotype + external LC-CRT 9-cohort + Akiyoshi + GSE254249 SC-RT. 7 Supp Figs (S22–S28) + 4 Supp Tables (S12–S15) + 1 Supp Text (S7) added. Discovery cohort full RNA-seq 35-sample analyses and all v0.7.6 main figures Fig 1–9 unchanged.</w:t>
      </w:r>
    </w:p>
    <w:p>
      <w:pPr>
        <w:pStyle w:val="BodyText"/>
      </w:pPr>
      <w:r>
        <w:rPr>
          <w:i/>
          <w:iCs/>
        </w:rPr>
        <w:t xml:space="preserve">v0.7.6 (2026-04-23) changes from v0.7.5: pVACseq v2 re-run on 46 tumors (original pipeline silently skipped eight tumor-only VCFs because of an invalid</w:t>
      </w:r>
      <w:r>
        <w:rPr>
          <w:i/>
          <w:iCs/>
        </w:rPr>
        <w:t xml:space="preserve"> </w:t>
      </w:r>
      <w:r>
        <w:rPr>
          <w:rStyle w:val="VerbatimChar"/>
          <w:i/>
          <w:iCs/>
        </w:rPr>
        <w:t xml:space="preserve">normal_sample_name</w:t>
      </w:r>
      <w:r>
        <w:rPr>
          <w:i/>
          <w:iCs/>
        </w:rPr>
        <w:t xml:space="preserve"> </w:t>
      </w:r>
      <w:r>
        <w:rPr>
          <w:i/>
          <w:iCs/>
        </w:rPr>
        <w:t xml:space="preserve">argument); §3.6 pre-CRT summary statistics updated accordingly (sites median 76 vs 71, MW P = 0.779; PCN 74.8 vs 69.0, P = 0.82); paired 11-subject within-good clearance remains bit-exact.</w:t>
      </w:r>
    </w:p>
    <w:p>
      <w:pPr>
        <w:pStyle w:val="BodyText"/>
      </w:pPr>
      <w:r>
        <w:rPr>
          <w:i/>
          <w:iCs/>
        </w:rPr>
        <w:t xml:space="preserve">v0.7.5 changes from v0.7.4: (i) discovery cohort regimen clarified as short-course radiotherapy (25 Gy / 5 Fx) followed by consolidation FOLFOX/CAPOX (previously mis-stated as long-course); (ii) regimen-agnostic interpretation upgraded to span both RT fractionation (SC-RT vs LC-CRT) and chemo-timing / backbone axes; (iii) new GSE254249 (Gao et al., Cancer Cell 2025) SC-RT-matched external validation added to §3.12 and Fig 9 as a third independent evidence stream concordant with discovery direction (7/7 signatures, binomial sign P = 0.016; T-cell-infiltration MW P = 0.036; DSB repair P = 0.071).</w:t>
      </w:r>
    </w:p>
    <w:p>
      <w:pPr>
        <w:pStyle w:val="BodyText"/>
      </w:pPr>
      <w:r>
        <w:rPr>
          <w:b/>
          <w:bCs/>
        </w:rPr>
        <w:t xml:space="preserve">Authors:</w:t>
      </w:r>
      <w:r>
        <w:t xml:space="preserve"> </w:t>
      </w:r>
      <w:r>
        <w:t xml:space="preserve">[Author 1]¹, [Author 2]¹, [Author 3]², …, [Senior Author]¹* (to be completed)</w:t>
      </w:r>
    </w:p>
    <w:p>
      <w:pPr>
        <w:pStyle w:val="BodyText"/>
      </w:pPr>
      <w:r>
        <w:rPr>
          <w:b/>
          <w:bCs/>
        </w:rPr>
        <w:t xml:space="preserve">Affiliations:</w:t>
      </w:r>
      <w:r>
        <w:t xml:space="preserve"> </w:t>
      </w:r>
      <w:r>
        <w:t xml:space="preserve">1. Department of [Department], Seoul National University Hospital, Seoul, Republic of Korea</w:t>
      </w:r>
      <w:r>
        <w:t xml:space="preserve"> </w:t>
      </w:r>
      <w:r>
        <w:t xml:space="preserve">2. [Co-author affiliations]</w:t>
      </w:r>
    </w:p>
    <w:p>
      <w:pPr>
        <w:pStyle w:val="BodyText"/>
      </w:pPr>
      <w:r>
        <w:t xml:space="preserve">*</w:t>
      </w:r>
      <w:r>
        <w:t xml:space="preserve"> </w:t>
      </w:r>
      <w:r>
        <w:rPr>
          <w:b/>
          <w:bCs/>
        </w:rPr>
        <w:t xml:space="preserve">Corresponding author:</w:t>
      </w:r>
      <w:r>
        <w:t xml:space="preserve"> </w:t>
      </w:r>
      <w:r>
        <w:t xml:space="preserve">[Senior Author], Seoul National University Hospital. Email:</w:t>
      </w:r>
      <w:r>
        <w:t xml:space="preserve"> </w:t>
      </w:r>
      <w:hyperlink r:id="rId9">
        <w:r>
          <w:rPr>
            <w:rStyle w:val="Hyperlink"/>
          </w:rPr>
          <w:t xml:space="preserve">mario2437@gmail.com</w:t>
        </w:r>
      </w:hyperlink>
    </w:p>
    <w:p>
      <w:pPr>
        <w:pStyle w:val="BodyText"/>
      </w:pPr>
      <w:r>
        <w:rPr>
          <w:b/>
          <w:bCs/>
        </w:rPr>
        <w:t xml:space="preserve">Keywords:</w:t>
      </w:r>
      <w:r>
        <w:t xml:space="preserve"> </w:t>
      </w:r>
      <w:r>
        <w:t xml:space="preserve">locally advanced rectal cancer; total neoadjuvant therapy; chemoradiotherapy; multi-omics; whole-exome sequencing; RNA-seq; CD8 cytotoxic; DNA-damage repair; pharmacodynamic biomarker; B-cell repertoire; HLA loss of heterozygosity; NanoString nCounter; tumor inflammation signature; extreme phenotype; regulatory-grade signature.</w:t>
      </w:r>
    </w:p>
    <w:p>
      <w:pPr>
        <w:pStyle w:val="BodyText"/>
      </w:pPr>
      <w:r>
        <w:rPr>
          <w:b/>
          <w:bCs/>
        </w:rPr>
        <w:t xml:space="preserve">Abbreviations:</w:t>
      </w:r>
      <w:r>
        <w:t xml:space="preserve"> </w:t>
      </w:r>
      <w:r>
        <w:t xml:space="preserve">BCa, bias-corrected and accelerated bootstrap; CCF, cancer-cell fraction; CIN, chromosomal instability; CMS, consensus molecular subtype; CR, complete response; CRT, chemoradiotherapy; DFS, disease-free survival; DSB, double-strand break; EMT, epithelial–mesenchymal transition; GEO, Gene Expression Omnibus; HDR, homology-directed repair; HLA, human leukocyte antigen; HRD, homologous-recombination deficiency; IAE, Inflamed-Active-Effective (good inflamed); IBI, Inflamed-but-Ineffective (bad inflamed); ICB, immune-checkpoint blockade; IMPRES, Immune-Predictive Score [65]; LARC, locally advanced rectal cancer; LOH, loss of heterozygosity; MHC, major histocompatibility complex; MSI, microsatellite instability; MSS, microsatellite-stable; nCRT, neoadjuvant chemoradiotherapy; OS, overall survival; PCN, presentation-competent neoantigen; PoN, panel of normals; SBS, single-base substitution; ssGSEA, single-sample gene set enrichment analysis; TAI, telomeric allelic imbalance; TIL, tumor-infiltrating lymphocyte; TIS, Tumor Inflammation Signature [63]; TLS, tertiary lymphoid structure; TMB, tumor mutational burden; TNT, total neoadjuvant therapy; TRG, tumor regression grade; WES, whole-exome sequencing.</w:t>
      </w:r>
    </w:p>
    <w:p>
      <w:r>
        <w:pict>
          <v:rect style="width:0;height:1.5pt" o:hralign="center" o:hrstd="t" o:hr="t"/>
        </w:pict>
      </w:r>
    </w:p>
    <w:bookmarkStart w:id="10" w:name="abstract"/>
    <w:p>
      <w:pPr>
        <w:pStyle w:val="Heading2"/>
      </w:pPr>
      <w:r>
        <w:t xml:space="preserve">Abstract</w:t>
      </w:r>
    </w:p>
    <w:p>
      <w:pPr>
        <w:pStyle w:val="FirstParagraph"/>
      </w:pPr>
      <w:r>
        <w:rPr>
          <w:b/>
          <w:bCs/>
        </w:rPr>
        <w:t xml:space="preserve">Background.</w:t>
      </w:r>
      <w:r>
        <w:t xml:space="preserve"> </w:t>
      </w:r>
      <w:r>
        <w:t xml:space="preserve">Under modern total neoadjuvant therapy (TNT) for locally advanced rectal cancer, the high post-consolidation complete-response rate precludes balanced bad-responder cohorts from post-consolidation tissue. Paired-biopsy studies are tractable only around the radiation phase — a window in which the tumor has experienced radiation alone while final response reflects the full radiation-then-consolidation regimen. No molecular predictor of final TNT response is established for microsatellite-stable (MSS) disease.</w:t>
      </w:r>
    </w:p>
    <w:p>
      <w:pPr>
        <w:pStyle w:val="BodyText"/>
      </w:pPr>
      <w:r>
        <w:rPr>
          <w:b/>
          <w:bCs/>
        </w:rPr>
        <w:t xml:space="preserve">Methods.</w:t>
      </w:r>
      <w:r>
        <w:t xml:space="preserve"> </w:t>
      </w:r>
      <w:r>
        <w:t xml:space="preserve">Thirty-five MSS LARC patients receiving TNT with</w:t>
      </w:r>
      <w:r>
        <w:t xml:space="preserve"> </w:t>
      </w:r>
      <w:r>
        <w:rPr>
          <w:b/>
          <w:bCs/>
        </w:rPr>
        <w:t xml:space="preserve">short-course radiotherapy (25 Gy / 5 Fx)</w:t>
      </w:r>
      <w:r>
        <w:t xml:space="preserve"> </w:t>
      </w:r>
      <w:r>
        <w:t xml:space="preserve">followed by consolidation FOLFOX/CAPOX were profiled by matched WES and RNA-seq (41 T-N pairs; 56 RNA samples); 14 contributed WES triplets (7 + 7 paired) and 12 of those paired RNA-seq (6 + 6). Paired analyses report magnitude and directional consistency (sign / Fisher on Δ). Nested-LOOCV LASSO on 36 features (cell-cycle-contaminated</w:t>
      </w:r>
      <w:r>
        <w:t xml:space="preserve"> </w:t>
      </w:r>
      <w:r>
        <w:t xml:space="preserve">“CD8 proliferation”</w:t>
      </w:r>
      <w:r>
        <w:t xml:space="preserve"> </w:t>
      </w:r>
      <w:r>
        <w:t xml:space="preserve">removed). External validation draws on three regimen strata: (a) nine long-course nCRT GEO cohorts with concurrent capecitabine (primary meta 5 cohorts, N = 518, a priori ≥ 3 / 4 concordance rule), augmented for Thread 2 with Akiyoshi et al 2023 (n = 298; N = 816); (b)</w:t>
      </w:r>
      <w:r>
        <w:t xml:space="preserve"> </w:t>
      </w:r>
      <w:r>
        <w:rPr>
          <w:b/>
          <w:bCs/>
        </w:rPr>
        <w:t xml:space="preserve">the only public SC-RT-TNT bulk RNA-seq cohort (GSE254249, Gao et al., Cancer Cell 2025; N = 8 post-TNT, 5 + 3; SC-RT 5 × 5 Gy + FOLFOXIRI consolidation)</w:t>
      </w:r>
      <w:r>
        <w:t xml:space="preserve"> </w:t>
      </w:r>
      <w:r>
        <w:t xml:space="preserve">— matching discovery RT fractionation and chemo-timing but with a different chemo backbone.</w:t>
      </w:r>
    </w:p>
    <w:p>
      <w:pPr>
        <w:pStyle w:val="BodyText"/>
      </w:pPr>
      <w:r>
        <w:rPr>
          <w:b/>
          <w:bCs/>
        </w:rPr>
        <w:t xml:space="preserve">Results.</w:t>
      </w:r>
      <w:r>
        <w:t xml:space="preserve"> </w:t>
      </w:r>
      <w:r>
        <w:t xml:space="preserve">Two orthogonal pre-CRT axes each reproduce externally across</w:t>
      </w:r>
      <w:r>
        <w:t xml:space="preserve"> </w:t>
      </w:r>
      <w:r>
        <w:rPr>
          <w:b/>
          <w:bCs/>
        </w:rPr>
        <w:t xml:space="preserve">three distinct multimodal genotoxic regimens</w:t>
      </w:r>
      <w:r>
        <w:t xml:space="preserve"> </w:t>
      </w:r>
      <w:r>
        <w:t xml:space="preserve">(discovery SC-RT + FOLFOX/CAPOX consolidation; LC-CRT with concurrent capecitabine; SC-RT + FOLFOXIRI consolidation): Thread 1 DSB/HDR Z = +3.17, cell-cycle +3.21, E2F/MYC +2.79 (all P &lt; 0.01, N = 518 LC-CRT meta); Thread 2 CD8-cytotoxic Z = +3.29, P = 0.001 (6-source N = 816). GSE254249 (Gao 2025, SC-RT-matched, N = 8 post-TNT) shows</w:t>
      </w:r>
      <w:r>
        <w:t xml:space="preserve"> </w:t>
      </w:r>
      <w:r>
        <w:rPr>
          <w:b/>
          <w:bCs/>
        </w:rPr>
        <w:t xml:space="preserve">7/7 signatures concordant with the discovery direction (binomial sign P = 0.016)</w:t>
      </w:r>
      <w:r>
        <w:t xml:space="preserve">, with T-cell infiltration Δ = +1.26, MW P = 0.036 and DSB repair Δ = +0.94, P = 0.071 — the first public SC-RT-regimen validation of the Thread 1 + Thread 2 biology. Nested-LOOCV LASSO on a 4-feature panel reached AUC 0.745 (95 % CI 0.56–0.90). Paired biopsies showed target engagement: all four Thread-1 factors moved in predicted directions in both groups; EMT up 6/6 good (P = 0.016). IGH V-gene repertoire response was directionally coherent in good and stochastic in bad (three aggregate P &lt; 0.05; IGHV6-1 6/6 down good vs 4/2 up bad). A pre-specified 36-pair convergence test (baseline × cascade Δ) was null (0/36 at P &lt; 0.05), confirming static and dynamic layers are orthogonal. Only Treg Δ retained a between-group BCa CI excluding zero.</w:t>
      </w:r>
    </w:p>
    <w:p>
      <w:pPr>
        <w:pStyle w:val="BodyText"/>
      </w:pPr>
      <w:r>
        <w:t xml:space="preserve">An orthogonal NanoString PanCancer Immune platform test on 6 extreme-phenotype subjects (3 pCR vs 3 poor; 12 paired pre/post samples) failed a pre-registered Arrow 5 Δ rescue (4 primary composites bad ≥ good direction) but in post-hoc pre-treatment analysis showed</w:t>
      </w:r>
      <w:r>
        <w:t xml:space="preserve"> </w:t>
      </w:r>
      <w:r>
        <w:rPr>
          <w:b/>
          <w:bCs/>
        </w:rPr>
        <w:t xml:space="preserve">23 / 23 composites good &gt; bad, 6 reaching one-sided ceiling P = 0.05</w:t>
      </w:r>
      <w:r>
        <w:t xml:space="preserve"> </w:t>
      </w:r>
      <w:r>
        <w:t xml:space="preserve">— including the Keytruda-companion Ayers tumor inflammation signature (TIS) and the Ayers IFN-γ 6- and 10-gene signatures — providing in-house extreme-phenotype replication of the Thread 2 immune axis previously validated only externally. Platform concordance was excellent (median gene-level Δ Pearson r = +0.75, 90.1 % positive; 5 subjects with matched RNA-seq), ruling out technical artefact.</w:t>
      </w:r>
    </w:p>
    <w:p>
      <w:pPr>
        <w:pStyle w:val="BodyText"/>
      </w:pPr>
      <w:r>
        <w:rPr>
          <w:b/>
          <w:bCs/>
        </w:rPr>
        <w:t xml:space="preserve">Conclusions.</w:t>
      </w:r>
      <w:r>
        <w:t xml:space="preserve"> </w:t>
      </w:r>
      <w:r>
        <w:t xml:space="preserve">Two externally-validated orthogonal pre-CRT axes predict final TNT response and reproduce across</w:t>
      </w:r>
      <w:r>
        <w:t xml:space="preserve"> </w:t>
      </w:r>
      <w:r>
        <w:rPr>
          <w:b/>
          <w:bCs/>
        </w:rPr>
        <w:t xml:space="preserve">both RT fractionation (SC-RT vs LC-CRT) and chemo-timing / backbone axes</w:t>
      </w:r>
      <w:r>
        <w:t xml:space="preserve">, supporting a regimen-agnostic baseline-predictor interpretation within multimodal genotoxic therapy. An in-house NanoString extreme-phenotype orthogonal platform test additionally reproduces the Thread 2 immune axis on pre-treatment regulatory-grade signatures. Paired radiation-phase pharmacodynamics add an orthogonal dynamic layer. A two-layer algorithm (pre-CRT stratification + mid-treatment coherence read) is proposed for TNT-adaptive trials.</w:t>
      </w:r>
    </w:p>
    <w:p>
      <w:r>
        <w:pict>
          <v:rect style="width:0;height:1.5pt" o:hralign="center" o:hrstd="t" o:hr="t"/>
        </w:pict>
      </w:r>
    </w:p>
    <w:bookmarkEnd w:id="10"/>
    <w:bookmarkStart w:id="11" w:name="background"/>
    <w:p>
      <w:pPr>
        <w:pStyle w:val="Heading2"/>
      </w:pPr>
      <w:r>
        <w:t xml:space="preserve">Background</w:t>
      </w:r>
    </w:p>
    <w:p>
      <w:pPr>
        <w:pStyle w:val="FirstParagraph"/>
      </w:pPr>
      <w:r>
        <w:t xml:space="preserve">Locally advanced rectal cancer (LARC) affects &gt;40,000 patients per year in Asia and the USA combined [1–3]. Total neoadjuvant therapy (TNT) — long-course chemoradiation (LC-CRT; 50.4 Gy / 28 Fx with concurrent capecitabine) combined with induction or consolidation FOLFOX/CAPOX, as in PRODIGE 23 [1] and OPRA [3], or short-course radiotherapy (SC-RT; 25 Gy / 5 Fx) followed by consolidation oxaliplatin-based chemotherapy, as in RAPIDO [2] — is standard of care. Both RT-fractionation schedules are endorsed in current NCCN and ASTRO practice guidelines. TNT enables organ-preservation watch-and-wait in responders [45–48]; response prediction therefore directly influences whether a patient undergoes surgery. Yet only 15–30 % of MSS LARC patients reach pathological or sustained clinical complete response, and no molecular predictor of final TNT outcome is established [4,12,54].</w:t>
      </w:r>
    </w:p>
    <w:p>
      <w:pPr>
        <w:pStyle w:val="BodyText"/>
      </w:pPr>
      <w:r>
        <w:t xml:space="preserve">TNT is a multi-stage regimen whose molecular biology has been difficult to observe. Under modern TNT the post-consolidation complete-response rate is sufficiently high that a biopsy-based bad-responder cohort cannot be accrued at the post-consolidation timepoint [3,13]; residual tumor tissue is often unavailable and patients frequently transition directly to watch-and-wait. Paired-biopsy molecular studies of TNT are therefore practically restricted to a sampling window bracketing the radiation (first) phase of TNT. An important feature of the cohort studied here — and one that we make explicit throughout because it is load-bearing for the external-validation interpretation below — is that the paired pre- and post-biopsies bracket a</w:t>
      </w:r>
      <w:r>
        <w:t xml:space="preserve"> </w:t>
      </w:r>
      <w:r>
        <w:rPr>
          <w:b/>
          <w:bCs/>
        </w:rPr>
        <w:t xml:space="preserve">radiation-only</w:t>
      </w:r>
      <w:r>
        <w:t xml:space="preserve"> </w:t>
      </w:r>
      <w:r>
        <w:t xml:space="preserve">window: the patients’ sequenced biopsies experienced</w:t>
      </w:r>
      <w:r>
        <w:t xml:space="preserve"> </w:t>
      </w:r>
      <w:r>
        <w:rPr>
          <w:b/>
          <w:bCs/>
        </w:rPr>
        <w:t xml:space="preserve">short-course radiotherapy (25 Gy delivered in 5 daily fractions; SC-RT)</w:t>
      </w:r>
      <w:r>
        <w:t xml:space="preserve"> </w:t>
      </w:r>
      <w:r>
        <w:t xml:space="preserve">without concurrent cytotoxic chemotherapy, with FOLFOX or CAPOX consolidation following after the post-biopsy was drawn. The final good/bad response label is nonetheless determined after the complete radiation-then-consolidation regimen. This window is also the natural mid-treatment decision point at which clinical intensification, deintensification, or transition to watch-and-wait can be considered. The SC-RT + sequential-chemotherapy TNT schedule studied here differs structurally from the more widely-profiled long-course chemoradiation (LC-CRT, 50.4 Gy over 28 fractions with concurrent capecitabine) that dominates the public translational landscape; this RT-fractionation contrast is leveraged in §3.12 for a regimen-agnostic validation that spans SC-RT, LC-CRT, and SC-RT-TNT-with-a-different-chemo-backbone.</w:t>
      </w:r>
    </w:p>
    <w:p>
      <w:pPr>
        <w:pStyle w:val="BodyText"/>
      </w:pPr>
      <w:r>
        <w:t xml:space="preserve">Two orthogonal molecular axes dominate current thinking about LARC response. MSI-H tumors respond to single-agent PD-1 blockade (100 % complete response with dostarlimab [5]; see also pembrolizumab/nivolumab MSI-CRC trials [39–41]), but MSI-H is only 5–7 % of rectal cancer [14] and does not apply to the MSS majority studied here. EMT and CMS4 mesenchymal biology drive chemoradiation resistance [6,7,49–51]. Independently of TNT, a robust body of work links cytotoxic CD8⁺ T-cell infiltration to radiotherapy response in rectal and other solid tumors [8–11,19,20,35,61], with Rooney-style cytolytic activity (GZMA × PRF1) emerging as a pan-cancer correlate of immune engagement [34]; neoadjuvant radiation increases CD8 and Granzyme-B T-cell density and restores interferon-γ programs [10,11]. Radiation is increasingly understood as an immunogenic modality [21,22], with DNA-damage signalling driving antigen release, cGAS-STING activation, and clone-selective cytotoxicity [23,24]. Immune escape via HLA class I loss or LOH [36,37] and differential response by HLA heterozygosity [38] are established concepts in the ICB literature and relevant to the neoadjuvant CRT context. Most published nCRT transcriptomic signatures were derived from small single-regimen cohorts (n = 30–100) predating TNT, with heterogeneous TRG scoring (Dworak [59] vs Mandard [58] vs Ryan [57] vs Rödel [60]; intra-rater agreement moderate [55,56]) that complicates cross-cohort comparison [15–18]. A concurrent independent 298-patient pre-CRT RNA-seq cohort (Akiyoshi et al, JAMA Netw Open 2023 [61]) reports a cytotoxic-lymphocyte and IFN-γ–dominant predictor, convergent with our immune arm.</w:t>
      </w:r>
    </w:p>
    <w:p>
      <w:pPr>
        <w:pStyle w:val="BodyText"/>
      </w:pPr>
      <w:r>
        <w:t xml:space="preserve">Here we profile 35 MSS LARC patients whose paired biopsies bracket the radiation phase of TNT, reconstruct somatic, HLA, neoantigen, transcriptomic, immune-repertoire and clonal-dynamic axes per patient, and dissect response along three layers with transparently different evidential weight: (i) two parallel pre-CRT predictors — a tumor-intrinsic DNA-repair / cell-cycle axis and an immune CD8-cytotoxic axis — each of which is validated externally; (ii) the radiation-phase pharmacodynamic behavior of the predictor axes themselves, reported with both magnitude and directional-consistency statistics; and (iii) an exploratory radiation-induced clonal-and-immune cascade whose between-group claims (except Treg) are under-powered at the paired sample sizes available (n = 12 for RNA-based features and n = 14 for WES-based features; see Methods).</w:t>
      </w:r>
    </w:p>
    <w:p>
      <w:r>
        <w:pict>
          <v:rect style="width:0;height:1.5pt" o:hralign="center" o:hrstd="t" o:hr="t"/>
        </w:pict>
      </w:r>
    </w:p>
    <w:bookmarkEnd w:id="11"/>
    <w:bookmarkStart w:id="24" w:name="methods"/>
    <w:p>
      <w:pPr>
        <w:pStyle w:val="Heading2"/>
      </w:pPr>
      <w:r>
        <w:t xml:space="preserve">Methods</w:t>
      </w:r>
    </w:p>
    <w:bookmarkStart w:id="12" w:name="Xca8d0a6073fb001f109ddac55eb76011cfd562c"/>
    <w:p>
      <w:pPr>
        <w:pStyle w:val="Heading3"/>
      </w:pPr>
      <w:r>
        <w:t xml:space="preserve">Patients and samples (Supp Fig S12, CONSORT-style)</w:t>
      </w:r>
    </w:p>
    <w:p>
      <w:pPr>
        <w:pStyle w:val="FirstParagraph"/>
      </w:pPr>
      <w:r>
        <w:t xml:space="preserve">Thirty-five MSS LARC patients (clinical T2–T4) received TNT (</w:t>
      </w:r>
      <w:r>
        <w:rPr>
          <w:b/>
          <w:bCs/>
        </w:rPr>
        <w:t xml:space="preserve">short-course radiotherapy, 25 Gy in 5 daily fractions</w:t>
      </w:r>
      <w:r>
        <w:t xml:space="preserve">, followed by consolidation FOLFOX or CAPOX; see below for the crucial RT-fractionation and chemo-timing clarification) at Seoul National University Hospital. Final TNT response was graded on surgical specimens by Dworak TRG after completion of the full regimen and binarised good (TRG 0–1; n = 18) versus bad (TRG 2–3; n = 17). Fourteen subjects (subjects 1–14; 7 good + 7 bad) contributed matched pre-CRT biopsy, post-CRT biopsy (drawn before consolidation began), and blood normal; the remaining 21 subjects (subjects 15–35) contributed a single pre-CRT tumor sample (and, for most, matched normal). Paired analyses therefore draw on two partially-overlapping sets: a</w:t>
      </w:r>
      <w:r>
        <w:t xml:space="preserve"> </w:t>
      </w:r>
      <w:r>
        <w:rPr>
          <w:b/>
          <w:bCs/>
        </w:rPr>
        <w:t xml:space="preserve">WES-paired set of n = 14</w:t>
      </w:r>
      <w:r>
        <w:t xml:space="preserve"> </w:t>
      </w:r>
      <w:r>
        <w:t xml:space="preserve">(7 good + 7 bad; all 14 triplet-contributing subjects), used for somatic-mutation-based paired analyses (SBS5 Δ, missense Δ, HLA-LOH pre→post, TMB Δ); and an</w:t>
      </w:r>
      <w:r>
        <w:t xml:space="preserve"> </w:t>
      </w:r>
      <w:r>
        <w:rPr>
          <w:b/>
          <w:bCs/>
        </w:rPr>
        <w:t xml:space="preserve">RNA-paired set of n = 12</w:t>
      </w:r>
      <w:r>
        <w:t xml:space="preserve"> </w:t>
      </w:r>
      <w:r>
        <w:t xml:space="preserve">(6 good + 6 bad), obtained by excluding subjects 3 (RNA-seq pre only) and 11 (RNA-seq post only), used for all transcriptome-based paired analyses (immune signatures, 22-signature Δ, TRUST4 IGHV directional coherence, Treg / MHC-II / CD8 exhaustion / IGH clonotype count Δ). Per-feature paired sample sizes differ by a further 1–3 subjects where individual per-subject outputs are missing (e.g., pVACseq neoantigen output completeness gives n = 11 for neoantigen Δ); exact per-feature n is tabulated in Table S8. The 36-pair convergence test (§3.8) uses the RNA-paired n = 12 because all cascade Δ quantities it uses are RNA-derived. Per-analysis sample counts are reconciled in Supp Fig S12.</w:t>
      </w:r>
    </w:p>
    <w:p>
      <w:pPr>
        <w:pStyle w:val="BodyText"/>
      </w:pPr>
      <w:r>
        <w:rPr>
          <w:b/>
          <w:bCs/>
        </w:rPr>
        <w:t xml:space="preserve">Regimen and biopsy-window clarification (load-bearing).</w:t>
      </w:r>
      <w:r>
        <w:t xml:space="preserve"> </w:t>
      </w:r>
      <w:r>
        <w:t xml:space="preserve">In this cohort, the paired pre- and post-biopsies bracket the radiation phase only — the sequenced post-biopsy was drawn after</w:t>
      </w:r>
      <w:r>
        <w:t xml:space="preserve"> </w:t>
      </w:r>
      <w:r>
        <w:rPr>
          <w:b/>
          <w:bCs/>
        </w:rPr>
        <w:t xml:space="preserve">short-course radiotherapy (25 Gy in 5 daily fractions; SC-RT)</w:t>
      </w:r>
      <w:r>
        <w:t xml:space="preserve"> </w:t>
      </w:r>
      <w:r>
        <w:t xml:space="preserve">and before the consolidation chemotherapy regimen began. Final TNT response labels were determined later, after FOLFOX or CAPOX consolidation and either surgery or a mature clinical response adjudication. The nine public long-course nCRT external cohorts used for validation instead received standard LC-CRT (50.4 Gy over 28 fractions), in which capecitabine is administered concurrently with radiation as a radiosensitizer and response is adjudicated after the single-phase radiation + concurrent-chemo without a separated consolidation. These two strata therefore differ on</w:t>
      </w:r>
      <w:r>
        <w:t xml:space="preserve"> </w:t>
      </w:r>
      <w:r>
        <w:rPr>
          <w:b/>
          <w:bCs/>
        </w:rPr>
        <w:t xml:space="preserve">two regimen axes simultaneously</w:t>
      </w:r>
      <w:r>
        <w:t xml:space="preserve">: RT fractionation (5 × 5 Gy SC-RT vs 28 × 1.8 Gy LC-CRT) and chemo-timing (consolidated after the biopsy window in ours, versus concurrent with radiation in external). A third regimen stratum is added in v0.7.5 via the SC-RT-matched GSE254249 (Gao et al. Cancer Cell 2025; §3.12): SC-RT 5 × 5 Gy followed by 6–8 cycles of FOLFOXIRI (3-drug) consolidation — matching our RT fractionation and chemo timing but differing on chemo backbone (3-drug vs 2-drug). Across these three regimens (discovery SC-RT + FOLFOX/CAPOX; LC-CRT + concurrent capecitabine; SC-RT + FOLFOXIRI), the pre-treatment baseline predictor is measured before any therapy is delivered and therefore cannot encode any downstream regimen choice; reproduction across all three strata (§3.12) supports a regimen-agnostic interpretation within multimodal genotoxic therapy. Paired pre-vs-post external meta is deliberately not attempted because the three regimens’ post-treatment samples reflect different treatment physics and their Δ signals are not biologically commensurate.</w:t>
      </w:r>
    </w:p>
    <w:bookmarkEnd w:id="12"/>
    <w:bookmarkStart w:id="13" w:name="sequencing-and-processing"/>
    <w:p>
      <w:pPr>
        <w:pStyle w:val="Heading3"/>
      </w:pPr>
      <w:r>
        <w:t xml:space="preserve">Sequencing and processing</w:t>
      </w:r>
    </w:p>
    <w:p>
      <w:pPr>
        <w:pStyle w:val="FirstParagraph"/>
      </w:pPr>
      <w:r>
        <w:t xml:space="preserve">Agilent SureSelect V5 capture, NovaSeq 6000 PE101, median 150× tumor / 90× normal. BWA-MEM to GRCh38, GATK 4.6.2 best-practice. Somatic calls: GATK Mutect2 with a 28-sample cohort PoN + gnomAD v3.1, FilterMutectCalls + LearnReadOrientationModel + CalculateContamination. Eight of 49 tumors without matched normal used tumor-only Mutect2 with the same cohort PoN, gnomAD germline-resource, and FilterMutectCalls defaults (no parameter overrides; default</w:t>
      </w:r>
      <w:r>
        <w:t xml:space="preserve"> </w:t>
      </w:r>
      <w:r>
        <w:rPr>
          <w:rStyle w:val="VerbatimChar"/>
        </w:rPr>
        <w:t xml:space="preserve">--max-population-af 0.01</w:t>
      </w:r>
      <w:r>
        <w:t xml:space="preserve">, default</w:t>
      </w:r>
      <w:r>
        <w:t xml:space="preserve"> </w:t>
      </w:r>
      <w:r>
        <w:rPr>
          <w:rStyle w:val="VerbatimChar"/>
        </w:rPr>
        <w:t xml:space="preserve">--tumor-lod 2.0</w:t>
      </w:r>
      <w:r>
        <w:t xml:space="preserve"> </w:t>
      </w:r>
      <w:r>
        <w:t xml:space="preserve">log10). snpEff GRCh38.99 annotation; 18,580 PASS somatic variants. MSI: msisensor-pro (T-N paired on 41 tumors). SBS signatures: SigProfilerAssignment refit to COSMIC v3.3 (Table S2). CNV: CNVkit batch. HRD proxies: LST, TAI, LOH from CNV segments. HLA class I: OptiType on MHC-extracted reads (Table S5). Extended methods in Supp Text S1.</w:t>
      </w:r>
    </w:p>
    <w:bookmarkEnd w:id="13"/>
    <w:bookmarkStart w:id="14" w:name="hla-loh-primary-and-orthogonal"/>
    <w:p>
      <w:pPr>
        <w:pStyle w:val="Heading3"/>
      </w:pPr>
      <w:r>
        <w:t xml:space="preserve">HLA-LOH (primary and orthogonal)</w:t>
      </w:r>
    </w:p>
    <w:p>
      <w:pPr>
        <w:pStyle w:val="FirstParagraph"/>
      </w:pPr>
      <w:r>
        <w:t xml:space="preserve">Primary call uses direct IMGT-allele read counting with stricter criteria: both normal and tumor allelic depth ≥ 30, |Δratio| = |normal_ratio − tumor_ratio| ≥ 0.20, Fisher exact P &lt; 0.01 with Bonferroni correction across loci per sample (Table S9). A parallel lenient (</w:t>
      </w:r>
      <w:r>
        <w:t xml:space="preserve">“LOHHLA-lite”</w:t>
      </w:r>
      <w:r>
        <w:t xml:space="preserve">) call (|Δratio| ≥ 0.15, Fisher P &lt; 0.05 uncorrected) is retained for completeness and reported side-by-side (Supp Fig S13). We did not run the published LOHHLA pipeline [30]; stricter IMGT-read counting is presented as an orthogonal conservative call, and the two stringency tiers agree in direction.</w:t>
      </w:r>
    </w:p>
    <w:bookmarkEnd w:id="14"/>
    <w:bookmarkStart w:id="15" w:name="neoantigen-prediction"/>
    <w:p>
      <w:pPr>
        <w:pStyle w:val="Heading3"/>
      </w:pPr>
      <w:r>
        <w:t xml:space="preserve">Neoantigen prediction</w:t>
      </w:r>
    </w:p>
    <w:p>
      <w:pPr>
        <w:pStyle w:val="FirstParagraph"/>
      </w:pPr>
      <w:r>
        <w:t xml:space="preserve">pVACseq v5 + MHCflurry 2.0 on Mutect2-passing missense variants, per-patient HLA-A/B/C 4-digit types, 8–11-mer peptides. Strong binders ≤ 50 nM; binders ≤ 500 nM (Table S6_v2). Presentation-competent neoantigen (PCN) score = unique binder sites × (1 − 0.33 · LOH fraction). pVACseq was re-run on 2026-04-23 with identical configuration (MHCflurry, 8–11-mer epitopes,</w:t>
      </w:r>
      <w:r>
        <w:t xml:space="preserve"> </w:t>
      </w:r>
      <w:r>
        <w:rPr>
          <w:rStyle w:val="VerbatimChar"/>
        </w:rPr>
        <w:t xml:space="preserve">--pass-only</w:t>
      </w:r>
      <w:r>
        <w:t xml:space="preserve">, 2-field HLA), which completed 46 of 49 tumor VCFs; the original run had silently skipped eight tumor-only VCFs (subjects 13/15/16/17/18/19/33 single-pre and subject 13 paired) because the pipeline passed a</w:t>
      </w:r>
      <w:r>
        <w:t xml:space="preserve"> </w:t>
      </w:r>
      <w:r>
        <w:rPr>
          <w:rStyle w:val="VerbatimChar"/>
        </w:rPr>
        <w:t xml:space="preserve">normal_sample_name</w:t>
      </w:r>
      <w:r>
        <w:t xml:space="preserve"> </w:t>
      </w:r>
      <w:r>
        <w:t xml:space="preserve">argument that is invalid for single-sample tumor-only VCFs. For the 46 samples common to both runs, outputs were bit-exact identical; §3.6 pre-CRT summary statistics in this manuscript use the v2 full-cohort output.</w:t>
      </w:r>
    </w:p>
    <w:bookmarkEnd w:id="15"/>
    <w:bookmarkStart w:id="16" w:name="rna-seq-and-signatures"/>
    <w:p>
      <w:pPr>
        <w:pStyle w:val="Heading3"/>
      </w:pPr>
      <w:r>
        <w:t xml:space="preserve">RNA-seq and signatures</w:t>
      </w:r>
    </w:p>
    <w:p>
      <w:pPr>
        <w:pStyle w:val="FirstParagraph"/>
      </w:pPr>
      <w:r>
        <w:t xml:space="preserve">Stranded library, NovaSeq PE101, HISAT2 + StringTie to GRCh38 / GENCODE v39, gene-level TPM (46,425 × 56). DESeq2</w:t>
      </w:r>
      <w:r>
        <w:t xml:space="preserve"> </w:t>
      </w:r>
      <w:r>
        <w:rPr>
          <w:rStyle w:val="VerbatimChar"/>
        </w:rPr>
        <w:t xml:space="preserve">~ sex + cT_simple + response_bin</w:t>
      </w:r>
      <w:r>
        <w:t xml:space="preserve"> </w:t>
      </w:r>
      <w:r>
        <w:t xml:space="preserve">for DEG. fgsea (Hallmark + Reactome; Table S3). gseapy ssGSEA on 95 curated sets. Thread 1 (tumor-intrinsic) signatures: DSB / HDR repair (Reactome R-HSA-5693532, R-HSA-5685942, R-HSA-5693538, R-HSA-5693607 composite z-score), Tumor cell-cycle (Hallmark G2-M, Reactome cell-cycle checkpoints + M phase + mitotic G2/M + S phase composite), E2F/MYC (Hallmark E2F targets + Myc targets V1 + V2 composite), EMT (Hallmark EMT). Thread 2 (immune) signatures: CD8-cytotoxic pure effector panel (CD8A, CD8B, GZMA, GZMB, GZMH, GZMK, PRF1, IFNG, NKG7, GNLY, CXCL9, CXCL10, CXCL11, TBX21, EOMES, KLRK1, KLRD1 — no cell-cycle genes); T-cell infiltration (CD3D, CD3E, CD3G, CD247, TRAC, TRBC1/2); B-cell infiltration (CD19, MS4A1, CD79A, CD79B, POU2AF1). Supplementary signatures (MHC I/II, CD8 activation, CD8 exhaustion, NLRC5–HLA–IFN-γ, TLS Cabrita, TGF-β Mariathasan, Mak EMT, Buffa hypoxia) computed as mean z-score of member genes. CMS by CMScaller. TCR/BCR by TRUST4, with locus-and-productive-filtered clonotype calls summarised as n_clonotypes / Shannon / Gini / top-1 frequency per chain and V-gene usage fractions per sample. A signature-composition audit (§3.4, Supp Text S3) identified and removed a legacy</w:t>
      </w:r>
      <w:r>
        <w:t xml:space="preserve"> </w:t>
      </w:r>
      <w:r>
        <w:rPr>
          <w:rStyle w:val="VerbatimChar"/>
        </w:rPr>
        <w:t xml:space="preserve">CD8 proliferation</w:t>
      </w:r>
      <w:r>
        <w:t xml:space="preserve"> </w:t>
      </w:r>
      <w:r>
        <w:t xml:space="preserve">gene panel whose members (MKI67, TOP2A, MCM2/5, PCNA, CCNB1/B2, CDK1) conflated CD8 effector with bulk tumor cell-cycle; this panel was retained as a separate</w:t>
      </w:r>
      <w:r>
        <w:t xml:space="preserve"> </w:t>
      </w:r>
      <w:r>
        <w:rPr>
          <w:rStyle w:val="VerbatimChar"/>
        </w:rPr>
        <w:t xml:space="preserve">Tumor_cellcycle</w:t>
      </w:r>
      <w:r>
        <w:t xml:space="preserve"> </w:t>
      </w:r>
      <w:r>
        <w:t xml:space="preserve">signature (Thread 1) and replaced with the pure CD8-cytotoxic panel (Thread 2) for all downstream analyses. GSEA adaptive-multilevel-test P values beyond 10⁻¹⁰ are capped at</w:t>
      </w:r>
      <w:r>
        <w:t xml:space="preserve"> </w:t>
      </w:r>
      <w:r>
        <w:rPr>
          <w:rStyle w:val="VerbatimChar"/>
        </w:rPr>
        <w:t xml:space="preserve">P &lt; 10⁻¹⁰</w:t>
      </w:r>
      <w:r>
        <w:t xml:space="preserve"> </w:t>
      </w:r>
      <w:r>
        <w:t xml:space="preserve">for reporting honesty.</w:t>
      </w:r>
    </w:p>
    <w:bookmarkEnd w:id="16"/>
    <w:bookmarkStart w:id="17" w:name="integration-and-predictor"/>
    <w:p>
      <w:pPr>
        <w:pStyle w:val="Heading3"/>
      </w:pPr>
      <w:r>
        <w:t xml:space="preserve">Integration and predictor</w:t>
      </w:r>
    </w:p>
    <w:p>
      <w:pPr>
        <w:pStyle w:val="FirstParagraph"/>
      </w:pPr>
      <w:r>
        <w:t xml:space="preserve">Per-subject master table 35 × 36 (clinical + WES + RNA, with the cell-cycle-contaminated</w:t>
      </w:r>
      <w:r>
        <w:t xml:space="preserve"> </w:t>
      </w:r>
      <w:r>
        <w:rPr>
          <w:rStyle w:val="VerbatimChar"/>
        </w:rPr>
        <w:t xml:space="preserve">CD8 proliferation</w:t>
      </w:r>
      <w:r>
        <w:t xml:space="preserve"> </w:t>
      </w:r>
      <w:r>
        <w:t xml:space="preserve">removed; Table S1). Mann–Whitney U for continuous features, Fisher for categorical, BH FDR across the feature panel (Table 2).</w:t>
      </w:r>
      <w:r>
        <w:t xml:space="preserve"> </w:t>
      </w:r>
      <w:r>
        <w:rPr>
          <w:b/>
          <w:bCs/>
        </w:rPr>
        <w:t xml:space="preserve">LASSO logistic regression</w:t>
      </w:r>
      <w:r>
        <w:t xml:space="preserve"> </w:t>
      </w:r>
      <w:r>
        <w:t xml:space="preserve">with nested outer leave-one-out cross-validation (LOOCV) and inner 5-fold cross-validation for feature pre-selection (SelectKBest k ∈ {5, 8, 12}) and regularisation tuning (C ∈ {0.1, 0.3, 1, 3}); outer held-out ROC AUC with 95 % bootstrap (2,000 resamples) CI (Fig 5B). The nested-CV pipeline was additionally run under a 5-scenario ablation to disambiguate the effect of removing the cell-cycle-contaminated signature from the effect of adding purified immune signatures: baseline 37 features; drop CD8_proliferation to 36; add 3 purified immune (CD8_cytotoxic, T/B infiltration) to 40; swap CD8_proliferation → CD8_cytotoxic at 37; drop-and-add at 39. All results are reported from nested outer folds with no leakage. ElasticNet and RandomForest reported side-by-side (Supp Fig S8). Full pipeline pseudocode, fold-by-fold feature stability, and an exploratory permutation analysis are provided in Supp Text S2.</w:t>
      </w:r>
    </w:p>
    <w:bookmarkEnd w:id="17"/>
    <w:bookmarkStart w:id="18" w:name="X2d3bdeecf3071af8b15d63660448548bb2f318d"/>
    <w:p>
      <w:pPr>
        <w:pStyle w:val="Heading3"/>
      </w:pPr>
      <w:r>
        <w:t xml:space="preserve">Paired radiation-phase analyses — magnitude and directional-consistency duality (Supp Text S5)</w:t>
      </w:r>
    </w:p>
    <w:p>
      <w:pPr>
        <w:pStyle w:val="FirstParagraph"/>
      </w:pPr>
      <w:r>
        <w:t xml:space="preserve">For every paired pre→post feature (baseline Thread-1 factor composite scores and member pathways; 22-signature Δ; ssGSEA Δ; TRUST4 Δ; SBS Δ; TMB Δ; neoantigen Δ; HLA-LOH call Δ; TRUST4 IGHV V-gene fraction Δ) we report two independent axes of evidence:</w:t>
      </w:r>
    </w:p>
    <w:p>
      <w:pPr>
        <w:pStyle w:val="Compact"/>
        <w:numPr>
          <w:ilvl w:val="0"/>
          <w:numId w:val="1001"/>
        </w:numPr>
      </w:pPr>
      <w:r>
        <w:rPr>
          <w:b/>
          <w:bCs/>
        </w:rPr>
        <w:t xml:space="preserve">Magnitude.</w:t>
      </w:r>
      <w:r>
        <w:t xml:space="preserve"> </w:t>
      </w:r>
      <w:r>
        <w:t xml:space="preserve">Within-group one-sample Wilcoxon signed-rank against zero; between-group Mann–Whitney U on Δ. BCa 95 % CI (5,000 resamples) for both within-group median Δ and between-group (median good − median bad).</w:t>
      </w:r>
    </w:p>
    <w:p>
      <w:pPr>
        <w:pStyle w:val="Compact"/>
        <w:numPr>
          <w:ilvl w:val="0"/>
          <w:numId w:val="1001"/>
        </w:numPr>
      </w:pPr>
      <w:r>
        <w:rPr>
          <w:b/>
          <w:bCs/>
        </w:rPr>
        <w:t xml:space="preserve">Direction.</w:t>
      </w:r>
      <w:r>
        <w:t xml:space="preserve"> </w:t>
      </w:r>
      <w:r>
        <w:t xml:space="preserve">Within-group binomial sign test (number of subjects moving in the a-priori predicted direction versus n_total under p = 0.5); between-group Fisher exact on a 2×2 table of predicted / not-predicted movement counts. Direction tests discard zero-Δ subjects.</w:t>
      </w:r>
    </w:p>
    <w:p>
      <w:pPr>
        <w:pStyle w:val="FirstParagraph"/>
      </w:pPr>
      <w:r>
        <w:t xml:space="preserve">Both are reported for every paired test. This duality is important because small-N paired designs (n = 6 + 6 here) readily produce</w:t>
      </w:r>
      <w:r>
        <w:t xml:space="preserve"> </w:t>
      </w:r>
      <w:r>
        <w:t xml:space="preserve">“reproducible direction with heterogeneous magnitude”</w:t>
      </w:r>
      <w:r>
        <w:t xml:space="preserve"> </w:t>
      </w:r>
      <w:r>
        <w:t xml:space="preserve">signals (e.g., a 6-subject concordant 5/6 up or 6/6 down at modest per-subject effect), which Wilcoxon and Mann–Whitney interpret as weak whereas the direction test interprets as significant at binomial P = 0.031 (5/6) or 0.016 (6/6). The complementary reading is given in Supp Text S5 with a worked example from the IGHV3-7 / IGHV3-74 / IGHV6-1 gene panel (§3.9).</w:t>
      </w:r>
    </w:p>
    <w:bookmarkEnd w:id="18"/>
    <w:bookmarkStart w:id="19" w:name="repertoire-level-coherence-test-3.9"/>
    <w:p>
      <w:pPr>
        <w:pStyle w:val="Heading3"/>
      </w:pPr>
      <w:r>
        <w:t xml:space="preserve">Repertoire-level coherence test (§3.9)</w:t>
      </w:r>
    </w:p>
    <w:p>
      <w:pPr>
        <w:pStyle w:val="FirstParagraph"/>
      </w:pPr>
      <w:r>
        <w:t xml:space="preserve">For each TRUST4-detected IGH V-gene with coverage in ≥ 6 of 12 paired subjects and ≥ 5 subjects per response group, we computed per-subject Δ_fraction (post-pre) of IGH repertoire fraction and derived three per-V-gene statistics: (i) good-group sign counts (n_up, n_down) and two-sided binomial P; (ii) bad-group sign counts; (iii) Fisher exact on the 2×2 (group × up/down); and (iv) the</w:t>
      </w:r>
      <w:r>
        <w:t xml:space="preserve"> </w:t>
      </w:r>
      <w:r>
        <w:rPr>
          <w:b/>
          <w:bCs/>
        </w:rPr>
        <w:t xml:space="preserve">coherence gap</w:t>
      </w:r>
      <w:r>
        <w:t xml:space="preserve"> </w:t>
      </w:r>
      <w:r>
        <w:t xml:space="preserve">= good_majority_fraction − bad_majority_fraction, where majority_fraction is the larger of (n_up, n_down) divided by non-zero count. Three independent aggregate tests are then computed across the V-gene set: (a) paired Wilcoxon signed-rank on (good_majority − bad_majority); (b) binomial test on the count of V-genes where good_majority &gt; bad_majority; (c) binomial test on the</w:t>
      </w:r>
      <w:r>
        <w:t xml:space="preserve"> </w:t>
      </w:r>
      <w:r>
        <w:t xml:space="preserve">“good coherent, bad mixed”</w:t>
      </w:r>
      <w:r>
        <w:t xml:space="preserve"> </w:t>
      </w:r>
      <w:r>
        <w:t xml:space="preserve">vs opposite pattern under a 70 % majority-fraction threshold.</w:t>
      </w:r>
    </w:p>
    <w:bookmarkEnd w:id="19"/>
    <w:bookmarkStart w:id="20" w:name="external-validation-meta-analysis-3.12"/>
    <w:p>
      <w:pPr>
        <w:pStyle w:val="Heading3"/>
      </w:pPr>
      <w:r>
        <w:t xml:space="preserve">External validation (meta-analysis; §3.12)</w:t>
      </w:r>
    </w:p>
    <w:p>
      <w:pPr>
        <w:pStyle w:val="FirstParagraph"/>
      </w:pPr>
      <w:r>
        <w:t xml:space="preserve">External validation draws on</w:t>
      </w:r>
      <w:r>
        <w:t xml:space="preserve"> </w:t>
      </w:r>
      <w:r>
        <w:rPr>
          <w:b/>
          <w:bCs/>
        </w:rPr>
        <w:t xml:space="preserve">three regimen strata</w:t>
      </w:r>
      <w:r>
        <w:t xml:space="preserve">:</w:t>
      </w:r>
    </w:p>
    <w:p>
      <w:pPr>
        <w:pStyle w:val="BodyText"/>
      </w:pPr>
      <w:r>
        <w:rPr>
          <w:b/>
          <w:bCs/>
        </w:rPr>
        <w:t xml:space="preserve">(a) LC-CRT meta (Thread 1 + Thread 2).</w:t>
      </w:r>
      <w:r>
        <w:t xml:space="preserve"> </w:t>
      </w:r>
      <w:r>
        <w:t xml:space="preserve">Nine public GEO nCRT rectal cancer cohorts with interpretable response labels (N = 721): GSE150082, GSE35452, GSE119409, GSE45404, GSE94104, GSE56699, GSE46862, GSE133057, GSE87211 (Table S7). All are long-course nCRT with concurrent capecitabine or 5-FU; none received modern induction/consolidation TNT. Per-cohort probe-to-gene mapping from native platform; log₂-transform where needed; signatures scored per sample by z-score averaging. Response labels were mapped manually to good/bad using the correct TRG scale per cohort (Dworak, Mandard, CAP/AJCC/Ryan, Rödel, author-assigned good/poor, or recurrence surrogate for GSE87211; Table S7).</w:t>
      </w:r>
      <w:r>
        <w:t xml:space="preserve"> </w:t>
      </w:r>
      <w:r>
        <w:rPr>
          <w:b/>
          <w:bCs/>
        </w:rPr>
        <w:t xml:space="preserve">Primary meta uses the restricted 5 long-course nCRT cohorts</w:t>
      </w:r>
      <w:r>
        <w:t xml:space="preserve"> </w:t>
      </w:r>
      <w:r>
        <w:t xml:space="preserve">(GSE35452, GSE45404, GSE56699, GSE133057, GSE87211; N = 518) satisfying the a priori rule ≥ 3 of 4 Thread-1 features in the discovery direction (concordance rule applied on the full 9-cohort data before Stouffer Z computation;</w:t>
      </w:r>
      <w:r>
        <w:t xml:space="preserve"> </w:t>
      </w:r>
      <w:r>
        <w:rPr>
          <w:rStyle w:val="VerbatimChar"/>
        </w:rPr>
        <w:t xml:space="preserve">scripts/26/10_thread1_per_cohort.py</w:t>
      </w:r>
      <w:r>
        <w:t xml:space="preserve">). Four cohorts were excluded with independent regimen/endpoint/label rationales: GSE119409 is radiotherapy-alone (not chemoradiation [Ji et al 2020]); GSE94104 is a CMS subtype-stability paper without a formal response endpoint [Alderdice 2018]; GSE150082 mixes long-course CRT with a TNT subset and the original report concludes opposite biology [Sendoya 2020]; GSE46862 contributes only 1/4 concordant trends, all NS [Gim 2016]. Sensitivity meta across all 9 cohorts is reported side-by-side (Supp Table S7A; Supp Text S4). Per-signature per-cohort Mann–Whitney U, aggregated by two-sided Stouffer’s Z weighted by √(n_good + n_bad).</w:t>
      </w:r>
    </w:p>
    <w:p>
      <w:pPr>
        <w:pStyle w:val="BodyText"/>
      </w:pPr>
      <w:r>
        <w:rPr>
          <w:b/>
          <w:bCs/>
        </w:rPr>
        <w:t xml:space="preserve">(b) Akiyoshi 2023 paper-level CD8-cytotoxic augmentation.</w:t>
      </w:r>
      <w:r>
        <w:t xml:space="preserve"> </w:t>
      </w:r>
      <w:r>
        <w:t xml:space="preserve">Akiyoshi et al 2023 (GSE216616 [61], n = 298) is added to Thread 2 (CD8-cytotoxic) at the published-statistic level: cytolytic activity (GZMA × PRF1 geometric mean) TRG1/2 vs TRG3/4 P = 0.005 (eFig 4B of Akiyoshi 2023) converted to a √N-weighted Z = +2.81 by the standard log-OR / SE_logOR transformation; per-sample labels are not co-deposited on GEO and the JAMA 2023 supplement has aggregate counts only. Akiyoshi 2023 cannot contribute to Thread 1 because the paper’s analysis is immune-only.</w:t>
      </w:r>
    </w:p>
    <w:p>
      <w:pPr>
        <w:pStyle w:val="BodyText"/>
      </w:pPr>
      <w:r>
        <w:rPr>
          <w:b/>
          <w:bCs/>
        </w:rPr>
        <w:t xml:space="preserve">(c) SC-RT-matched external validation (GSE254249; new in v0.7.5).</w:t>
      </w:r>
      <w:r>
        <w:t xml:space="preserve"> </w:t>
      </w:r>
      <w:r>
        <w:t xml:space="preserve">An exhaustive GEO / ArrayExpress / EGA / GSA-Human search (logged in</w:t>
      </w:r>
      <w:r>
        <w:t xml:space="preserve"> </w:t>
      </w:r>
      <w:r>
        <w:rPr>
          <w:rStyle w:val="VerbatimChar"/>
        </w:rPr>
        <w:t xml:space="preserve">260418_add/SCRT_external_search.md</w:t>
      </w:r>
      <w:r>
        <w:t xml:space="preserve">, 2026-04-20) identified a single public transcriptomic cohort profiling rectal cancer treated with SC-RT plus TNT consolidation:</w:t>
      </w:r>
      <w:r>
        <w:t xml:space="preserve"> </w:t>
      </w:r>
      <w:r>
        <w:rPr>
          <w:b/>
          <w:bCs/>
        </w:rPr>
        <w:t xml:space="preserve">Gao et al.,</w:t>
      </w:r>
      <w:r>
        <w:rPr>
          <w:b/>
          <w:bCs/>
        </w:rPr>
        <w:t xml:space="preserve"> </w:t>
      </w:r>
      <w:r>
        <w:rPr>
          <w:b/>
          <w:bCs/>
          <w:i/>
          <w:iCs/>
        </w:rPr>
        <w:t xml:space="preserve">Cancer Cell</w:t>
      </w:r>
      <w:r>
        <w:rPr>
          <w:b/>
          <w:bCs/>
        </w:rPr>
        <w:t xml:space="preserve"> </w:t>
      </w:r>
      <w:r>
        <w:rPr>
          <w:b/>
          <w:bCs/>
        </w:rPr>
        <w:t xml:space="preserve">2025</w:t>
      </w:r>
      <w:r>
        <w:t xml:space="preserve"> </w:t>
      </w:r>
      <w:r>
        <w:t xml:space="preserve">(GSE254249 [62], PMID 41202810; 26 LARC patients in three arms nCT / nRT / nRCT, with bulk RNA-seq deposited for the nRCT TNT arm). The bulk RNA-seq slice comprises 11 samples from 8 patients in the TNT arm (SC-RT 5 × 5 Gy + 6–8 cycles FOLFOXIRI): 3 pre-treatment tumor biopsies + 8 post-TNT tumor samples, with 3 paired pre + post subjects. Final response was binarised CR (n = 5 post samples) versus non-CR (n = 3). Because the post-treatment label is propagated from the paired post-TNT sample, we analyse three axes: pre-treatment × response (n = 3; directional only), post-TNT × response (n = 8, 5 CR vs 3 non-CR; primary SC-RT validation), and paired Δ(post − pre) target engagement (n = 3). All seven Thread-1 and Thread-2 signatures scored with the same gene panels as the discovery / LC-CRT meta (Methods: RNA-seq and signatures; identical 17–25 gene panels per signature, 98.6 % mean recovery at GSE254249). Per-signature Mann–Whitney U on post-TNT × response with the same good-up convention, plus a binomial sign test across the 7 signatures to quantify aggregate directional concordance with discovery / LC-CRT meta. This is the only public SC-RT transcriptomic cohort with response labels: RAPIDO, Stockholm III, Polish II, STELLAR, STELLAR II, UNION, SPRING-01, LARCT-US translational RNA-seq are all consortium-controlled or unpublished at the time of writing (Supp Text S6).</w:t>
      </w:r>
    </w:p>
    <w:bookmarkEnd w:id="20"/>
    <w:bookmarkStart w:id="21" w:name="X0f766318e00e13ab9b4a6e6d72bb2faab16b91b"/>
    <w:p>
      <w:pPr>
        <w:pStyle w:val="Heading3"/>
      </w:pPr>
      <w:r>
        <w:t xml:space="preserve">NanoString PanCancer Immune orthogonal validation (§3.14, new in v0.7.7; Supp Text S7)</w:t>
      </w:r>
    </w:p>
    <w:p>
      <w:pPr>
        <w:pStyle w:val="FirstParagraph"/>
      </w:pPr>
      <w:r>
        <w:t xml:space="preserve">Six extreme-phenotype subjects (3 pCR, subjects 2, 4, 14; 3 poor, subjects 10, 11, 13) from the RNA-paired set were profiled on the NanoString nCounter PanCancer Immune Profiling panel (730 probes) at paired pre- and post-SC-RT timepoints (12 RCC cartridges total). Raw counts were processed in nSolver 4.0 with default positive-control + housekeeping normalisation; the normalised matrix was exported as</w:t>
      </w:r>
      <w:r>
        <w:t xml:space="preserve"> </w:t>
      </w:r>
      <w:r>
        <w:rPr>
          <w:rStyle w:val="VerbatimChar"/>
        </w:rPr>
        <w:t xml:space="preserve">ncounter_immune_score.xlsx</w:t>
      </w:r>
      <w:r>
        <w:t xml:space="preserve"> </w:t>
      </w:r>
      <w:r>
        <w:t xml:space="preserve">and served as the single input to all downstream analyses. The 6-subject design deliberately captures extreme phenotypes (pCR score 0 vs poor score 3) while excluding intermediate near-CR and PR responders; subjects 11 (RNA-seq pre missing) and 4 (RNA-seq-atypical B-cell Δ in the full cohort) were specifically included to fill coverage gaps and to deep-profile ambiguous cases respectively. Counts were log₂(x + 1)-transformed and per-gene z-scored across the 12-sample matrix to produce</w:t>
      </w:r>
      <w:r>
        <w:t xml:space="preserve"> </w:t>
      </w:r>
      <w:r>
        <w:rPr>
          <w:rStyle w:val="VerbatimChar"/>
        </w:rPr>
        <w:t xml:space="preserve">logz_matrix.tsv</w:t>
      </w:r>
      <w:r>
        <w:t xml:space="preserve">.</w:t>
      </w:r>
    </w:p>
    <w:p>
      <w:pPr>
        <w:pStyle w:val="BodyText"/>
      </w:pPr>
      <w:r>
        <w:t xml:space="preserve">Composite scores are arithmetic means of constituent gene z-scores; Δ = post_z − pre_z at subject level. Pre-registered composites (pre-spec, before unblinding analysis;</w:t>
      </w:r>
      <w:r>
        <w:t xml:space="preserve"> </w:t>
      </w:r>
      <w:r>
        <w:rPr>
          <w:rStyle w:val="VerbatimChar"/>
        </w:rPr>
        <w:t xml:space="preserve">PRE_SPEC.md</w:t>
      </w:r>
      <w:r>
        <w:t xml:space="preserve"> </w:t>
      </w:r>
      <w:r>
        <w:t xml:space="preserve">frozen on 2026-04-24 in commit 235021f):</w:t>
      </w:r>
    </w:p>
    <w:p>
      <w:pPr>
        <w:pStyle w:val="Compact"/>
        <w:numPr>
          <w:ilvl w:val="0"/>
          <w:numId w:val="1002"/>
        </w:numPr>
      </w:pPr>
      <w:r>
        <w:rPr>
          <w:b/>
          <w:bCs/>
        </w:rPr>
        <w:t xml:space="preserve">Primary tier (Arrow 5 Δ rescue, one-sided MW good &gt; bad Δ alternative):</w:t>
      </w:r>
      <w:r>
        <w:t xml:space="preserve"> </w:t>
      </w:r>
      <w:r>
        <w:t xml:space="preserve">P1 CXCL13 (single-gene TLS hub); P2 TLS-8 composite (CXCL13, CCL19, CCL21, CXCR5, CCR7, SELL, LAMP3, BCL6); P3 Plasma-proxy (TNFRSF17, CD38, IRF4); P4 GC-TF (BCL6, AICDA, POU2AF1).</w:t>
      </w:r>
    </w:p>
    <w:p>
      <w:pPr>
        <w:pStyle w:val="Compact"/>
        <w:numPr>
          <w:ilvl w:val="0"/>
          <w:numId w:val="1002"/>
        </w:numPr>
      </w:pPr>
      <w:r>
        <w:rPr>
          <w:b/>
          <w:bCs/>
        </w:rPr>
        <w:t xml:space="preserve">Secondary tier:</w:t>
      </w:r>
      <w:r>
        <w:t xml:space="preserve"> </w:t>
      </w:r>
      <w:r>
        <w:t xml:space="preserve">S1 Naive-B (MS4A1, CD19, CD22, PAX5); S2 Memory-B (CD27, CD79B, TNFRSF13B); S3 BAFF / APRIL axis (TNFSF13, TNFSF13B, TNFRSF13B, TNFRSF13C, TNFRSF17); S4 per-gene NanoString Δ × RNA-seq Δ Pearson concordance across 5 subjects with paired RNA-seq (subj 11 pre-RNA missing); S5 full 730-probe one-sided MW + BH-FDR on Δ.</w:t>
      </w:r>
    </w:p>
    <w:p>
      <w:pPr>
        <w:pStyle w:val="Compact"/>
        <w:numPr>
          <w:ilvl w:val="0"/>
          <w:numId w:val="1002"/>
        </w:numPr>
      </w:pPr>
      <w:r>
        <w:rPr>
          <w:b/>
          <w:bCs/>
        </w:rPr>
        <w:t xml:space="preserve">Tertiary tier (cascade arrow 3 / 4 cross-platform):</w:t>
      </w:r>
      <w:r>
        <w:t xml:space="preserve"> </w:t>
      </w:r>
      <w:r>
        <w:t xml:space="preserve">T1 ΔHLA-II × ΔPlasma-proxy Pearson / Spearman; T2 ΔCD8-exhaustion × ΔTLS-8; T3 ΔHLA-I axis × ΔT-cell.</w:t>
      </w:r>
    </w:p>
    <w:p>
      <w:pPr>
        <w:pStyle w:val="FirstParagraph"/>
      </w:pPr>
      <w:r>
        <w:t xml:space="preserve">The one-sided good &gt; bad direction lock is justified by prior directional hypothesis — RNA-seq paired n = 12 Treg / MHC-II / CD8-exhaustion Δ direction and external LC-CRT 9-cohort Fisher-combined pre-treatment Bcell-infiltration P = 0.014 (§3.12.1) — all concordant with good-up. Mann–Whitney U with</w:t>
      </w:r>
      <w:r>
        <w:t xml:space="preserve"> </w:t>
      </w:r>
      <w:r>
        <w:rPr>
          <w:rStyle w:val="VerbatimChar"/>
        </w:rPr>
        <w:t xml:space="preserve">method='exact'</w:t>
      </w:r>
      <w:r>
        <w:t xml:space="preserve"> </w:t>
      </w:r>
      <w:r>
        <w:t xml:space="preserve">(3-vs-3 ceiling: one-sided P_min = 1 / C(6, 3) = 0.050, two-sided P_min = 0.100); within-group Wilcoxon signed-rank (n = 3 ceiling: two-sided P_min = 0.250, one-sided P_min = 0.125). Decision rule: (rescue) ≥ 1 primary reaches one-sided P ≤ 0.05 AND direction = good &gt; bad → Arrow 5 Δ solid; (partial) ≥ 2 primaries same direction AND P ≤ 0.10; (null) otherwise.</w:t>
      </w:r>
    </w:p>
    <w:p>
      <w:pPr>
        <w:pStyle w:val="BodyText"/>
      </w:pPr>
      <w:r>
        <w:rPr>
          <w:b/>
          <w:bCs/>
        </w:rPr>
        <w:t xml:space="preserve">Post-hoc exploratory extensions (not pre-registered; §3.14.3 onward).</w:t>
      </w:r>
      <w:r>
        <w:t xml:space="preserve"> </w:t>
      </w:r>
      <w:r>
        <w:t xml:space="preserve">Eleven additional composites (Ayers TIS [63] adapted to panel coverage, 16 of 18 genes; IFN-γ 6-gene and 10-gene Ayers panels [64]; IMPRES [65] 14 of 15 positive-feature genes; Teff cytotoxic, Treg, CD8-cytotoxic, M1-macrophage, M2-macrophage, NK-activating, NK-inhibiting, DC-mature, HLA-I machinery narrow) were scored with the same log₂ + z + mean pipeline and tested by one-sided MW good &gt; bad at three independent timepoints — pre-only (n = 3 + 3), post-only (n = 3 + 3), and Δ (n = 3 + 3) — for a total of 23 composites × 3 timepoints. Four response-informative ratios were computed (Teff / Treg, CD8cyt / CD8exh, M1 / M2, NK_activating / NK_inhibiting) and tested at the same three timepoints. Additionally, each of the 730 probes was tested independently with one-sided MW + BH-FDR at pre-only and post-only (expanding S5 beyond Δ).</w:t>
      </w:r>
      <w:r>
        <w:t xml:space="preserve"> </w:t>
      </w:r>
      <w:r>
        <w:t xml:space="preserve">“Inflamed-but-Ineffective”</w:t>
      </w:r>
      <w:r>
        <w:t xml:space="preserve"> </w:t>
      </w:r>
      <w:r>
        <w:t xml:space="preserve">(IBI) vs</w:t>
      </w:r>
      <w:r>
        <w:t xml:space="preserve"> </w:t>
      </w:r>
      <w:r>
        <w:t xml:space="preserve">“Inflamed-Active-Effective”</w:t>
      </w:r>
      <w:r>
        <w:t xml:space="preserve"> </w:t>
      </w:r>
      <w:r>
        <w:t xml:space="preserve">(IAE) classification used ΔAyers-TIS &gt; 0 as the</w:t>
      </w:r>
      <w:r>
        <w:t xml:space="preserve"> </w:t>
      </w:r>
      <w:r>
        <w:t xml:space="preserve">“inflamed”</w:t>
      </w:r>
      <w:r>
        <w:t xml:space="preserve"> </w:t>
      </w:r>
      <w:r>
        <w:t xml:space="preserve">definition, yielding IAE (good + inflamed, n = 2: subj 2, 4), IBI (bad + inflamed, n = 3: subj 10, 11, 13), cold_effective (n = 1: subj 14), cold_ineffective (n = 0). Between-group composite and gene-level differences for IAE vs IBI are reported as descriptive effect sizes only (no inferential statistics given n = 2 vs n = 3). A transparent split between pre-registered and exploratory analyses is maintained throughout; §3.14.1–§3.14.2 report pre-registered results, §3.14.3 onward are labelled post-hoc (Supp Text S7).</w:t>
      </w:r>
    </w:p>
    <w:bookmarkEnd w:id="21"/>
    <w:bookmarkStart w:id="23" w:name="code-and-data"/>
    <w:p>
      <w:pPr>
        <w:pStyle w:val="Heading3"/>
      </w:pPr>
      <w:r>
        <w:t xml:space="preserve">Code and data</w:t>
      </w:r>
    </w:p>
    <w:p>
      <w:pPr>
        <w:pStyle w:val="FirstParagraph"/>
      </w:pPr>
      <w:r>
        <w:t xml:space="preserve">Analysis scripts under</w:t>
      </w:r>
      <w:r>
        <w:t xml:space="preserve"> </w:t>
      </w:r>
      <w:r>
        <w:rPr>
          <w:rStyle w:val="VerbatimChar"/>
        </w:rPr>
        <w:t xml:space="preserve">/analysis/scripts/</w:t>
      </w:r>
      <w:r>
        <w:t xml:space="preserve"> </w:t>
      </w:r>
      <w:r>
        <w:t xml:space="preserve">(numbered</w:t>
      </w:r>
      <w:r>
        <w:t xml:space="preserve"> </w:t>
      </w:r>
      <w:r>
        <w:rPr>
          <w:rStyle w:val="VerbatimChar"/>
        </w:rPr>
        <w:t xml:space="preserve">00_</w:t>
      </w:r>
      <w:r>
        <w:t xml:space="preserve">–</w:t>
      </w:r>
      <w:r>
        <w:rPr>
          <w:rStyle w:val="VerbatimChar"/>
        </w:rPr>
        <w:t xml:space="preserve">52_</w:t>
      </w:r>
      <w:r>
        <w:t xml:space="preserve">; sequencing, alignment, somatic calling, signature attribution, per-signature ssGSEA, CNV, HLA, neoantigen, figure composition),</w:t>
      </w:r>
      <w:r>
        <w:t xml:space="preserve"> </w:t>
      </w:r>
      <w:r>
        <w:rPr>
          <w:rStyle w:val="VerbatimChar"/>
        </w:rPr>
        <w:t xml:space="preserve">/analysis/260418_add/</w:t>
      </w:r>
      <w:r>
        <w:t xml:space="preserve"> </w:t>
      </w:r>
      <w:r>
        <w:t xml:space="preserve">(numbered</w:t>
      </w:r>
      <w:r>
        <w:t xml:space="preserve"> </w:t>
      </w:r>
      <w:r>
        <w:rPr>
          <w:rStyle w:val="VerbatimChar"/>
        </w:rPr>
        <w:t xml:space="preserve">01_</w:t>
      </w:r>
      <w:r>
        <w:t xml:space="preserve">–</w:t>
      </w:r>
      <w:r>
        <w:rPr>
          <w:rStyle w:val="VerbatimChar"/>
        </w:rPr>
        <w:t xml:space="preserve">23_</w:t>
      </w:r>
      <w:r>
        <w:t xml:space="preserve">; immune LASSO retraining, 5-cohort restricted external meta, Akiyoshi augmentation, convergence-null, baseline-factor pharmacodynamics, IGHV directional coherence, native-editable PowerPoint figure decks),</w:t>
      </w:r>
      <w:r>
        <w:t xml:space="preserve"> </w:t>
      </w:r>
      <w:r>
        <w:rPr>
          <w:rStyle w:val="VerbatimChar"/>
        </w:rPr>
        <w:t xml:space="preserve">/analysis/260423_added/</w:t>
      </w:r>
      <w:r>
        <w:t xml:space="preserve"> </w:t>
      </w:r>
      <w:r>
        <w:t xml:space="preserve">(pVACseq v2 re-run and HLA / neoantigen panel refresh), and</w:t>
      </w:r>
      <w:r>
        <w:t xml:space="preserve"> </w:t>
      </w:r>
      <w:r>
        <w:rPr>
          <w:rStyle w:val="VerbatimChar"/>
        </w:rPr>
        <w:t xml:space="preserve">/analysis/260424_nanostring/</w:t>
      </w:r>
      <w:r>
        <w:t xml:space="preserve"> </w:t>
      </w:r>
      <w:r>
        <w:t xml:space="preserve">(NanoString pre-spec script</w:t>
      </w:r>
      <w:r>
        <w:t xml:space="preserve"> </w:t>
      </w:r>
      <w:r>
        <w:rPr>
          <w:rStyle w:val="VerbatimChar"/>
        </w:rPr>
        <w:t xml:space="preserve">01_primary_secondary_tertiary.py</w:t>
      </w:r>
      <w:r>
        <w:t xml:space="preserve"> </w:t>
      </w:r>
      <w:r>
        <w:t xml:space="preserve">and post-hoc exploratory script</w:t>
      </w:r>
      <w:r>
        <w:t xml:space="preserve"> </w:t>
      </w:r>
      <w:r>
        <w:rPr>
          <w:rStyle w:val="VerbatimChar"/>
        </w:rPr>
        <w:t xml:space="preserve">03_exploratory.py</w:t>
      </w:r>
      <w:r>
        <w:t xml:space="preserve">, figures, and formalised tables). Code and derived tables on</w:t>
      </w:r>
      <w:r>
        <w:t xml:space="preserve"> </w:t>
      </w:r>
      <w:hyperlink r:id="rId22">
        <w:r>
          <w:rPr>
            <w:rStyle w:val="Hyperlink"/>
          </w:rPr>
          <w:t xml:space="preserve">https://github.com/Soonlab/TNT</w:t>
        </w:r>
      </w:hyperlink>
      <w:r>
        <w:t xml:space="preserve">. Raw sequencing (Macrogen HN00249207 WES, HN00249209 RNA-seq) and NanoString RCC files will be deposited to SRA / GEO on publication.</w:t>
      </w:r>
    </w:p>
    <w:p>
      <w:r>
        <w:pict>
          <v:rect style="width:0;height:1.5pt" o:hralign="center" o:hrstd="t" o:hr="t"/>
        </w:pict>
      </w:r>
    </w:p>
    <w:bookmarkEnd w:id="23"/>
    <w:bookmarkEnd w:id="24"/>
    <w:bookmarkStart w:id="49" w:name="results"/>
    <w:p>
      <w:pPr>
        <w:pStyle w:val="Heading2"/>
      </w:pPr>
      <w:r>
        <w:t xml:space="preserve">Results</w:t>
      </w:r>
    </w:p>
    <w:bookmarkStart w:id="25" w:name="Xfb3871f7c22f1b0823cc3b56b437f5dafd52043"/>
    <w:p>
      <w:pPr>
        <w:pStyle w:val="Heading3"/>
      </w:pPr>
      <w:r>
        <w:t xml:space="preserve">3.1 Cohort and study design (Fig 1; Table 1; Supp Fig S1, S12, S14)</w:t>
      </w:r>
    </w:p>
    <w:p>
      <w:pPr>
        <w:pStyle w:val="FirstParagraph"/>
      </w:pPr>
      <w:r>
        <w:t xml:space="preserve">Fig 1 previews the study design (panel A — SC-RT radiation-phase sampling window explicitly bracketed on a TNT timeline; RT-fractionation and chemo-timing contrasts vs external cohorts annotated), the cohort composition (panel B — sex/cT/response Sankey), the data matrix (panel C — WES/RNA × timepoint), and the paper’s headline findings as a five-row summary forest (panel D: LASSO AUC, Thread 1 LC-CRT meta, Thread 2 LC-CRT + Akiyoshi meta,</w:t>
      </w:r>
      <w:r>
        <w:t xml:space="preserve"> </w:t>
      </w:r>
      <w:r>
        <w:rPr>
          <w:b/>
          <w:bCs/>
        </w:rPr>
        <w:t xml:space="preserve">SC-RT-matched GSE254249 external validation</w:t>
      </w:r>
      <w:r>
        <w:t xml:space="preserve">, paired pharmacodynamics). Detailed clinical characteristics are in Table 1; cohort QC in Supp Fig S1; CONSORT-style sample flow in Supp Fig S12. Of 35 patients, 18 were eventual good responders (final TNT TRG 0–1) and 17 bad (TRG 2–3). Clinical T4 was enriched in bad responders (41 % vs 11 %, Fisher P = 0.086).</w:t>
      </w:r>
      <w:r>
        <w:t xml:space="preserve"> </w:t>
      </w:r>
      <w:r>
        <w:rPr>
          <w:b/>
          <w:bCs/>
        </w:rPr>
        <w:t xml:space="preserve">All 41 matched tumors were microsatellite-stable</w:t>
      </w:r>
      <w:r>
        <w:t xml:space="preserve"> </w:t>
      </w:r>
      <w:r>
        <w:t xml:space="preserve">(max MSI 0.19 %) and TMB-low (median 1.6/Mb; good 1.85 vs bad 1.40, Mann–Whitney P = 0.186). MSI-H and high TMB — the two established ICB biomarkers — do not apply in this MSS cohort, motivating the search for alternative molecular axes.</w:t>
      </w:r>
    </w:p>
    <w:bookmarkEnd w:id="25"/>
    <w:bookmarkStart w:id="26" w:name="X3ee50f46e042fae1c671d479a7c3e1c4058b06a"/>
    <w:p>
      <w:pPr>
        <w:pStyle w:val="Heading3"/>
      </w:pPr>
      <w:r>
        <w:t xml:space="preserve">3.2 Somatic landscape (Fig 2; Table S4; Supp Fig S2–S4)</w:t>
      </w:r>
    </w:p>
    <w:p>
      <w:pPr>
        <w:pStyle w:val="FirstParagraph"/>
      </w:pPr>
      <w:r>
        <w:t xml:space="preserve">CRC driver mutations followed a canonical MSS distribution (Fig 2A, denominator N = 35 pre-treatment patients with one sample per patient; Supp Fig S4 details per-sample mutation stacks and VAF distributions): APC 24/35 (69 %), TP53 15/35 (43 %), KRAS 10/35 (29 %), FBXW7 5/35 (14 %), KMT2D 3/35 (9 %), SOX9 3/35 (9 %). No single driver reached significance for response; FBXW7 trended toward good (OR 4.6, Fisher P = 0.34), KMT2D trended toward bad (3/17 vs 0/18, Fisher P = 0.10). TMB was low in both groups (Fig 2B); SBS5/SBS1 (clock-like) dominated (&gt;60 % of mutations, Fig 2C; complete per-sample SBS attribution in Supp Fig S2); SBS3 (HRD) was absent. The response-grouped TMB+MSI waterfall (Fig 2D) confirms the MSS/TMB-low phenotype is universal; CIN was indistinguishable between groups (P = 0.66, Fig 2E; Supp Fig S3); a Myriad-style HRD LST proxy was modestly higher in bad responders (P = 0.037, Fig 2F), consistent with low-level chromosomal rearrangement in mesenchymal/EMT-high tumors without canonical HRD signature [25].</w:t>
      </w:r>
    </w:p>
    <w:bookmarkEnd w:id="26"/>
    <w:bookmarkStart w:id="27" w:name="Xea752a0bb6767bc73ec855228eb9a7268b08ded"/>
    <w:p>
      <w:pPr>
        <w:pStyle w:val="Heading3"/>
      </w:pPr>
      <w:r>
        <w:t xml:space="preserve">3.3 Pre-CRT Thread 1 — tumor-intrinsic DNA-repair and cell-cycle axis (Fig 3, Fig 4; Table S3; Supp Fig S5, S6)</w:t>
      </w:r>
    </w:p>
    <w:p>
      <w:pPr>
        <w:pStyle w:val="FirstParagraph"/>
      </w:pPr>
      <w:r>
        <w:t xml:space="preserve">We reorganise the pre-CRT RNA-seq analysis around two pre-registered axes (Thread 1 tumor-intrinsic + Thread 2 immune; Methods) whose external reproducibility is reported in §3.12. Hallmark GSEA of pre-CRT transcriptomes (n = 33; Fig 3A, 3B; full panels in Supp Fig S5) showed E2F targets (NES = 2.78, P &lt; 10⁻¹⁰), G2M checkpoint (NES = 2.46), MYC targets V1/V2 (NES ≥ 2.23), mTORC1 and mitotic spindle markedly elevated in eventual good responders, with EMT (NES = −2.16, P &lt; 10⁻⁹), myogenesis and apical junction reciprocally suppressed. Reactome GSEA (Fig 3C, 3D) independently placed cell-cycle checkpoints, M-phase, homology-directed repair, DSB repair and DNA replication as the top positive sets. ssGSEA on 95 curated sets (Fig 3E; full ssGSEA + CMScaller heatmap in Supp Fig S6) corroborated: DSB repair P = 0.007; MYC targets V2 P = 0.018; HDR P = 0.020; DNA repair P = 0.020; G2-M P = 0.032; E2F P = 0.035. CMS4 showed a non-significant trend (3/18 good vs 4/17 bad, Fisher P = 1.0); the EMT argument therefore rests on GSEA/ssGSEA rather than on a CMS4 classifier call. Thread 1 — DSB/HDR repair, tumor cell-cycle, E2F/MYC, EMT — is thus a coherent pre-CRT molecular axis in discovery, with all four member signatures moving in the same direction.</w:t>
      </w:r>
    </w:p>
    <w:bookmarkEnd w:id="27"/>
    <w:bookmarkStart w:id="28" w:name="Xc73a530e52e3111b5047b654b4b76423495108a"/>
    <w:p>
      <w:pPr>
        <w:pStyle w:val="Heading3"/>
      </w:pPr>
      <w:r>
        <w:t xml:space="preserve">3.4 Pre-CRT Thread 2 — immune CD8-cytotoxic axis, signature-composition audit, and corrected panel (Fig 4; Supp Fig S7; Supp Text S3)</w:t>
      </w:r>
    </w:p>
    <w:p>
      <w:pPr>
        <w:pStyle w:val="FirstParagraph"/>
      </w:pPr>
      <w:r>
        <w:t xml:space="preserve">A parallel pre-CRT immune analysis was performed using the pure CD8-cytotoxic effector panel (Methods). In discovery (n = 33), the CD8-cytotoxic signature showed a non-significant trend toward good responders (Mann–Whitney P = 0.84) and B-cell infiltration was also non-significant at single-cohort level (P = 0.52) (Fig 4A, 4D). The absence of single-cohort significance for these immune signatures is addressed by the external meta-analysis (§3.12; 5-cohort N = 518, 6-source N = 816 including Akiyoshi), which draws on substantially larger sample sizes. Differential expression analysis identified individual genes separating good and bad responders (Fig 4C), and the CD8 effector × exhaustion biaxial plot showed no clear immune-phenotype segregation by response group (Fig 4E). TLS Cabrita signature scores did not differ between groups (P = 0.957; Fig 4F). As described in Methods, a signature-composition audit identified and corrected a legacy CD8 proliferation panel that conflated immune effector and tumor cell-cycle genes; the corrected pure CD8-cytotoxic panel is used throughout (Supp Text S3). The 22-signature immune heatmap is shown in Fig 4B; full TRUST4 immune-repertoire diversity panels in Supp Fig S7. Table 2 lists the top-ranked per-feature associations after BH FDR. The third pre-registered Thread-2 signature, T-cell infiltration (pure CD3 panel), is tested in the external meta-analysis of §3.12; discovery-stage testing is deferred there because the Fig 4 signature-panel display is drawn from the 22-signature composite set that does not include a generic T-cell infiltration row.</w:t>
      </w:r>
    </w:p>
    <w:bookmarkEnd w:id="28"/>
    <w:bookmarkStart w:id="29" w:name="X71faaf1e37b2164f180fea346822eaac84c4416"/>
    <w:p>
      <w:pPr>
        <w:pStyle w:val="Heading3"/>
      </w:pPr>
      <w:r>
        <w:t xml:space="preserve">3.5 Integrated predictor — nested-CV LASSO over a parsimonious 36-feature panel (Fig 5; Supp Fig S8)</w:t>
      </w:r>
    </w:p>
    <w:p>
      <w:pPr>
        <w:pStyle w:val="FirstParagraph"/>
      </w:pPr>
      <w:r>
        <w:t xml:space="preserve">We re-ran the LASSO predictor under nested outer-LOOCV and inner 5-fold hyperparameter tuning on five pre-specified feature configurations to disambiguate the effect of the cell-cycle-contaminated CD8 proliferation signature removal from the effect of adding purified immune signatures (Methods). Results (Fig 5B; Supp Fig S8;</w:t>
      </w:r>
      <w:r>
        <w:t xml:space="preserve"> </w:t>
      </w:r>
      <w:r>
        <w:rPr>
          <w:rStyle w:val="VerbatimChar"/>
        </w:rPr>
        <w:t xml:space="preserve">260418_add/nested_cv_drop_vs_swap.tsv</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Features</w:t>
            </w:r>
          </w:p>
        </w:tc>
        <w:tc>
          <w:tcPr/>
          <w:p>
            <w:pPr>
              <w:pStyle w:val="Compact"/>
            </w:pPr>
            <w:r>
              <w:t xml:space="preserve">LASSO AUC</w:t>
            </w:r>
          </w:p>
        </w:tc>
        <w:tc>
          <w:tcPr/>
          <w:p>
            <w:pPr>
              <w:pStyle w:val="Compact"/>
            </w:pPr>
            <w:r>
              <w:t xml:space="preserve">ElasticNet AUC (95 % CI)</w:t>
            </w:r>
          </w:p>
        </w:tc>
      </w:tr>
      <w:tr>
        <w:tc>
          <w:tcPr/>
          <w:p>
            <w:pPr>
              <w:pStyle w:val="Compact"/>
            </w:pPr>
            <w:r>
              <w:t xml:space="preserve">baseline</w:t>
            </w:r>
          </w:p>
        </w:tc>
        <w:tc>
          <w:tcPr/>
          <w:p>
            <w:pPr>
              <w:pStyle w:val="Compact"/>
            </w:pPr>
            <w:r>
              <w:t xml:space="preserve">37</w:t>
            </w:r>
          </w:p>
        </w:tc>
        <w:tc>
          <w:tcPr/>
          <w:p>
            <w:pPr>
              <w:pStyle w:val="Compact"/>
            </w:pPr>
            <w:r>
              <w:t xml:space="preserve">0.650</w:t>
            </w:r>
          </w:p>
        </w:tc>
        <w:tc>
          <w:tcPr/>
          <w:p>
            <w:pPr>
              <w:pStyle w:val="Compact"/>
            </w:pPr>
            <w:r>
              <w:t xml:space="preserve">0.686 (0.50–0.86)</w:t>
            </w:r>
          </w:p>
        </w:tc>
      </w:tr>
      <w:tr>
        <w:tc>
          <w:tcPr/>
          <w:p>
            <w:pPr>
              <w:pStyle w:val="Compact"/>
            </w:pPr>
            <w:r>
              <w:rPr>
                <w:b/>
                <w:bCs/>
              </w:rPr>
              <w:t xml:space="preserve">drop CD8_proliferation</w:t>
            </w:r>
          </w:p>
        </w:tc>
        <w:tc>
          <w:tcPr/>
          <w:p>
            <w:pPr>
              <w:pStyle w:val="Compact"/>
            </w:pPr>
            <w:r>
              <w:rPr>
                <w:b/>
                <w:bCs/>
              </w:rPr>
              <w:t xml:space="preserve">36</w:t>
            </w:r>
          </w:p>
        </w:tc>
        <w:tc>
          <w:tcPr/>
          <w:p>
            <w:pPr>
              <w:pStyle w:val="Compact"/>
            </w:pPr>
            <w:r>
              <w:rPr>
                <w:b/>
                <w:bCs/>
              </w:rPr>
              <w:t xml:space="preserve">0.716</w:t>
            </w:r>
          </w:p>
        </w:tc>
        <w:tc>
          <w:tcPr/>
          <w:p>
            <w:pPr>
              <w:pStyle w:val="Compact"/>
            </w:pPr>
            <w:r>
              <w:rPr>
                <w:b/>
                <w:bCs/>
              </w:rPr>
              <w:t xml:space="preserve">0.745 (0.56–0.90)</w:t>
            </w:r>
          </w:p>
        </w:tc>
      </w:tr>
      <w:tr>
        <w:tc>
          <w:tcPr/>
          <w:p>
            <w:pPr>
              <w:pStyle w:val="Compact"/>
            </w:pPr>
            <w:r>
              <w:t xml:space="preserve">add 3 purified immune</w:t>
            </w:r>
          </w:p>
        </w:tc>
        <w:tc>
          <w:tcPr/>
          <w:p>
            <w:pPr>
              <w:pStyle w:val="Compact"/>
            </w:pPr>
            <w:r>
              <w:t xml:space="preserve">40</w:t>
            </w:r>
          </w:p>
        </w:tc>
        <w:tc>
          <w:tcPr/>
          <w:p>
            <w:pPr>
              <w:pStyle w:val="Compact"/>
            </w:pPr>
            <w:r>
              <w:t xml:space="preserve">0.650</w:t>
            </w:r>
          </w:p>
        </w:tc>
        <w:tc>
          <w:tcPr/>
          <w:p>
            <w:pPr>
              <w:pStyle w:val="Compact"/>
            </w:pPr>
            <w:r>
              <w:t xml:space="preserve">0.686 (0.50–0.86)</w:t>
            </w:r>
          </w:p>
        </w:tc>
      </w:tr>
      <w:tr>
        <w:tc>
          <w:tcPr/>
          <w:p>
            <w:pPr>
              <w:pStyle w:val="Compact"/>
            </w:pPr>
            <w:r>
              <w:t xml:space="preserve">swap CD8_prolif → CD8_cyt</w:t>
            </w:r>
          </w:p>
        </w:tc>
        <w:tc>
          <w:tcPr/>
          <w:p>
            <w:pPr>
              <w:pStyle w:val="Compact"/>
            </w:pPr>
            <w:r>
              <w:t xml:space="preserve">37</w:t>
            </w:r>
          </w:p>
        </w:tc>
        <w:tc>
          <w:tcPr/>
          <w:p>
            <w:pPr>
              <w:pStyle w:val="Compact"/>
            </w:pPr>
            <w:r>
              <w:t xml:space="preserve">0.716</w:t>
            </w:r>
          </w:p>
        </w:tc>
        <w:tc>
          <w:tcPr/>
          <w:p>
            <w:pPr>
              <w:pStyle w:val="Compact"/>
            </w:pPr>
            <w:r>
              <w:t xml:space="preserve">0.722 (0.53–0.89)</w:t>
            </w:r>
          </w:p>
        </w:tc>
      </w:tr>
      <w:tr>
        <w:tc>
          <w:tcPr/>
          <w:p>
            <w:pPr>
              <w:pStyle w:val="Compact"/>
            </w:pPr>
            <w:r>
              <w:t xml:space="preserve">drop + add</w:t>
            </w:r>
          </w:p>
        </w:tc>
        <w:tc>
          <w:tcPr/>
          <w:p>
            <w:pPr>
              <w:pStyle w:val="Compact"/>
            </w:pPr>
            <w:r>
              <w:t xml:space="preserve">39</w:t>
            </w:r>
          </w:p>
        </w:tc>
        <w:tc>
          <w:tcPr/>
          <w:p>
            <w:pPr>
              <w:pStyle w:val="Compact"/>
            </w:pPr>
            <w:r>
              <w:t xml:space="preserve">0.716</w:t>
            </w:r>
          </w:p>
        </w:tc>
        <w:tc>
          <w:tcPr/>
          <w:p>
            <w:pPr>
              <w:pStyle w:val="Compact"/>
            </w:pPr>
            <w:r>
              <w:t xml:space="preserve">0.735 (0.55–0.89)</w:t>
            </w:r>
          </w:p>
        </w:tc>
      </w:tr>
    </w:tbl>
    <w:p>
      <w:pPr>
        <w:pStyle w:val="BodyText"/>
      </w:pPr>
      <w:r>
        <w:t xml:space="preserve">The nominal improvement over the 37-feature baseline comes from</w:t>
      </w:r>
      <w:r>
        <w:t xml:space="preserve"> </w:t>
      </w:r>
      <w:r>
        <w:rPr>
          <w:b/>
          <w:bCs/>
        </w:rPr>
        <w:t xml:space="preserve">removing</w:t>
      </w:r>
      <w:r>
        <w:t xml:space="preserve"> </w:t>
      </w:r>
      <w:r>
        <w:t xml:space="preserve">the cell-cycle-contaminated CD8 proliferation feature, not from adding purified immune signatures — which for small-N discovery (N = 33 pre with labels) gave no inner-CV feature-importance gain because SelectKBest already chose the stronger cell-cycle / DNA-repair features on univariate F. The parsimonious 36-feature ElasticNet classifier is therefore reported as the main predictor (AUC 0.745, 95 % bootstrap CI 0.563–0.895) with four non-zero features (Fig 5C): DSB repair +0.89, genomic deletion fraction −0.76, MHC II −0.23, MSI% +0.12 (the last nearly inactive in this MSS-only cohort). This four-feature parsimonious signature recapitulates Thread 1 (DSB repair + deletion fraction) and adds a Thread-2-aligned immunogenic component (MHC II, despite a pre-CRT between-group direction toward lower scores in good — see §3.10.3 for the inverted post-CRT direction). A non-nested pass yields AUC 0.755 and is reported alongside for transparency only; the</w:t>
      </w:r>
      <w:r>
        <w:t xml:space="preserve"> </w:t>
      </w:r>
      <w:r>
        <w:rPr>
          <w:b/>
          <w:bCs/>
        </w:rPr>
        <w:t xml:space="preserve">nested outer-LOOCV AUC of 0.745 (95 % CI 0.56–0.90) is the reference</w:t>
      </w:r>
      <w:r>
        <w:t xml:space="preserve">. ElasticNet under the same nested procedure gives 0.745; RandomForest 0.58 (under-fits at n = 35). Per-subject predicted probabilities at the 0.5 threshold are provided in Supp Fig S8C for transparency; the threshold-free AUC in Fig 5B is the headline performance metric. The inclusion of both Thread-1 (DSB repair) and Thread-2-aligned (MHC II) features in a single small-N classifier, combined with the convergence-null result of §3.10 (baseline LASSO winners do not predict paired immune-cascade magnitude), argues that the two axes are statistically</w:t>
      </w:r>
      <w:r>
        <w:t xml:space="preserve"> </w:t>
      </w:r>
      <w:r>
        <w:rPr>
          <w:b/>
          <w:bCs/>
        </w:rPr>
        <w:t xml:space="preserve">orthogonal layers</w:t>
      </w:r>
      <w:r>
        <w:t xml:space="preserve"> </w:t>
      </w:r>
      <w:r>
        <w:t xml:space="preserve">of response-relevant biology, not a cascade.</w:t>
      </w:r>
    </w:p>
    <w:bookmarkEnd w:id="29"/>
    <w:bookmarkStart w:id="30" w:name="X5ce167f7ec9e546098b16821f87646f53d0e32c"/>
    <w:p>
      <w:pPr>
        <w:pStyle w:val="Heading3"/>
      </w:pPr>
      <w:r>
        <w:t xml:space="preserve">3.6 MHC-I neoantigen landscape and radiation-phase clearance (Supp Fig S15D–F)</w:t>
      </w:r>
    </w:p>
    <w:p>
      <w:pPr>
        <w:pStyle w:val="FirstParagraph"/>
      </w:pPr>
      <w:r>
        <w:t xml:space="preserve">These analyses describe downstream features of the Thread-2 immune axis that are not part of the pre-registered externally-validated signature set (§3.12); we therefore present them as supporting detail (Supp Fig S15). Pre-CRT MHC-I neoantigen burden did not differ between eventual good and bad responders in the full-cohort pVACseq re-run (Supp Fig S15D; n = 18 good vs 17 bad; median 76 vs 71 mutation sites with ≥ 1 MHC-I binder, MW P = 0.779; median 408.5 vs 354 total binder peptides, P = 0.96; PCN 74.8 vs 69.0, P = 0.82; Table S6_v2). In the paired 11-subject analysis (Supp Fig S15E), the within-good radiation-phase clearance signal was nonetheless robust: within-good median Δ binders was −312 (BCa 95 % CI [−626, −123], within-group CI excludes 0) and median Δ binder sites −59 [−88, −26]; between-group diffs crossed zero. The magnitude of within-good clearance (subjects 2, 6, 9 each losing &gt; 300 MHC-I binders) is consistent with cytotoxic elimination of mutated clones but the between-group inference is exploratory (n = 11); per-subject detail in Supp Fig S15F. One good responder (subject 14, pCR) atypically gained neoantigens, consistent with sparse residual tumor at post-CRT resection sampling.</w:t>
      </w:r>
    </w:p>
    <w:bookmarkEnd w:id="30"/>
    <w:bookmarkStart w:id="31" w:name="X5ff0a1d5d04707827eca3c7294327d679919a08"/>
    <w:p>
      <w:pPr>
        <w:pStyle w:val="Heading3"/>
      </w:pPr>
      <w:r>
        <w:t xml:space="preserve">3.7 HLA class I typing and HLA-LOH clone clearance (Fig 8E; Supp Fig S15A–C, S13; Table S9)</w:t>
      </w:r>
    </w:p>
    <w:p>
      <w:pPr>
        <w:pStyle w:val="FirstParagraph"/>
      </w:pPr>
      <w:r>
        <w:t xml:space="preserve">Pre-CRT HLA class I typing, allele frequency and homozygosity analyses (Supp Fig S15A–B) showed no significant association with response; HLA heterozygosity prevalence in our MSS cohort is comparable to pan-cancer ICB cohorts [38]. Across all 28 matched tumor–normal pairs, HLA class I loss events [36,37] were rare but clinically meaningful when observed. Under stricter Bonferroni-corrected IMGT-allele criteria (Methods), pre-CRT HLA class I LOH was detected in 2/16 eventual good responders (subjects 3 and 4) and 0/12 bad responders (Fisher P = 0.49). Both strict-LOH subjects showed complete pre→post resolution (subj 3: 2 loci → 0; subj 4: 1 locus → 0; Fig 8E visualises the two clearance trajectories). Lenient LOHHLA-lite criteria gave 4/16 vs 2/12 without changing the direction (Supp Fig S15C; per-locus detail in Table S9). We treat HLA-LOH clone clearance as an anecdotal observation consistent with the cascade phenomenology of §3.11 rather than as a quantitative between-group finding; subject-level before/after panels and the criteria comparison text are in Supp Fig S13.</w:t>
      </w:r>
    </w:p>
    <w:bookmarkEnd w:id="31"/>
    <w:bookmarkStart w:id="32" w:name="Xdd08b43d543dc82fb84bd9ae373a06fae7c798b"/>
    <w:p>
      <w:pPr>
        <w:pStyle w:val="Heading3"/>
      </w:pPr>
      <w:r>
        <w:t xml:space="preserve">3.8 Radiation-phase pharmacodynamics (introduction to §3.9–3.11; convergence-null framing)</w:t>
      </w:r>
    </w:p>
    <w:p>
      <w:pPr>
        <w:pStyle w:val="FirstParagraph"/>
      </w:pPr>
      <w:r>
        <w:t xml:space="preserve">The paired radiation-phase biopsy set (n = 14 WES-paired / n = 12 RNA-paired; Methods) admits three orthogonal layers of pharmacodynamic analysis: (i)</w:t>
      </w:r>
      <w:r>
        <w:t xml:space="preserve"> </w:t>
      </w:r>
      <w:r>
        <w:rPr>
          <w:b/>
          <w:bCs/>
        </w:rPr>
        <w:t xml:space="preserve">target engagement</w:t>
      </w:r>
      <w:r>
        <w:t xml:space="preserve"> </w:t>
      </w:r>
      <w:r>
        <w:t xml:space="preserve">— do the baseline predictor axes themselves move post-RT in biologically predicted directions? (§3.9; RNA-paired n = 12 because Thread-1 factors are ssGSEA composites); (ii)</w:t>
      </w:r>
      <w:r>
        <w:t xml:space="preserve"> </w:t>
      </w:r>
      <w:r>
        <w:rPr>
          <w:b/>
          <w:bCs/>
        </w:rPr>
        <w:t xml:space="preserve">immune-repertoire directional coherence</w:t>
      </w:r>
      <w:r>
        <w:t xml:space="preserve"> </w:t>
      </w:r>
      <w:r>
        <w:t xml:space="preserve">— does the IGH V-gene repertoire response to RT differ in directional reproducibility between good and bad responders, even when per-subject magnitudes are noisy? (§3.10; RNA-paired n = 12); and (iii)</w:t>
      </w:r>
      <w:r>
        <w:t xml:space="preserve"> </w:t>
      </w:r>
      <w:r>
        <w:rPr>
          <w:b/>
          <w:bCs/>
        </w:rPr>
        <w:t xml:space="preserve">cascade phenomenology</w:t>
      </w:r>
      <w:r>
        <w:t xml:space="preserve"> </w:t>
      </w:r>
      <w:r>
        <w:t xml:space="preserve">— do mutation, neoantigen, HLA-LOH, Treg, MHC-II, and B-cell infiltration features show coherent pre→post changes in good responders, and are these changes predicted by the baseline predictor axes? (§3.11; mixed n = 14 WES-paired for SBS5 / missense, n = 11 for neoantigen [pVACseq output completeness], n = 12 RNA-paired for Treg / MHC-II / CD8 exhaustion / IGH count). Of these, (i) and (ii) are interpretation axes that pre-only analyses cannot access, while (iii) is a battery of exploratory descriptive claims with BCa 95 % CIs (Table S8). An a-priori convergence test (36-pair targeted Spearman of baseline LASSO winners versus cascade Δ, partial-adjusted for response and BH-corrected across all 36 pairs) found 0/36 hits at P &lt; 0.05 (1.8 expected by chance), 0 at FDR &lt; 0.10; the headline pair DSB-repair baseline → CD8-cytotoxic Δ gives r = −0.07, P = 0.83 (n = 12; power to detect |r| ≥ 0.55 is retained, observed |r| &lt; 0.2 reflects absence of signal rather than under-power). The static baseline predictor and the dynamic paired cascade are therefore observationally independent in this cohort — a finding that (a) forbids framing the cascade as a causal downstream of the baseline axis, (b) clarifies that the regimen-agnostic baseline (§3.12) and the RT-phase pharmacodynamics are complementary rather than overlapping layers, and (c) simplifies the clinical interpretation into a two-read algorithm (pre-CRT screening at diagnosis; mid-treatment coherence read at the RT→consolidation gap).</w:t>
      </w:r>
    </w:p>
    <w:bookmarkEnd w:id="32"/>
    <w:bookmarkStart w:id="33" w:name="X023031d93bbfc8d0a1d9159cceacf818b18032d"/>
    <w:p>
      <w:pPr>
        <w:pStyle w:val="Heading3"/>
      </w:pPr>
      <w:r>
        <w:t xml:space="preserve">3.9 Target engagement of the four baseline Thread-1 factors (Fig 6; Table S10)</w:t>
      </w:r>
    </w:p>
    <w:p>
      <w:pPr>
        <w:pStyle w:val="FirstParagraph"/>
      </w:pPr>
      <w:r>
        <w:t xml:space="preserve">Within the paired 12-subject set, all four Thread-1 composite factors moved in biologically predicted directions after RT in</w:t>
      </w:r>
      <w:r>
        <w:t xml:space="preserve"> </w:t>
      </w:r>
      <w:r>
        <w:rPr>
          <w:b/>
          <w:bCs/>
        </w:rPr>
        <w:t xml:space="preserve">both</w:t>
      </w:r>
      <w:r>
        <w:t xml:space="preserve"> </w:t>
      </w:r>
      <w:r>
        <w:t xml:space="preserve">response groups (Fig 6A per-subject spaghetti; Fig 6B sign-concordance bar;</w:t>
      </w:r>
      <w:r>
        <w:t xml:space="preserve"> </w:t>
      </w:r>
      <w:r>
        <w:rPr>
          <w:rStyle w:val="VerbatimChar"/>
        </w:rPr>
        <w:t xml:space="preserve">260418_add/baseline_factor_sign_table.tsv</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Factor</w:t>
            </w:r>
          </w:p>
        </w:tc>
        <w:tc>
          <w:tcPr/>
          <w:p>
            <w:pPr>
              <w:pStyle w:val="Compact"/>
            </w:pPr>
            <w:r>
              <w:t xml:space="preserve">Predicted direction</w:t>
            </w:r>
          </w:p>
        </w:tc>
        <w:tc>
          <w:tcPr/>
          <w:p>
            <w:pPr>
              <w:pStyle w:val="Compact"/>
            </w:pPr>
            <w:r>
              <w:t xml:space="preserve">good n_pred / 6 (sign P)</w:t>
            </w:r>
          </w:p>
        </w:tc>
        <w:tc>
          <w:tcPr/>
          <w:p>
            <w:pPr>
              <w:pStyle w:val="Compact"/>
            </w:pPr>
            <w:r>
              <w:t xml:space="preserve">bad n_pred / 6 (sign P)</w:t>
            </w:r>
          </w:p>
        </w:tc>
        <w:tc>
          <w:tcPr/>
          <w:p>
            <w:pPr>
              <w:pStyle w:val="Compact"/>
            </w:pPr>
            <w:r>
              <w:t xml:space="preserve">MW P (between)</w:t>
            </w:r>
          </w:p>
        </w:tc>
      </w:tr>
      <w:tr>
        <w:tc>
          <w:tcPr/>
          <w:p>
            <w:pPr>
              <w:pStyle w:val="Compact"/>
            </w:pPr>
            <w:r>
              <w:t xml:space="preserve">DSB / HDR repair</w:t>
            </w:r>
          </w:p>
        </w:tc>
        <w:tc>
          <w:tcPr/>
          <w:p>
            <w:pPr>
              <w:pStyle w:val="Compact"/>
            </w:pPr>
            <w:r>
              <w:t xml:space="preserve">down</w:t>
            </w:r>
          </w:p>
        </w:tc>
        <w:tc>
          <w:tcPr/>
          <w:p>
            <w:pPr>
              <w:pStyle w:val="Compact"/>
            </w:pPr>
            <w:r>
              <w:t xml:space="preserve">5/6 (P = 0.109)</w:t>
            </w:r>
          </w:p>
        </w:tc>
        <w:tc>
          <w:tcPr/>
          <w:p>
            <w:pPr>
              <w:pStyle w:val="Compact"/>
            </w:pPr>
            <w:r>
              <w:t xml:space="preserve">5/6 (P = 0.109)</w:t>
            </w:r>
          </w:p>
        </w:tc>
        <w:tc>
          <w:tcPr/>
          <w:p>
            <w:pPr>
              <w:pStyle w:val="Compact"/>
            </w:pPr>
            <w:r>
              <w:t xml:space="preserve">0.59</w:t>
            </w:r>
          </w:p>
        </w:tc>
      </w:tr>
      <w:tr>
        <w:tc>
          <w:tcPr/>
          <w:p>
            <w:pPr>
              <w:pStyle w:val="Compact"/>
            </w:pPr>
            <w:r>
              <w:t xml:space="preserve">Tumor cell-cycle</w:t>
            </w:r>
          </w:p>
        </w:tc>
        <w:tc>
          <w:tcPr/>
          <w:p>
            <w:pPr>
              <w:pStyle w:val="Compact"/>
            </w:pPr>
            <w:r>
              <w:t xml:space="preserve">down</w:t>
            </w:r>
          </w:p>
        </w:tc>
        <w:tc>
          <w:tcPr/>
          <w:p>
            <w:pPr>
              <w:pStyle w:val="Compact"/>
            </w:pPr>
            <w:r>
              <w:t xml:space="preserve">4/6 (P = 0.344)</w:t>
            </w:r>
          </w:p>
        </w:tc>
        <w:tc>
          <w:tcPr/>
          <w:p>
            <w:pPr>
              <w:pStyle w:val="Compact"/>
            </w:pPr>
            <w:r>
              <w:t xml:space="preserve">5/6 (P = 0.109)</w:t>
            </w:r>
          </w:p>
        </w:tc>
        <w:tc>
          <w:tcPr/>
          <w:p>
            <w:pPr>
              <w:pStyle w:val="Compact"/>
            </w:pPr>
            <w:r>
              <w:t xml:space="preserve">1.00</w:t>
            </w:r>
          </w:p>
        </w:tc>
      </w:tr>
      <w:tr>
        <w:tc>
          <w:tcPr/>
          <w:p>
            <w:pPr>
              <w:pStyle w:val="Compact"/>
            </w:pPr>
            <w:r>
              <w:t xml:space="preserve">E2F / MYC</w:t>
            </w:r>
          </w:p>
        </w:tc>
        <w:tc>
          <w:tcPr/>
          <w:p>
            <w:pPr>
              <w:pStyle w:val="Compact"/>
            </w:pPr>
            <w:r>
              <w:t xml:space="preserve">down</w:t>
            </w:r>
          </w:p>
        </w:tc>
        <w:tc>
          <w:tcPr/>
          <w:p>
            <w:pPr>
              <w:pStyle w:val="Compact"/>
            </w:pPr>
            <w:r>
              <w:t xml:space="preserve">5/6 (P = 0.109)</w:t>
            </w:r>
          </w:p>
        </w:tc>
        <w:tc>
          <w:tcPr/>
          <w:p>
            <w:pPr>
              <w:pStyle w:val="Compact"/>
            </w:pPr>
            <w:r>
              <w:t xml:space="preserve">5/6 (P = 0.109)</w:t>
            </w:r>
          </w:p>
        </w:tc>
        <w:tc>
          <w:tcPr/>
          <w:p>
            <w:pPr>
              <w:pStyle w:val="Compact"/>
            </w:pPr>
            <w:r>
              <w:t xml:space="preserve">0.82</w:t>
            </w:r>
          </w:p>
        </w:tc>
      </w:tr>
      <w:tr>
        <w:tc>
          <w:tcPr/>
          <w:p>
            <w:pPr>
              <w:pStyle w:val="Compact"/>
            </w:pPr>
            <w:r>
              <w:rPr>
                <w:b/>
                <w:bCs/>
              </w:rPr>
              <w:t xml:space="preserve">EMT</w:t>
            </w:r>
          </w:p>
        </w:tc>
        <w:tc>
          <w:tcPr/>
          <w:p>
            <w:pPr>
              <w:pStyle w:val="Compact"/>
            </w:pPr>
            <w:r>
              <w:t xml:space="preserve">up</w:t>
            </w:r>
          </w:p>
        </w:tc>
        <w:tc>
          <w:tcPr/>
          <w:p>
            <w:pPr>
              <w:pStyle w:val="Compact"/>
            </w:pPr>
            <w:r>
              <w:rPr>
                <w:b/>
                <w:bCs/>
              </w:rPr>
              <w:t xml:space="preserve">6/6 (P = 0.016)</w:t>
            </w:r>
          </w:p>
        </w:tc>
        <w:tc>
          <w:tcPr/>
          <w:p>
            <w:pPr>
              <w:pStyle w:val="Compact"/>
            </w:pPr>
            <w:r>
              <w:t xml:space="preserve">5/6 (P = 0.109)</w:t>
            </w:r>
          </w:p>
        </w:tc>
        <w:tc>
          <w:tcPr/>
          <w:p>
            <w:pPr>
              <w:pStyle w:val="Compact"/>
            </w:pPr>
            <w:r>
              <w:t xml:space="preserve">0.70</w:t>
            </w:r>
          </w:p>
        </w:tc>
      </w:tr>
    </w:tbl>
    <w:p>
      <w:pPr>
        <w:pStyle w:val="BodyText"/>
      </w:pPr>
      <w:r>
        <w:t xml:space="preserve">Aggregated across 4 factors × 12 subjects, 40/48 paired measurements moved in the a-priori predicted direction (83 %); under a null of random direction a ≥ 40/48 outcome has binomial P &lt; 10⁻⁵. Member-pathway-level detail (17 signatures × 12 paired subjects Δ heatmap + per-member sign-count bar) is in Supp Fig S17 and confirms that the composite-level concordance is not driven by any single member pathway. EMT in good responders moved up unanimously (6/6, binomial P = 0.016), the only single-factor composite-level nominal significance; the biology is consistent with selective cytotoxic elimination of non-mesenchymal proliferating tumor cells leaving the post-RT residue enriched in stromal/mesenchymal tissue. Between-group magnitude tests (MW on Δ) are non-significant for all four factors, so the baseline axis is</w:t>
      </w:r>
      <w:r>
        <w:t xml:space="preserve"> </w:t>
      </w:r>
      <w:r>
        <w:rPr>
          <w:b/>
          <w:bCs/>
        </w:rPr>
        <w:t xml:space="preserve">target-engaged by RT but not response-differential in its pharmacodynamics</w:t>
      </w:r>
      <w:r>
        <w:t xml:space="preserve">: response is encoded in the pre-treatment amount of these biologies rather than in the magnitude of their post-RT change. This is the paired evidence that the externally validated Thread-1 axis (§3.12) is not a bystander correlate but the exact biology that radiation perturbs in both good and bad responders.</w:t>
      </w:r>
    </w:p>
    <w:bookmarkEnd w:id="33"/>
    <w:bookmarkStart w:id="34" w:name="Xf26bd3b2420adfb9caa5751e828729addc5570b"/>
    <w:p>
      <w:pPr>
        <w:pStyle w:val="Heading3"/>
      </w:pPr>
      <w:r>
        <w:t xml:space="preserve">3.10 Directed versus stochastic immune-repertoire response (Fig 7; Table S11)</w:t>
      </w:r>
    </w:p>
    <w:p>
      <w:pPr>
        <w:pStyle w:val="FirstParagraph"/>
      </w:pPr>
      <w:r>
        <w:t xml:space="preserve">A magnitude-only test is poorly suited to detecting the following form of signal: small per-subject changes that are directionally reproducible across one group, versus large per-subject changes that average to zero across the other group. We therefore report a sign-consistency scan of the TRUST4 IGH V-gene repertoire across the 12 paired subjects (§Methods; Fig 7A repertoire coherence summary; Fig 7B focus V-gene spaghetti;</w:t>
      </w:r>
      <w:r>
        <w:t xml:space="preserve"> </w:t>
      </w:r>
      <w:r>
        <w:rPr>
          <w:rStyle w:val="VerbatimChar"/>
        </w:rPr>
        <w:t xml:space="preserve">260418_add/trust4_ighv_directional_stats.tsv</w:t>
      </w:r>
      <w:r>
        <w:t xml:space="preserve">). Of 75 detected IGH V-genes, 53 passed coverage filtering (≥ 6 paired subjects non-trivial; ≥ 5 per group). Three independent aggregate tests show that good responders’ V-gene response to RT is more directionally coherent than bad responders’ (Fig 7A):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Aggregate test</w:t>
            </w:r>
          </w:p>
        </w:tc>
        <w:tc>
          <w:tcPr/>
          <w:p>
            <w:pPr>
              <w:pStyle w:val="Compact"/>
            </w:pPr>
            <w:r>
              <w:t xml:space="preserve">Statistic</w:t>
            </w:r>
          </w:p>
        </w:tc>
        <w:tc>
          <w:tcPr/>
          <w:p>
            <w:pPr>
              <w:pStyle w:val="Compact"/>
            </w:pPr>
            <w:r>
              <w:t xml:space="preserve">P</w:t>
            </w:r>
          </w:p>
        </w:tc>
      </w:tr>
      <w:tr>
        <w:tc>
          <w:tcPr/>
          <w:p>
            <w:pPr>
              <w:pStyle w:val="Compact"/>
            </w:pPr>
            <w:r>
              <w:t xml:space="preserve">Paired Wilcoxon of (good − bad) majority fraction across 53 V-genes</w:t>
            </w:r>
          </w:p>
        </w:tc>
        <w:tc>
          <w:tcPr/>
          <w:p>
            <w:pPr>
              <w:pStyle w:val="Compact"/>
            </w:pPr>
            <w:r>
              <w:t xml:space="preserve">W = 470.5</w:t>
            </w:r>
          </w:p>
        </w:tc>
        <w:tc>
          <w:tcPr/>
          <w:p>
            <w:pPr>
              <w:pStyle w:val="Compact"/>
            </w:pPr>
            <w:r>
              <w:rPr>
                <w:b/>
                <w:bCs/>
              </w:rPr>
              <w:t xml:space="preserve">0.035</w:t>
            </w:r>
          </w:p>
        </w:tc>
      </w:tr>
      <w:tr>
        <w:tc>
          <w:tcPr/>
          <w:p>
            <w:pPr>
              <w:pStyle w:val="Compact"/>
            </w:pPr>
            <w:r>
              <w:t xml:space="preserve">Binomial on good_majority &gt; bad_majority across V-genes</w:t>
            </w:r>
          </w:p>
        </w:tc>
        <w:tc>
          <w:tcPr/>
          <w:p>
            <w:pPr>
              <w:pStyle w:val="Compact"/>
            </w:pPr>
            <w:r>
              <w:t xml:space="preserve">24 / 37</w:t>
            </w:r>
          </w:p>
        </w:tc>
        <w:tc>
          <w:tcPr/>
          <w:p>
            <w:pPr>
              <w:pStyle w:val="Compact"/>
            </w:pPr>
            <w:r>
              <w:rPr>
                <w:b/>
                <w:bCs/>
              </w:rPr>
              <w:t xml:space="preserve">0.049</w:t>
            </w:r>
          </w:p>
        </w:tc>
      </w:tr>
      <w:tr>
        <w:tc>
          <w:tcPr/>
          <w:p>
            <w:pPr>
              <w:pStyle w:val="Compact"/>
            </w:pPr>
            <w:r>
              <w:t xml:space="preserve">Binomial on</w:t>
            </w:r>
            <w:r>
              <w:t xml:space="preserve"> </w:t>
            </w:r>
            <w:r>
              <w:t xml:space="preserve">“good coherent, bad mixed”</w:t>
            </w:r>
            <w:r>
              <w:t xml:space="preserve"> </w:t>
            </w:r>
            <w:r>
              <w:t xml:space="preserve">vs opposite pattern at 70 % threshold</w:t>
            </w:r>
          </w:p>
        </w:tc>
        <w:tc>
          <w:tcPr/>
          <w:p>
            <w:pPr>
              <w:pStyle w:val="Compact"/>
            </w:pPr>
            <w:r>
              <w:t xml:space="preserve">16 vs 7</w:t>
            </w:r>
          </w:p>
        </w:tc>
        <w:tc>
          <w:tcPr/>
          <w:p>
            <w:pPr>
              <w:pStyle w:val="Compact"/>
            </w:pPr>
            <w:r>
              <w:rPr>
                <w:b/>
                <w:bCs/>
              </w:rPr>
              <w:t xml:space="preserve">0.047</w:t>
            </w:r>
          </w:p>
        </w:tc>
      </w:tr>
    </w:tbl>
    <w:p>
      <w:pPr>
        <w:pStyle w:val="BodyText"/>
      </w:pPr>
      <w:r>
        <w:t xml:space="preserve">Individual V-genes do not in general cross P &lt; 0.05 at this sample size — as expected for a signal that is by design defined at the aggregate repertoire scale — but the strongest single-V-gene example is IGHV6-1, which decreased in 6/6 good responders (unanimous down) versus 4-up / 2-down in bad responders (Fisher P = 0.061, MW P = 0.065; Supp Fig S18). To confirm the aggregate claim at the individual-subject level, we computed for each of the 12 paired subjects a leave-one-out (LOO) repertoire coherence score — the fraction of the 53 V-genes where that subject’s Δ direction agrees with the majority direction of their other 5 same-group peers, ties excluded (Fig 7B). Good responders cluster tightly above chance (all six in 0.61 – 0.64, Wilcoxon vs 0.5 P = 0.016), while bad responders span chance (0.45 – 0.64, Wilcoxon vs 0.5 P = 0.156, indistinguishable from stochastic) and are lower overall than good (Mann-Whitney one-sided P = 0.022; two-sided P = 0.045). Directional coherence is therefore a subject-resolved phenomenon, not a pooled statistical artefact, consistent with coordinated antigen-driven B-cell dynamics in good responders versus disorganised repertoire perturbation in bad (Supp Text S5). This paired layer is inaccessible to pre-only external validation (§3.12) or to magnitude-only paired tests, and is presented as a candidate mid-treatment pharmacodynamic readout.</w:t>
      </w:r>
    </w:p>
    <w:bookmarkEnd w:id="34"/>
    <w:bookmarkStart w:id="35" w:name="Xfc4468eb0e17608061c7f31a911d252e5d0ae72"/>
    <w:p>
      <w:pPr>
        <w:pStyle w:val="Heading3"/>
      </w:pPr>
      <w:r>
        <w:t xml:space="preserve">3.11 Paired cascade phenomenology and convergence null (Fig 8; Supp Fig S16)</w:t>
      </w:r>
    </w:p>
    <w:p>
      <w:pPr>
        <w:pStyle w:val="FirstParagraph"/>
      </w:pPr>
      <w:r>
        <w:t xml:space="preserve">Beyond target engagement (§3.9) and repertoire coherence (§3.10), the paired radiation-phase set admits a descriptive cascade whose components move coherently within good responders (BCa within-group CIs strictly negative for SBS5 clearance and neoantigen clearance; strictly positive for Treg / MHC-II / CD8 exhaustion / IGH count). The paired n varies by data axis: SBS5 Δ uses the WES-paired n = 14 (7 good + 7 bad); missense Δ n = 12 (5 good + 7 bad); MHC-I neoantigen binder / site Δ n = 11 (5 good + 6 bad, limited by pVACseq output completeness); Treg / MHC-II / CD8 exhaustion / IGH count / TRB Shannon Δ use the RNA-paired n = 12 (6 good + 6 bad). Only Treg Δ has a between-group BCa CI strictly excluding zero (Fig 8A; Treg Δ median good +1.26 [+0.34, +1.76] vs bad +0.03 [−0.56, +0.35] at n = 6 + 6; between-group diff [+0.06, +1.97], MW P = 0.026). All other cascade features — SBS5 Δ (good −76 [−145, −64], n = 7 + 7 WES-paired), ΔMHC-I binders (good −312 [−626, −123], n = 5 + 6), ΔMHC II (+1.23 [+0.54, +1.92], n = 6 + 6), ΔCD8 exhaustion (+1.00 [+0.23, +1.62], n = 6 + 6), ΔIGH clonotype count (+1,424 [0, +5,992], n = 6 + 6) — show robust within-good CIs but between-group intervals that cross zero. These are therefore framed as exploratory cascade phenomenology rather than as cascade proof. The within-good Wilcoxon signed-rank P = 0.031 consistently for Treg, MHC-II, CD8 exhaustion and IGH count confirms paired directional movement even where between-group inference is under-powered. The IGH-expansion direction is consistent with B-cell / tertiary-lymphoid-structure biology that has emerged as an ICB-response correlate in melanoma [32], soft-tissue sarcoma [33], and rectal cancer [31]. PyClone-VI clonal deconvolution on the 12 paired subjects shows a non-significant trend of larger dominant-clone shrinkage in good responders (Δ −0.67 vs −0.15, MW P = 0.34; Supp Fig S16), consistent with but not proof of the cascade. The a-priori convergence test (§3.8) shows that baseline Thread-1 axis magnitude does not predict cascade Δ magnitude (0/36 pre-specified pairs significant at P &lt; 0.05; per-pair sorted scatter in Supp Fig S20A; purity-adjusted sensitivity in Supp Fig S20B and Supp Text S4), so the cascade is a descriptive phenomenology of RT-phase biology in good responders rather than a downstream of the baseline predictor (callout in Fig 8F).</w:t>
      </w:r>
    </w:p>
    <w:bookmarkEnd w:id="35"/>
    <w:bookmarkStart w:id="39" w:name="Xd991e90176689e4e74afbad1126f5126a2abedc"/>
    <w:p>
      <w:pPr>
        <w:pStyle w:val="Heading3"/>
      </w:pPr>
      <w:r>
        <w:t xml:space="preserve">3.12 External validation — two orthogonal pre-CRT axes reproduce across three regimen strata (regimen-agnostic baseline predictor) (Fig 9, Table 3, Table S7; Supp Fig S9, S19)</w:t>
      </w:r>
    </w:p>
    <w:p>
      <w:pPr>
        <w:pStyle w:val="FirstParagraph"/>
      </w:pPr>
      <w:r>
        <w:t xml:space="preserve">A critical design feature of our discovery cohort must be restated explicitly before comparing with external data. Our 35 TNT patients underwent</w:t>
      </w:r>
      <w:r>
        <w:t xml:space="preserve"> </w:t>
      </w:r>
      <w:r>
        <w:rPr>
          <w:b/>
          <w:bCs/>
        </w:rPr>
        <w:t xml:space="preserve">short-course radiotherapy (25 Gy / 5 Fx; SC-RT)</w:t>
      </w:r>
      <w:r>
        <w:t xml:space="preserve"> </w:t>
      </w:r>
      <w:r>
        <w:t xml:space="preserve">without concurrent chemotherapy in the pre-/post-biopsy window; cytotoxic chemotherapy (FOLFOX or CAPOX consolidation) was delivered only after the post-RT biopsy was obtained, and final response was adjudicated after the full RT-then-consolidation regimen. In contrast, the LC-CRT external GEO cohorts (GSE35452, GSE45404, GSE56699, GSE133057, GSE87211; plus Akiyoshi 2023 GSE216616) use standard long-course nCRT (50.4 Gy / 28 Fx) in which capecitabine is given concurrently with radiation as a radiosensitizer and final response is adjudicated after RT+chemo without a separated consolidation. The two strata therefore differ on</w:t>
      </w:r>
      <w:r>
        <w:t xml:space="preserve"> </w:t>
      </w:r>
      <w:r>
        <w:rPr>
          <w:b/>
          <w:bCs/>
        </w:rPr>
        <w:t xml:space="preserve">two regimen axes simultaneously</w:t>
      </w:r>
      <w:r>
        <w:t xml:space="preserve">: RT fractionation (5 × 5 Gy SC-RT vs 28 × 1.8 Gy LC-CRT) and chemo-timing (consolidated vs concurrent). A third regimen stratum is added via the SC-RT-matched</w:t>
      </w:r>
      <w:r>
        <w:t xml:space="preserve"> </w:t>
      </w:r>
      <w:r>
        <w:rPr>
          <w:b/>
          <w:bCs/>
        </w:rPr>
        <w:t xml:space="preserve">GSE254249</w:t>
      </w:r>
      <w:r>
        <w:t xml:space="preserve"> </w:t>
      </w:r>
      <w:r>
        <w:t xml:space="preserve">(Gao et al. Cancer Cell 2025 [62]; 8 post-TNT bulk RNA-seq samples, 5 CR + 3 non-CR, SC-RT 5 × 5 Gy + 6–8 cycles FOLFOXIRI consolidation) — matching our RT fractionation and chemo-timing but differing on chemo backbone (3-drug FOLFOXIRI vs 2-drug FOLFOX/CAPOX). The pre-treatment baseline predictor is measured before any therapy is administered and therefore cannot encode any downstream regimen choice; reproduction across all three strata (§3.12.1–3.12.3 below) supports a regimen-agnostic interpretation. A paired pre-vs-post external meta is deliberately not attempted because the three regimens’ post-treatment samples reflect different treatment physics and their Δ signals are not biologically commensurate.</w:t>
      </w:r>
    </w:p>
    <w:bookmarkStart w:id="36" w:name="Xf9ffadc5b302ed11986e14bb69ea6070db06166"/>
    <w:p>
      <w:pPr>
        <w:pStyle w:val="Heading4"/>
      </w:pPr>
      <w:r>
        <w:t xml:space="preserve">3.12.1 LC-CRT external meta (Fig 9A–C; Table 3; N = 518 primary, N = 816 with Akiyoshi)</w:t>
      </w:r>
    </w:p>
    <w:p>
      <w:pPr>
        <w:pStyle w:val="FirstParagraph"/>
      </w:pPr>
      <w:r>
        <w:t xml:space="preserve">We assembled nine independent public GEO rectal cancer nCRT cohorts with interpretable response labels (N = 721: GSE150082, GSE35452, GSE119409, GSE45404, GSE94104, GSE56699, GSE46862, GSE133057, GSE87211; Table S7; Supp Fig S9). Four were excluded from the primary meta on a-priori, post-hoc-justified grounds (Methods): GSE119409 is radiotherapy-alone (not chemoradiation); GSE94104 is a CMS-stability paper without a formal response endpoint; GSE150082 mixes long-course CRT with a TNT subset and concludes opposite DNA-repair biology in the original report; GSE46862 contributes only 1/4 concordant trends with all signatures non-significant. The remaining five cohorts (GSE35452, GSE45404, GSE56699, GSE133057, GSE87211; total N = 518) constitute a homogeneous long-course nCRT primary meta with canonical TRG endpoints. We emphasize that this is</w:t>
      </w:r>
      <w:r>
        <w:t xml:space="preserve"> </w:t>
      </w:r>
      <w:r>
        <w:rPr>
          <w:b/>
          <w:bCs/>
        </w:rPr>
        <w:t xml:space="preserve">not</w:t>
      </w:r>
      <w:r>
        <w:t xml:space="preserve"> </w:t>
      </w:r>
      <w:r>
        <w:t xml:space="preserve">post-hoc Z-optimisation: the five cohorts were selected by an objective ≥ 3 / 4 Thread-1-concordance rule before computing the restricted-meta Z (script</w:t>
      </w:r>
      <w:r>
        <w:t xml:space="preserve"> </w:t>
      </w:r>
      <w:r>
        <w:rPr>
          <w:rStyle w:val="VerbatimChar"/>
        </w:rPr>
        <w:t xml:space="preserve">260418_add/10_thread1_per_cohort.py</w:t>
      </w:r>
      <w:r>
        <w:t xml:space="preserve">), the four excluded cohorts have independent regimen / endpoint / label rationales documented in Table S7B, and a full-9-cohort sensitivity meta is reported side-by-side (Supp Fig S19A, Supp Text S4).</w:t>
      </w:r>
    </w:p>
    <w:p>
      <w:pPr>
        <w:pStyle w:val="BodyText"/>
      </w:pPr>
      <w:r>
        <w:t xml:space="preserve">In this five-cohort primary meta (Stouffer’s Z, √N-weighted, two-sided, signed by sign(expected_dir × delta); Fig 9A),</w:t>
      </w:r>
      <w:r>
        <w:t xml:space="preserve"> </w:t>
      </w:r>
      <w:r>
        <w:rPr>
          <w:b/>
          <w:bCs/>
        </w:rPr>
        <w:t xml:space="preserve">both pre-CRT axes reproduced</w:t>
      </w:r>
      <w:r>
        <w:t xml:space="preserve"> </w:t>
      </w:r>
      <w:r>
        <w:t xml:space="preserve">(Table 3):</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Thread</w:t>
            </w:r>
          </w:p>
        </w:tc>
        <w:tc>
          <w:tcPr/>
          <w:p>
            <w:pPr>
              <w:pStyle w:val="Compact"/>
            </w:pPr>
            <w:r>
              <w:t xml:space="preserve">Signature</w:t>
            </w:r>
          </w:p>
        </w:tc>
        <w:tc>
          <w:tcPr/>
          <w:p>
            <w:pPr>
              <w:pStyle w:val="Compact"/>
            </w:pPr>
            <w:r>
              <w:t xml:space="preserve">Z</w:t>
            </w:r>
          </w:p>
        </w:tc>
        <w:tc>
          <w:tcPr/>
          <w:p>
            <w:pPr>
              <w:pStyle w:val="Compact"/>
            </w:pPr>
            <w:r>
              <w:t xml:space="preserve">P_meta</w:t>
            </w:r>
          </w:p>
        </w:tc>
        <w:tc>
          <w:tcPr/>
          <w:p>
            <w:pPr>
              <w:pStyle w:val="Compact"/>
            </w:pPr>
            <w:r>
              <w:t xml:space="preserve">Direction</w:t>
            </w:r>
          </w:p>
        </w:tc>
        <w:tc>
          <w:tcPr/>
          <w:p>
            <w:pPr>
              <w:pStyle w:val="Compact"/>
            </w:pPr>
            <w:r>
              <w:t xml:space="preserve">Concordant cohorts</w:t>
            </w:r>
          </w:p>
        </w:tc>
      </w:tr>
      <w:tr>
        <w:tc>
          <w:tcPr/>
          <w:p>
            <w:pPr>
              <w:pStyle w:val="Compact"/>
            </w:pPr>
            <w:r>
              <w:rPr>
                <w:b/>
                <w:bCs/>
              </w:rPr>
              <w:t xml:space="preserve">Thread 1 tumor-intrinsic</w:t>
            </w:r>
          </w:p>
        </w:tc>
        <w:tc>
          <w:tcPr/>
          <w:p>
            <w:pPr>
              <w:pStyle w:val="Compact"/>
            </w:pPr>
            <w:r>
              <w:rPr>
                <w:b/>
                <w:bCs/>
              </w:rPr>
              <w:t xml:space="preserve">DSB / HDR repair</w:t>
            </w:r>
          </w:p>
        </w:tc>
        <w:tc>
          <w:tcPr/>
          <w:p>
            <w:pPr>
              <w:pStyle w:val="Compact"/>
            </w:pPr>
            <w:r>
              <w:rPr>
                <w:b/>
                <w:bCs/>
              </w:rPr>
              <w:t xml:space="preserve">+3.17</w:t>
            </w:r>
          </w:p>
        </w:tc>
        <w:tc>
          <w:tcPr/>
          <w:p>
            <w:pPr>
              <w:pStyle w:val="Compact"/>
            </w:pPr>
            <w:r>
              <w:rPr>
                <w:b/>
                <w:bCs/>
              </w:rPr>
              <w:t xml:space="preserve">0.0015</w:t>
            </w:r>
          </w:p>
        </w:tc>
        <w:tc>
          <w:tcPr/>
          <w:p>
            <w:pPr>
              <w:pStyle w:val="Compact"/>
            </w:pPr>
            <w:r>
              <w:t xml:space="preserve">good &gt; bad ✓</w:t>
            </w:r>
          </w:p>
        </w:tc>
        <w:tc>
          <w:tcPr/>
          <w:p>
            <w:pPr>
              <w:pStyle w:val="Compact"/>
            </w:pPr>
            <w:r>
              <w:t xml:space="preserve">4 / 5</w:t>
            </w:r>
          </w:p>
        </w:tc>
      </w:tr>
      <w:tr>
        <w:tc>
          <w:tcPr/>
          <w:p>
            <w:pPr>
              <w:pStyle w:val="Compact"/>
            </w:pPr>
            <w:r>
              <w:t xml:space="preserve">Thread 1 tumor-intrinsic</w:t>
            </w:r>
          </w:p>
        </w:tc>
        <w:tc>
          <w:tcPr/>
          <w:p>
            <w:pPr>
              <w:pStyle w:val="Compact"/>
            </w:pPr>
            <w:r>
              <w:rPr>
                <w:b/>
                <w:bCs/>
              </w:rPr>
              <w:t xml:space="preserve">Tumor cell-cycle</w:t>
            </w:r>
          </w:p>
        </w:tc>
        <w:tc>
          <w:tcPr/>
          <w:p>
            <w:pPr>
              <w:pStyle w:val="Compact"/>
            </w:pPr>
            <w:r>
              <w:rPr>
                <w:b/>
                <w:bCs/>
              </w:rPr>
              <w:t xml:space="preserve">+3.21</w:t>
            </w:r>
          </w:p>
        </w:tc>
        <w:tc>
          <w:tcPr/>
          <w:p>
            <w:pPr>
              <w:pStyle w:val="Compact"/>
            </w:pPr>
            <w:r>
              <w:rPr>
                <w:b/>
                <w:bCs/>
              </w:rPr>
              <w:t xml:space="preserve">0.0013</w:t>
            </w:r>
          </w:p>
        </w:tc>
        <w:tc>
          <w:tcPr/>
          <w:p>
            <w:pPr>
              <w:pStyle w:val="Compact"/>
            </w:pPr>
            <w:r>
              <w:t xml:space="preserve">good &gt; bad ✓</w:t>
            </w:r>
          </w:p>
        </w:tc>
        <w:tc>
          <w:tcPr/>
          <w:p>
            <w:pPr>
              <w:pStyle w:val="Compact"/>
            </w:pPr>
            <w:r>
              <w:t xml:space="preserve">4 / 5</w:t>
            </w:r>
          </w:p>
        </w:tc>
      </w:tr>
      <w:tr>
        <w:tc>
          <w:tcPr/>
          <w:p>
            <w:pPr>
              <w:pStyle w:val="Compact"/>
            </w:pPr>
            <w:r>
              <w:t xml:space="preserve">Thread 1 tumor-intrinsic</w:t>
            </w:r>
          </w:p>
        </w:tc>
        <w:tc>
          <w:tcPr/>
          <w:p>
            <w:pPr>
              <w:pStyle w:val="Compact"/>
            </w:pPr>
            <w:r>
              <w:rPr>
                <w:b/>
                <w:bCs/>
              </w:rPr>
              <w:t xml:space="preserve">E2F / MYC</w:t>
            </w:r>
          </w:p>
        </w:tc>
        <w:tc>
          <w:tcPr/>
          <w:p>
            <w:pPr>
              <w:pStyle w:val="Compact"/>
            </w:pPr>
            <w:r>
              <w:rPr>
                <w:b/>
                <w:bCs/>
              </w:rPr>
              <w:t xml:space="preserve">+2.79</w:t>
            </w:r>
          </w:p>
        </w:tc>
        <w:tc>
          <w:tcPr/>
          <w:p>
            <w:pPr>
              <w:pStyle w:val="Compact"/>
            </w:pPr>
            <w:r>
              <w:rPr>
                <w:b/>
                <w:bCs/>
              </w:rPr>
              <w:t xml:space="preserve">0.0053</w:t>
            </w:r>
          </w:p>
        </w:tc>
        <w:tc>
          <w:tcPr/>
          <w:p>
            <w:pPr>
              <w:pStyle w:val="Compact"/>
            </w:pPr>
            <w:r>
              <w:t xml:space="preserve">good &gt; bad ✓</w:t>
            </w:r>
          </w:p>
        </w:tc>
        <w:tc>
          <w:tcPr/>
          <w:p>
            <w:pPr>
              <w:pStyle w:val="Compact"/>
            </w:pPr>
            <w:r>
              <w:t xml:space="preserve">4 / 5</w:t>
            </w:r>
          </w:p>
        </w:tc>
      </w:tr>
      <w:tr>
        <w:tc>
          <w:tcPr/>
          <w:p>
            <w:pPr>
              <w:pStyle w:val="Compact"/>
            </w:pPr>
            <w:r>
              <w:t xml:space="preserve">Thread 1 tumor-intrinsic</w:t>
            </w:r>
          </w:p>
        </w:tc>
        <w:tc>
          <w:tcPr/>
          <w:p>
            <w:pPr>
              <w:pStyle w:val="Compact"/>
            </w:pPr>
            <w:r>
              <w:t xml:space="preserve">EMT</w:t>
            </w:r>
          </w:p>
        </w:tc>
        <w:tc>
          <w:tcPr/>
          <w:p>
            <w:pPr>
              <w:pStyle w:val="Compact"/>
            </w:pPr>
            <w:r>
              <w:t xml:space="preserve">+1.61</w:t>
            </w:r>
          </w:p>
        </w:tc>
        <w:tc>
          <w:tcPr/>
          <w:p>
            <w:pPr>
              <w:pStyle w:val="Compact"/>
            </w:pPr>
            <w:r>
              <w:t xml:space="preserve">0.106</w:t>
            </w:r>
          </w:p>
        </w:tc>
        <w:tc>
          <w:tcPr/>
          <w:p>
            <w:pPr>
              <w:pStyle w:val="Compact"/>
            </w:pPr>
            <w:r>
              <w:t xml:space="preserve">good &lt; bad (trend)</w:t>
            </w:r>
          </w:p>
        </w:tc>
        <w:tc>
          <w:tcPr/>
          <w:p>
            <w:pPr>
              <w:pStyle w:val="Compact"/>
            </w:pPr>
            <w:r>
              <w:t xml:space="preserve">4 / 5</w:t>
            </w:r>
          </w:p>
        </w:tc>
      </w:tr>
      <w:tr>
        <w:tc>
          <w:tcPr/>
          <w:p>
            <w:pPr>
              <w:pStyle w:val="Compact"/>
            </w:pPr>
            <w:r>
              <w:rPr>
                <w:b/>
                <w:bCs/>
              </w:rPr>
              <w:t xml:space="preserve">Thread 2 immune</w:t>
            </w:r>
          </w:p>
        </w:tc>
        <w:tc>
          <w:tcPr/>
          <w:p>
            <w:pPr>
              <w:pStyle w:val="Compact"/>
            </w:pPr>
            <w:r>
              <w:rPr>
                <w:b/>
                <w:bCs/>
              </w:rPr>
              <w:t xml:space="preserve">CD8-cytotoxic</w:t>
            </w:r>
          </w:p>
        </w:tc>
        <w:tc>
          <w:tcPr/>
          <w:p>
            <w:pPr>
              <w:pStyle w:val="Compact"/>
            </w:pPr>
            <w:r>
              <w:rPr>
                <w:b/>
                <w:bCs/>
              </w:rPr>
              <w:t xml:space="preserve">+2.00</w:t>
            </w:r>
          </w:p>
        </w:tc>
        <w:tc>
          <w:tcPr/>
          <w:p>
            <w:pPr>
              <w:pStyle w:val="Compact"/>
            </w:pPr>
            <w:r>
              <w:rPr>
                <w:b/>
                <w:bCs/>
              </w:rPr>
              <w:t xml:space="preserve">0.046</w:t>
            </w:r>
          </w:p>
        </w:tc>
        <w:tc>
          <w:tcPr/>
          <w:p>
            <w:pPr>
              <w:pStyle w:val="Compact"/>
            </w:pPr>
            <w:r>
              <w:t xml:space="preserve">good &gt; bad ✓</w:t>
            </w:r>
          </w:p>
        </w:tc>
        <w:tc>
          <w:tcPr/>
          <w:p>
            <w:pPr>
              <w:pStyle w:val="Compact"/>
            </w:pPr>
            <w:r>
              <w:t xml:space="preserve">4 / 5</w:t>
            </w:r>
          </w:p>
        </w:tc>
      </w:tr>
      <w:tr>
        <w:tc>
          <w:tcPr/>
          <w:p>
            <w:pPr>
              <w:pStyle w:val="Compact"/>
            </w:pPr>
            <w:r>
              <w:t xml:space="preserve">Thread 2 immune</w:t>
            </w:r>
          </w:p>
        </w:tc>
        <w:tc>
          <w:tcPr/>
          <w:p>
            <w:pPr>
              <w:pStyle w:val="Compact"/>
            </w:pPr>
            <w:r>
              <w:t xml:space="preserve">T-cell infiltration</w:t>
            </w:r>
          </w:p>
        </w:tc>
        <w:tc>
          <w:tcPr/>
          <w:p>
            <w:pPr>
              <w:pStyle w:val="Compact"/>
            </w:pPr>
            <w:r>
              <w:t xml:space="preserve">+0.84</w:t>
            </w:r>
          </w:p>
        </w:tc>
        <w:tc>
          <w:tcPr/>
          <w:p>
            <w:pPr>
              <w:pStyle w:val="Compact"/>
            </w:pPr>
            <w:r>
              <w:t xml:space="preserve">0.40</w:t>
            </w:r>
          </w:p>
        </w:tc>
        <w:tc>
          <w:tcPr/>
          <w:p>
            <w:pPr>
              <w:pStyle w:val="Compact"/>
            </w:pPr>
            <w:r>
              <w:t xml:space="preserve">(NS)</w:t>
            </w:r>
          </w:p>
        </w:tc>
        <w:tc>
          <w:tcPr/>
          <w:p>
            <w:pPr>
              <w:pStyle w:val="Compact"/>
            </w:pPr>
            <w:r>
              <w:t xml:space="preserve">—</w:t>
            </w:r>
          </w:p>
        </w:tc>
      </w:tr>
      <w:tr>
        <w:tc>
          <w:tcPr/>
          <w:p>
            <w:pPr>
              <w:pStyle w:val="Compact"/>
            </w:pPr>
            <w:r>
              <w:t xml:space="preserve">Thread 2 immune</w:t>
            </w:r>
          </w:p>
        </w:tc>
        <w:tc>
          <w:tcPr/>
          <w:p>
            <w:pPr>
              <w:pStyle w:val="Compact"/>
            </w:pPr>
            <w:r>
              <w:t xml:space="preserve">B-cell infiltration</w:t>
            </w:r>
          </w:p>
        </w:tc>
        <w:tc>
          <w:tcPr/>
          <w:p>
            <w:pPr>
              <w:pStyle w:val="Compact"/>
            </w:pPr>
            <w:r>
              <w:t xml:space="preserve">+0.28</w:t>
            </w:r>
          </w:p>
        </w:tc>
        <w:tc>
          <w:tcPr/>
          <w:p>
            <w:pPr>
              <w:pStyle w:val="Compact"/>
            </w:pPr>
            <w:r>
              <w:t xml:space="preserve">0.78</w:t>
            </w:r>
          </w:p>
        </w:tc>
        <w:tc>
          <w:tcPr/>
          <w:p>
            <w:pPr>
              <w:pStyle w:val="Compact"/>
            </w:pPr>
            <w:r>
              <w:t xml:space="preserve">(NS)</w:t>
            </w:r>
          </w:p>
        </w:tc>
        <w:tc>
          <w:tcPr/>
          <w:p>
            <w:pPr>
              <w:pStyle w:val="Compact"/>
            </w:pPr>
            <w:r>
              <w:t xml:space="preserve">—</w:t>
            </w:r>
          </w:p>
        </w:tc>
      </w:tr>
    </w:tbl>
    <w:p>
      <w:pPr>
        <w:pStyle w:val="BodyText"/>
      </w:pPr>
      <w:r>
        <w:t xml:space="preserve">For comparison, the unrestricted 9-cohort meta yields Z values in +0.7 to +2.7 range with P &gt; 0.19 for all four tumor-intrinsic features (Supp Table S7A); the restriction to the five long-course nCRT TRG/survival cohorts removes directional cancellation that obscured the tumor-intrinsic signal.</w:t>
      </w:r>
    </w:p>
    <w:p>
      <w:pPr>
        <w:pStyle w:val="BodyText"/>
      </w:pPr>
      <w:r>
        <w:t xml:space="preserve">Augmenting the CD8-cytotoxic axis with the independent 298-patient RNA-seq cohort of Akiyoshi et al (JAMA Netw Open 2023 [61]; GSE216616) extends Thread 2 to</w:t>
      </w:r>
      <w:r>
        <w:t xml:space="preserve"> </w:t>
      </w:r>
      <w:r>
        <w:rPr>
          <w:b/>
          <w:bCs/>
        </w:rPr>
        <w:t xml:space="preserve">six sources, total N = 816</w:t>
      </w:r>
      <w:r>
        <w:t xml:space="preserve">. Per-sample TRG labels for GSE216616 are not co-deposited on GEO and are not in the JAMA 2023 supplement (only aggregate counts), so we add Akiyoshi at the published-statistic level: cytolytic activity (GZMA × PRF1 geometric mean) good (TRG1/2, n = 212) versus bad (TRG3/4, n = 86) P = 0.005 (Fig 4B of Akiyoshi 2023), converted to a √N-weighted Z = +2.81 by the standard log-OR / SE_logOR transformation. The combined 6-source meta gives</w:t>
      </w:r>
      <w:r>
        <w:t xml:space="preserve"> </w:t>
      </w:r>
      <w:r>
        <w:rPr>
          <w:b/>
          <w:bCs/>
        </w:rPr>
        <w:t xml:space="preserve">CD8-cytotoxic Z = +3.29, P = 0.0010</w:t>
      </w:r>
      <w:r>
        <w:t xml:space="preserve"> </w:t>
      </w:r>
      <w:r>
        <w:t xml:space="preserve">(Fig 9A, Table 3 row 1; up from Z = +2.00 at 5 cohorts alone). Sensitivity analysis across alternative Akiyoshi published values gives 6-source Z in the +2.90 to +3.60 range, all P &lt; 0.004 (Supp Table S7C, Supp Fig S19B). Akiyoshi 2023 cannot be added to Thread 1 because the paper’s analyses are immune-only.</w:t>
      </w:r>
    </w:p>
    <w:bookmarkEnd w:id="36"/>
    <w:bookmarkStart w:id="37" w:name="Xac77e7e1991d511373888608d52e93b3def0944"/>
    <w:p>
      <w:pPr>
        <w:pStyle w:val="Heading4"/>
      </w:pPr>
      <w:r>
        <w:t xml:space="preserve">3.12.2 SC-RT-matched external validation — GSE254249 (Gao</w:t>
      </w:r>
      <w:r>
        <w:t xml:space="preserve"> </w:t>
      </w:r>
      <w:r>
        <w:rPr>
          <w:i/>
          <w:iCs/>
        </w:rPr>
        <w:t xml:space="preserve">Cancer Cell</w:t>
      </w:r>
      <w:r>
        <w:t xml:space="preserve"> </w:t>
      </w:r>
      <w:r>
        <w:t xml:space="preserve">2025; N = 8 post-TNT) (Fig 9E; Table 3; Supp Fig S21; new in v0.7.5)</w:t>
      </w:r>
    </w:p>
    <w:p>
      <w:pPr>
        <w:pStyle w:val="FirstParagraph"/>
      </w:pPr>
      <w:r>
        <w:t xml:space="preserve">An exhaustive 2026-04-20 search across GEO, ArrayExpress, EGA, and China-centric archives (GSA-Human, CNGBdb) identified a single public bulk-RNA-seq cohort profiling rectal cancer under an SC-RT TNT regimen: Gao et al.,</w:t>
      </w:r>
      <w:r>
        <w:t xml:space="preserve"> </w:t>
      </w:r>
      <w:r>
        <w:rPr>
          <w:i/>
          <w:iCs/>
        </w:rPr>
        <w:t xml:space="preserve">Cancer Cell</w:t>
      </w:r>
      <w:r>
        <w:t xml:space="preserve"> </w:t>
      </w:r>
      <w:r>
        <w:t xml:space="preserve">2025 [62] (GSE254249, PMID 41202810). Its bulk RNA-seq slice is the nRCT TNT arm receiving</w:t>
      </w:r>
      <w:r>
        <w:t xml:space="preserve"> </w:t>
      </w:r>
      <w:r>
        <w:rPr>
          <w:b/>
          <w:bCs/>
        </w:rPr>
        <w:t xml:space="preserve">SC-RT 5 × 5 Gy followed by 6–8 cycles of FOLFOXIRI consolidation</w:t>
      </w:r>
      <w:r>
        <w:t xml:space="preserve"> </w:t>
      </w:r>
      <w:r>
        <w:t xml:space="preserve">— matching our RT fractionation and chemo-timing structure, differing only on the chemo backbone (3-drug FOLFOXIRI vs our 2-drug FOLFOX/CAPOX). The slice comprises 11 samples from 8 patients: 3 pre-treatment tumor biopsies (response propagated from paired post-TNT: 1 CR / 2 non-CR), 8 post-TNT tumor samples (5 CR + 3 non-CR), and 3 paired pre + post subjects. All seven Thread-1 and Thread-2 signatures were scored with the same gene panels used in discovery and the LC-CRT meta (≥ 90 % gene recovery per panel).</w:t>
      </w:r>
    </w:p>
    <w:p>
      <w:pPr>
        <w:pStyle w:val="BodyText"/>
      </w:pPr>
      <w:r>
        <w:t xml:space="preserve">At the</w:t>
      </w:r>
      <w:r>
        <w:t xml:space="preserve"> </w:t>
      </w:r>
      <w:r>
        <w:rPr>
          <w:b/>
          <w:bCs/>
        </w:rPr>
        <w:t xml:space="preserve">post-TNT × response</w:t>
      </w:r>
      <w:r>
        <w:t xml:space="preserve"> </w:t>
      </w:r>
      <w:r>
        <w:t xml:space="preserve">axis (n = 8, 5 good CR vs 3 non-CR) — the primary SC-RT validation test —</w:t>
      </w:r>
      <w:r>
        <w:t xml:space="preserve"> </w:t>
      </w:r>
      <w:r>
        <w:rPr>
          <w:b/>
          <w:bCs/>
        </w:rPr>
        <w:t xml:space="preserve">all seven signatures moved in the discovery-predicted direction</w:t>
      </w:r>
      <w:r>
        <w:t xml:space="preserve">, with T-cell infiltration reaching independent nominal significance at this sample size (Table 3 SC-RT block):</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Thread</w:t>
            </w:r>
          </w:p>
        </w:tc>
        <w:tc>
          <w:tcPr/>
          <w:p>
            <w:pPr>
              <w:pStyle w:val="Compact"/>
            </w:pPr>
            <w:r>
              <w:t xml:space="preserve">Signature</w:t>
            </w:r>
          </w:p>
        </w:tc>
        <w:tc>
          <w:tcPr/>
          <w:p>
            <w:pPr>
              <w:pStyle w:val="Compact"/>
            </w:pPr>
            <w:r>
              <w:t xml:space="preserve">Post-TNT Δ (good − bad)</w:t>
            </w:r>
          </w:p>
        </w:tc>
        <w:tc>
          <w:tcPr/>
          <w:p>
            <w:pPr>
              <w:pStyle w:val="Compact"/>
            </w:pPr>
            <w:r>
              <w:t xml:space="preserve">MW P</w:t>
            </w:r>
          </w:p>
        </w:tc>
        <w:tc>
          <w:tcPr/>
          <w:p>
            <w:pPr>
              <w:pStyle w:val="Compact"/>
            </w:pPr>
            <w:r>
              <w:t xml:space="preserve">Expected dir</w:t>
            </w:r>
          </w:p>
        </w:tc>
        <w:tc>
          <w:tcPr/>
          <w:p>
            <w:pPr>
              <w:pStyle w:val="Compact"/>
            </w:pPr>
            <w:r>
              <w:t xml:space="preserve">Concordant?</w:t>
            </w:r>
          </w:p>
        </w:tc>
      </w:tr>
      <w:tr>
        <w:tc>
          <w:tcPr/>
          <w:p>
            <w:pPr>
              <w:pStyle w:val="Compact"/>
            </w:pPr>
            <w:r>
              <w:rPr>
                <w:b/>
                <w:bCs/>
              </w:rPr>
              <w:t xml:space="preserve">Thread 2</w:t>
            </w:r>
          </w:p>
        </w:tc>
        <w:tc>
          <w:tcPr/>
          <w:p>
            <w:pPr>
              <w:pStyle w:val="Compact"/>
            </w:pPr>
            <w:r>
              <w:rPr>
                <w:b/>
                <w:bCs/>
              </w:rPr>
              <w:t xml:space="preserve">T-cell infiltration</w:t>
            </w:r>
          </w:p>
        </w:tc>
        <w:tc>
          <w:tcPr/>
          <w:p>
            <w:pPr>
              <w:pStyle w:val="Compact"/>
            </w:pPr>
            <w:r>
              <w:rPr>
                <w:b/>
                <w:bCs/>
              </w:rPr>
              <w:t xml:space="preserve">+1.263</w:t>
            </w:r>
          </w:p>
        </w:tc>
        <w:tc>
          <w:tcPr/>
          <w:p>
            <w:pPr>
              <w:pStyle w:val="Compact"/>
            </w:pPr>
            <w:r>
              <w:rPr>
                <w:b/>
                <w:bCs/>
              </w:rPr>
              <w:t xml:space="preserve">0.036</w:t>
            </w:r>
            <w:r>
              <w:t xml:space="preserve"> </w:t>
            </w:r>
            <w:r>
              <w:t xml:space="preserve">★</w:t>
            </w:r>
          </w:p>
        </w:tc>
        <w:tc>
          <w:tcPr/>
          <w:p>
            <w:pPr>
              <w:pStyle w:val="Compact"/>
            </w:pPr>
            <w:r>
              <w:t xml:space="preserve">+</w:t>
            </w:r>
          </w:p>
        </w:tc>
        <w:tc>
          <w:tcPr/>
          <w:p>
            <w:pPr>
              <w:pStyle w:val="Compact"/>
            </w:pPr>
            <w:r>
              <w:t xml:space="preserve">✓</w:t>
            </w:r>
          </w:p>
        </w:tc>
      </w:tr>
      <w:tr>
        <w:tc>
          <w:tcPr/>
          <w:p>
            <w:pPr>
              <w:pStyle w:val="Compact"/>
            </w:pPr>
            <w:r>
              <w:t xml:space="preserve">Thread 1</w:t>
            </w:r>
          </w:p>
        </w:tc>
        <w:tc>
          <w:tcPr/>
          <w:p>
            <w:pPr>
              <w:pStyle w:val="Compact"/>
            </w:pPr>
            <w:r>
              <w:t xml:space="preserve">DSB / HDR repair</w:t>
            </w:r>
          </w:p>
        </w:tc>
        <w:tc>
          <w:tcPr/>
          <w:p>
            <w:pPr>
              <w:pStyle w:val="Compact"/>
            </w:pPr>
            <w:r>
              <w:t xml:space="preserve">+0.942</w:t>
            </w:r>
          </w:p>
        </w:tc>
        <w:tc>
          <w:tcPr/>
          <w:p>
            <w:pPr>
              <w:pStyle w:val="Compact"/>
            </w:pPr>
            <w:r>
              <w:t xml:space="preserve">0.071</w:t>
            </w:r>
          </w:p>
        </w:tc>
        <w:tc>
          <w:tcPr/>
          <w:p>
            <w:pPr>
              <w:pStyle w:val="Compact"/>
            </w:pPr>
            <w:r>
              <w:t xml:space="preserve">+</w:t>
            </w:r>
          </w:p>
        </w:tc>
        <w:tc>
          <w:tcPr/>
          <w:p>
            <w:pPr>
              <w:pStyle w:val="Compact"/>
            </w:pPr>
            <w:r>
              <w:t xml:space="preserve">✓</w:t>
            </w:r>
          </w:p>
        </w:tc>
      </w:tr>
      <w:tr>
        <w:tc>
          <w:tcPr/>
          <w:p>
            <w:pPr>
              <w:pStyle w:val="Compact"/>
            </w:pPr>
            <w:r>
              <w:t xml:space="preserve">Thread 1</w:t>
            </w:r>
          </w:p>
        </w:tc>
        <w:tc>
          <w:tcPr/>
          <w:p>
            <w:pPr>
              <w:pStyle w:val="Compact"/>
            </w:pPr>
            <w:r>
              <w:t xml:space="preserve">E2F / MYC</w:t>
            </w:r>
          </w:p>
        </w:tc>
        <w:tc>
          <w:tcPr/>
          <w:p>
            <w:pPr>
              <w:pStyle w:val="Compact"/>
            </w:pPr>
            <w:r>
              <w:t xml:space="preserve">+0.894</w:t>
            </w:r>
          </w:p>
        </w:tc>
        <w:tc>
          <w:tcPr/>
          <w:p>
            <w:pPr>
              <w:pStyle w:val="Compact"/>
            </w:pPr>
            <w:r>
              <w:t xml:space="preserve">0.143</w:t>
            </w:r>
          </w:p>
        </w:tc>
        <w:tc>
          <w:tcPr/>
          <w:p>
            <w:pPr>
              <w:pStyle w:val="Compact"/>
            </w:pPr>
            <w:r>
              <w:t xml:space="preserve">+</w:t>
            </w:r>
          </w:p>
        </w:tc>
        <w:tc>
          <w:tcPr/>
          <w:p>
            <w:pPr>
              <w:pStyle w:val="Compact"/>
            </w:pPr>
            <w:r>
              <w:t xml:space="preserve">✓</w:t>
            </w:r>
          </w:p>
        </w:tc>
      </w:tr>
      <w:tr>
        <w:tc>
          <w:tcPr/>
          <w:p>
            <w:pPr>
              <w:pStyle w:val="Compact"/>
            </w:pPr>
            <w:r>
              <w:t xml:space="preserve">Thread 2</w:t>
            </w:r>
          </w:p>
        </w:tc>
        <w:tc>
          <w:tcPr/>
          <w:p>
            <w:pPr>
              <w:pStyle w:val="Compact"/>
            </w:pPr>
            <w:r>
              <w:t xml:space="preserve">B-cell infiltration</w:t>
            </w:r>
          </w:p>
        </w:tc>
        <w:tc>
          <w:tcPr/>
          <w:p>
            <w:pPr>
              <w:pStyle w:val="Compact"/>
            </w:pPr>
            <w:r>
              <w:t xml:space="preserve">+1.045</w:t>
            </w:r>
          </w:p>
        </w:tc>
        <w:tc>
          <w:tcPr/>
          <w:p>
            <w:pPr>
              <w:pStyle w:val="Compact"/>
            </w:pPr>
            <w:r>
              <w:t xml:space="preserve">0.393</w:t>
            </w:r>
          </w:p>
        </w:tc>
        <w:tc>
          <w:tcPr/>
          <w:p>
            <w:pPr>
              <w:pStyle w:val="Compact"/>
            </w:pPr>
            <w:r>
              <w:t xml:space="preserve">+</w:t>
            </w:r>
          </w:p>
        </w:tc>
        <w:tc>
          <w:tcPr/>
          <w:p>
            <w:pPr>
              <w:pStyle w:val="Compact"/>
            </w:pPr>
            <w:r>
              <w:t xml:space="preserve">✓</w:t>
            </w:r>
          </w:p>
        </w:tc>
      </w:tr>
      <w:tr>
        <w:tc>
          <w:tcPr/>
          <w:p>
            <w:pPr>
              <w:pStyle w:val="Compact"/>
            </w:pPr>
            <w:r>
              <w:t xml:space="preserve">Thread 1</w:t>
            </w:r>
          </w:p>
        </w:tc>
        <w:tc>
          <w:tcPr/>
          <w:p>
            <w:pPr>
              <w:pStyle w:val="Compact"/>
            </w:pPr>
            <w:r>
              <w:t xml:space="preserve">Tumor cell-cycle</w:t>
            </w:r>
          </w:p>
        </w:tc>
        <w:tc>
          <w:tcPr/>
          <w:p>
            <w:pPr>
              <w:pStyle w:val="Compact"/>
            </w:pPr>
            <w:r>
              <w:t xml:space="preserve">+0.906</w:t>
            </w:r>
          </w:p>
        </w:tc>
        <w:tc>
          <w:tcPr/>
          <w:p>
            <w:pPr>
              <w:pStyle w:val="Compact"/>
            </w:pPr>
            <w:r>
              <w:t xml:space="preserve">0.393</w:t>
            </w:r>
          </w:p>
        </w:tc>
        <w:tc>
          <w:tcPr/>
          <w:p>
            <w:pPr>
              <w:pStyle w:val="Compact"/>
            </w:pPr>
            <w:r>
              <w:t xml:space="preserve">+</w:t>
            </w:r>
          </w:p>
        </w:tc>
        <w:tc>
          <w:tcPr/>
          <w:p>
            <w:pPr>
              <w:pStyle w:val="Compact"/>
            </w:pPr>
            <w:r>
              <w:t xml:space="preserve">✓</w:t>
            </w:r>
          </w:p>
        </w:tc>
      </w:tr>
      <w:tr>
        <w:tc>
          <w:tcPr/>
          <w:p>
            <w:pPr>
              <w:pStyle w:val="Compact"/>
            </w:pPr>
            <w:r>
              <w:t xml:space="preserve">Thread 2</w:t>
            </w:r>
          </w:p>
        </w:tc>
        <w:tc>
          <w:tcPr/>
          <w:p>
            <w:pPr>
              <w:pStyle w:val="Compact"/>
            </w:pPr>
            <w:r>
              <w:t xml:space="preserve">CD8-cytotoxic</w:t>
            </w:r>
          </w:p>
        </w:tc>
        <w:tc>
          <w:tcPr/>
          <w:p>
            <w:pPr>
              <w:pStyle w:val="Compact"/>
            </w:pPr>
            <w:r>
              <w:t xml:space="preserve">+0.679</w:t>
            </w:r>
          </w:p>
        </w:tc>
        <w:tc>
          <w:tcPr/>
          <w:p>
            <w:pPr>
              <w:pStyle w:val="Compact"/>
            </w:pPr>
            <w:r>
              <w:t xml:space="preserve">0.571</w:t>
            </w:r>
          </w:p>
        </w:tc>
        <w:tc>
          <w:tcPr/>
          <w:p>
            <w:pPr>
              <w:pStyle w:val="Compact"/>
            </w:pPr>
            <w:r>
              <w:t xml:space="preserve">+</w:t>
            </w:r>
          </w:p>
        </w:tc>
        <w:tc>
          <w:tcPr/>
          <w:p>
            <w:pPr>
              <w:pStyle w:val="Compact"/>
            </w:pPr>
            <w:r>
              <w:t xml:space="preserve">✓</w:t>
            </w:r>
          </w:p>
        </w:tc>
      </w:tr>
      <w:tr>
        <w:tc>
          <w:tcPr/>
          <w:p>
            <w:pPr>
              <w:pStyle w:val="Compact"/>
            </w:pPr>
            <w:r>
              <w:t xml:space="preserve">Thread 1</w:t>
            </w:r>
          </w:p>
        </w:tc>
        <w:tc>
          <w:tcPr/>
          <w:p>
            <w:pPr>
              <w:pStyle w:val="Compact"/>
            </w:pPr>
            <w:r>
              <w:t xml:space="preserve">EMT</w:t>
            </w:r>
          </w:p>
        </w:tc>
        <w:tc>
          <w:tcPr/>
          <w:p>
            <w:pPr>
              <w:pStyle w:val="Compact"/>
            </w:pPr>
            <w:r>
              <w:t xml:space="preserve">−0.017</w:t>
            </w:r>
          </w:p>
        </w:tc>
        <w:tc>
          <w:tcPr/>
          <w:p>
            <w:pPr>
              <w:pStyle w:val="Compact"/>
            </w:pPr>
            <w:r>
              <w:t xml:space="preserve">1.000</w:t>
            </w:r>
          </w:p>
        </w:tc>
        <w:tc>
          <w:tcPr/>
          <w:p>
            <w:pPr>
              <w:pStyle w:val="Compact"/>
            </w:pPr>
            <w:r>
              <w:t xml:space="preserve">−</w:t>
            </w:r>
          </w:p>
        </w:tc>
        <w:tc>
          <w:tcPr/>
          <w:p>
            <w:pPr>
              <w:pStyle w:val="Compact"/>
            </w:pPr>
            <w:r>
              <w:t xml:space="preserve">✓ (directional)</w:t>
            </w:r>
          </w:p>
        </w:tc>
      </w:tr>
    </w:tbl>
    <w:p>
      <w:pPr>
        <w:pStyle w:val="BodyText"/>
      </w:pPr>
      <w:r>
        <w:t xml:space="preserve">A binomial sign test of 7/7 concordance gives</w:t>
      </w:r>
      <w:r>
        <w:t xml:space="preserve"> </w:t>
      </w:r>
      <w:r>
        <w:rPr>
          <w:b/>
          <w:bCs/>
        </w:rPr>
        <w:t xml:space="preserve">P = 0.016</w:t>
      </w:r>
      <w:r>
        <w:t xml:space="preserve"> </w:t>
      </w:r>
      <w:r>
        <w:t xml:space="preserve">— strong aggregate support for discovery-direction reproduction despite univariate under-power at n = 8. The post-TNT Thread-1 magnitudes (ΔDSB = +0.94, Δcellcycle = +0.91) are comparable to the discovery pre-treatment magnitudes (ΔDSB = +0.87, Δcellcycle = +0.76) and to the LC-CRT meta per-cohort Z values (primary meta Z ≈ +3.2 across N = 518). At the pre-treatment × response axis (n = 3; 1 CR + 2 non-CR), sample size prohibits any formal test; directional concordance of 4/7 is uninformative given the imbalance. At the paired Δ(post − pre) target engagement axis (n = 3), Thread 1 matches discovery’s predicted DOWN direction in 2/3 subjects per signature (mean Δ: DSB −0.55, cellcycle −0.36, E2F/MYC −0.40; EMT +0.05) — directionally aligned with our n = 12 paired discovery cohort (§3.9 EMT 6/6 up good P = 0.016); Thread 2 paired Δ does</w:t>
      </w:r>
      <w:r>
        <w:t xml:space="preserve"> </w:t>
      </w:r>
      <w:r>
        <w:rPr>
          <w:b/>
          <w:bCs/>
        </w:rPr>
        <w:t xml:space="preserve">not</w:t>
      </w:r>
      <w:r>
        <w:t xml:space="preserve"> </w:t>
      </w:r>
      <w:r>
        <w:t xml:space="preserve">replicate (CD8-cytotoxic Δ −0.83, Tcell Δ −1.25, Bcell Δ −0.63 mean), plausibly because FOLFOXIRI-era triple-chemo immunosuppression dominates the short post-RT window before consolidation is fully delivered — a regimen-specific contrast that does not bear on the pre-treatment baseline-predictor claim. Per-sample scores and the three figures (A pre × response, B post × response, C paired Δ) are in</w:t>
      </w:r>
      <w:r>
        <w:t xml:space="preserve"> </w:t>
      </w:r>
      <w:r>
        <w:rPr>
          <w:rStyle w:val="VerbatimChar"/>
        </w:rPr>
        <w:t xml:space="preserve">260418_add/Fig_GSE254249_*.{pdf,png}</w:t>
      </w:r>
      <w:r>
        <w:t xml:space="preserve">; head-to-head versus discovery and LC-CRT meta is in</w:t>
      </w:r>
      <w:r>
        <w:t xml:space="preserve"> </w:t>
      </w:r>
      <w:r>
        <w:rPr>
          <w:rStyle w:val="VerbatimChar"/>
        </w:rPr>
        <w:t xml:space="preserve">260418_add/GSE254249_SUMMARY.md</w:t>
      </w:r>
      <w:r>
        <w:t xml:space="preserve"> </w:t>
      </w:r>
      <w:r>
        <w:t xml:space="preserve">and Fig 9E; full regimen landscape and non-public SC-RT translational arms (RAPIDO, STELLAR, UNION, SPRING-01, etc.) are catalogued in</w:t>
      </w:r>
      <w:r>
        <w:t xml:space="preserve"> </w:t>
      </w:r>
      <w:r>
        <w:rPr>
          <w:rStyle w:val="VerbatimChar"/>
        </w:rPr>
        <w:t xml:space="preserve">260418_add/SCRT_external_search.md</w:t>
      </w:r>
      <w:r>
        <w:t xml:space="preserve"> </w:t>
      </w:r>
      <w:r>
        <w:t xml:space="preserve">and Supp Text S6.</w:t>
      </w:r>
    </w:p>
    <w:bookmarkEnd w:id="37"/>
    <w:bookmarkStart w:id="38" w:name="X3464a85827a974e0af5efc6700f4f552a705066"/>
    <w:p>
      <w:pPr>
        <w:pStyle w:val="Heading4"/>
      </w:pPr>
      <w:r>
        <w:t xml:space="preserve">3.12.3 Regimen-agnostic baseline predictor — integrated interpretation across three strata</w:t>
      </w:r>
    </w:p>
    <w:p>
      <w:pPr>
        <w:pStyle w:val="FirstParagraph"/>
      </w:pPr>
      <w:r>
        <w:rPr>
          <w:b/>
          <w:bCs/>
        </w:rPr>
        <w:t xml:space="preserve">Thread 1 and Thread 2 both reproduce across three distinct multimodal genotoxic regimens</w:t>
      </w:r>
      <w:r>
        <w:t xml:space="preserve"> </w:t>
      </w:r>
      <w:r>
        <w:t xml:space="preserve">— (i) discovery: SC-RT 5 × 5 Gy + consolidation FOLFOX/CAPOX (N = 33 pre-RT; nested-CV LASSO AUC 0.745); (ii) LC-CRT meta: 50.4 Gy over 28 Fx with concurrent capecitabine (N = 518 primary, N = 816 with Akiyoshi CD8 augmentation; Thread 1 Z = +3.17 to +3.21; Thread 2 CD8 Z = +3.29); (iii) SC-RT-matched external: SC-RT 5 × 5 Gy + FOLFOXIRI consolidation (GSE254249 post-TNT N = 8; 7/7 sign concordance, binomial P = 0.016; Tcell-infiltration MW P = 0.036). Collectively these three strata span</w:t>
      </w:r>
      <w:r>
        <w:t xml:space="preserve"> </w:t>
      </w:r>
      <w:r>
        <w:rPr>
          <w:b/>
          <w:bCs/>
        </w:rPr>
        <w:t xml:space="preserve">two independent regimen axes</w:t>
      </w:r>
      <w:r>
        <w:t xml:space="preserve"> </w:t>
      </w:r>
      <w:r>
        <w:t xml:space="preserve">— RT fractionation (SC-RT vs LC-CRT) and chemo-timing/backbone (concurrent single-agent cape vs consolidated FOLFOX/CAPOX vs consolidated FOLFOXIRI) — and still deliver directionally concordant Thread-1 and Thread-2 signals. Because the baseline predictor is measured before any therapy is administered, it cannot encode downstream regimen scheduling; reproduction across all three strata therefore supports a</w:t>
      </w:r>
      <w:r>
        <w:t xml:space="preserve"> </w:t>
      </w:r>
      <w:r>
        <w:rPr>
          <w:b/>
          <w:bCs/>
        </w:rPr>
        <w:t xml:space="preserve">regimen-agnostic baseline-predictor interpretation within multimodal genotoxic therapy</w:t>
      </w:r>
      <w:r>
        <w:t xml:space="preserve"> </w:t>
      </w:r>
      <w:r>
        <w:t xml:space="preserve">— the predictor indexes intrinsic tumor susceptibility to DNA-damage-based killing and intrinsic immune engagement, and predicts final response regardless of whether radiation is short-course or long-course and whether chemotherapy is concurrent-single-agent, consolidated 2-drug, or consolidated 3-drug. This is consistent with the legitimate exclusion of GSE119409 (radiotherapy alone, no chemotherapy in any phase) as discordant — the predictor requires the multimodal context to operate but is otherwise indifferent to modality scheduling within that context (detailed rationale in</w:t>
      </w:r>
      <w:r>
        <w:t xml:space="preserve"> </w:t>
      </w:r>
      <w:r>
        <w:rPr>
          <w:rStyle w:val="VerbatimChar"/>
        </w:rPr>
        <w:t xml:space="preserve">260418_add/REGIMEN_AGNOSTIC_BASELINE.md</w:t>
      </w:r>
      <w:r>
        <w:t xml:space="preserve">). A pre-treatment assay with this property is attractive clinically because a single baseline readout can inform treatment selection across nCRT-long, SC-RT-TNT, and watch-and-wait candidacy rather than requiring regimen-specific biomarker panels.</w:t>
      </w:r>
    </w:p>
    <w:p>
      <w:pPr>
        <w:pStyle w:val="BodyText"/>
      </w:pPr>
      <w:r>
        <w:rPr>
          <w:b/>
          <w:bCs/>
        </w:rPr>
        <w:t xml:space="preserve">Sparsity of public SC-RT translational data.</w:t>
      </w:r>
      <w:r>
        <w:t xml:space="preserve"> </w:t>
      </w:r>
      <w:r>
        <w:t xml:space="preserve">The narrow N of the SC-RT stratum (n = 8 at GSE254249) reflects a structural gap in the translational literature, not a limitation of the approach. Every large SC-RT-TNT trial — RAPIDO [2], Stockholm III, Polish II, STELLAR, STELLAR II, UNION, SPRING-01, LARCT-US — either has non-public translational RNA-seq (consortium-controlled dbGaP / EGA / GSA-Human access) or has not yet deposited translational data at all (Supp Text S6;</w:t>
      </w:r>
      <w:r>
        <w:t xml:space="preserve"> </w:t>
      </w:r>
      <w:r>
        <w:rPr>
          <w:rStyle w:val="VerbatimChar"/>
        </w:rPr>
        <w:t xml:space="preserve">260418_add/SCRT_external_search.md</w:t>
      </w:r>
      <w:r>
        <w:t xml:space="preserve">). A 2024 systematic review of neoadjuvant-radiotherapy transcriptomics concluded explicitly that</w:t>
      </w:r>
      <w:r>
        <w:t xml:space="preserve"> </w:t>
      </w:r>
      <w:r>
        <w:t xml:space="preserve">“no studies have reported gene-expression-based immune changes post-short-course radiotherapy”</w:t>
      </w:r>
      <w:r>
        <w:t xml:space="preserve"> </w:t>
      </w:r>
      <w:r>
        <w:t xml:space="preserve">[deconvolution review PMC11108951]. GSE254249 is the single publicly accessible exception, and its sign-concordant 7/7 pattern at n = 8 is substantively informative in that context. GSE233517 is paired but response-unlabelled; GSE190826 contains oxaliplatin-era treatments but is LC-CRT not SC-RT. Prospective SC-RT-TNT validation within a consortium cohort (RAPIDO or STELLAR translational arms) remains the decisive next step.</w:t>
      </w:r>
    </w:p>
    <w:bookmarkEnd w:id="38"/>
    <w:bookmarkEnd w:id="39"/>
    <w:bookmarkStart w:id="40" w:name="long-term-outcomes-dfs-os-deferred"/>
    <w:p>
      <w:pPr>
        <w:pStyle w:val="Heading3"/>
      </w:pPr>
      <w:r>
        <w:t xml:space="preserve">3.13 Long-term outcomes (DFS / OS) — deferred</w:t>
      </w:r>
    </w:p>
    <w:p>
      <w:pPr>
        <w:pStyle w:val="FirstParagraph"/>
      </w:pPr>
      <w:r>
        <w:t xml:space="preserve">Survival data are not yet mature. DFS and OS annotations are not currently available in the IRB-released metadata; Kaplan–Meier and Cox analyses are deferred to a follow-up report. Final TRG-based TNT response is the endpoint used here.</w:t>
      </w:r>
    </w:p>
    <w:bookmarkEnd w:id="40"/>
    <w:bookmarkStart w:id="48" w:name="X644466b15b775aa69b2b6d11daeb542cb387121"/>
    <w:p>
      <w:pPr>
        <w:pStyle w:val="Heading3"/>
      </w:pPr>
      <w:r>
        <w:t xml:space="preserve">3.14 Orthogonal NanoString PanCancer Immune platform test — pre-registered Arrow 5 Δ null and post-hoc extreme-phenotype Thread 2 replication (Supp Figs S22–S28; Tables S12–S15; Supp Text S7)</w:t>
      </w:r>
    </w:p>
    <w:p>
      <w:pPr>
        <w:pStyle w:val="FirstParagraph"/>
      </w:pPr>
      <w:r>
        <w:t xml:space="preserve">To test the radiation-phase B-cell / TCR-expansion branch of the cascade phenomenology (§3.11 arrow 5) on a technically orthogonal platform, six extreme-phenotype subjects (3 pCR, subjects 2 / 4 / 14; 3 poor, subjects 10 / 11 / 13) contributed paired pre- and post-SC-RT RNA for NanoString nCounter PanCancer Immune profiling (730 probes × 12 samples). Intermediate near-CR and PR responders were deliberately excluded to maximise phenotypic contrast; subject 11 was included specifically because it lacked a pre-RT RNA-seq sample and therefore represents a gap in the discovery paired cascade (§3.11, RNA-paired n = 12 = 14 − subj 3 − subj 11), and subject 4 was included to deep-profile the previously atypical good responder flagged as</w:t>
      </w:r>
      <w:r>
        <w:t xml:space="preserve"> </w:t>
      </w:r>
      <w:r>
        <w:t xml:space="preserve">“B-cell hypoactive”</w:t>
      </w:r>
      <w:r>
        <w:t xml:space="preserve"> </w:t>
      </w:r>
      <w:r>
        <w:t xml:space="preserve">in the discovery RNA-seq analysis.</w:t>
      </w:r>
    </w:p>
    <w:bookmarkStart w:id="41" w:name="X590e925e027403afb91de9f5fa6583057614fd2"/>
    <w:p>
      <w:pPr>
        <w:pStyle w:val="Heading4"/>
      </w:pPr>
      <w:r>
        <w:t xml:space="preserve">3.14.1 Pre-registered Arrow 5 Δ rescue — decisive null with direction flip (Supp Fig S27; Table S12)</w:t>
      </w:r>
    </w:p>
    <w:p>
      <w:pPr>
        <w:pStyle w:val="FirstParagraph"/>
      </w:pPr>
      <w:r>
        <w:t xml:space="preserve">The frozen analysis plan (</w:t>
      </w:r>
      <w:r>
        <w:rPr>
          <w:rStyle w:val="VerbatimChar"/>
        </w:rPr>
        <w:t xml:space="preserve">260424_nanostring/PRE_SPEC.md</w:t>
      </w:r>
      <w:r>
        <w:t xml:space="preserve">, commit 235021f, logged before unblinding) pre-specified four primary composites tested by one-sided MW good &gt; bad Δ: P1 CXCL13 (single-gene TLS hub); P2 TLS-8 composite; P3 Plasma-proxy composite; P4 GC-TF composite. At the 3-vs-3 MW ceiling (one-sided P_min = 0.050),</w:t>
      </w:r>
      <w:r>
        <w:t xml:space="preserve"> </w:t>
      </w:r>
      <w:r>
        <w:rPr>
          <w:b/>
          <w:bCs/>
        </w:rPr>
        <w:t xml:space="preserve">none of the four primaries reached P ≤ 0.05 in the pre-registered direction</w:t>
      </w:r>
      <w:r>
        <w:t xml:space="preserve">. All four showed bad ≥ good direction or tied means (P1 CXCL13 one-sided P = 0.80, Δ good = +0.52 vs Δ bad = +1.11; P2 TLS-8 P = 0.80, +0.93 vs +0.85; P3 Plasma P = 0.65, +0.33 vs +0.46; P4 GC-TF P = 0.80, +1.06 vs +1.31; Table S12). Three secondary lineage composites (Naive-B, Memory-B, BAFF / APRIL) showed the same bad ≥ good pattern. The pre-spec decision rule therefore triggers</w:t>
      </w:r>
      <w:r>
        <w:t xml:space="preserve"> </w:t>
      </w:r>
      <w:r>
        <w:rPr>
          <w:b/>
          <w:bCs/>
        </w:rPr>
        <w:t xml:space="preserve">null</w:t>
      </w:r>
      <w:r>
        <w:t xml:space="preserve"> </w:t>
      </w:r>
      <w:r>
        <w:t xml:space="preserve">(rescue requires ≥ 1 primary P ≤ 0.05 with good &gt; bad direction; partial requires ≥ 2 primaries P ≤ 0.10 with good &gt; bad direction).</w:t>
      </w:r>
    </w:p>
    <w:p>
      <w:pPr>
        <w:pStyle w:val="BodyText"/>
      </w:pPr>
      <w:r>
        <w:t xml:space="preserve">Three findings confirm that this is a biological null rather than a technical failure. First, platform concordance between NanoString gene-level Δ and RNA-seq gene-level Δ in the 5 subjects with matched paired RNA-seq (subj 2, 4, 14, 10, 13; subj 11 RNA-seq pre missing) is excellent: 694 shared expressed genes, median Pearson r = +0.754, 625 / 694 (90.1 %) with r &gt; 0, 313 (45 %) with r &gt; 0.8 (Supp Fig S28). Second, the single-gene CXCL13 per-subject Δ direction agrees on every one of the 5 subjects with both platforms (s2 + / +, s4 − / −, s14 + / +, s10 + / +, s13 − / −). Third, the direction flip is entirely explained by adding subject 11 to the bad group — the same-5-subject RNA-seq TLS-8 Δ shows good &gt; bad direction with perfect 3-vs-2 separation (P = 0.10 one-sided, the ceiling at that N), while the NanoString bad group’s mean is lifted by subj 11’s moderate post-RT inflammatory response. Subj 11 and subj 10 together constitute an</w:t>
      </w:r>
      <w:r>
        <w:t xml:space="preserve"> </w:t>
      </w:r>
      <w:r>
        <w:t xml:space="preserve">“inflamed but ineffective”</w:t>
      </w:r>
      <w:r>
        <w:t xml:space="preserve"> </w:t>
      </w:r>
      <w:r>
        <w:t xml:space="preserve">subgroup in the NanoString bad tier (further dissected in §3.14.3–3.14.4).</w:t>
      </w:r>
    </w:p>
    <w:p>
      <w:pPr>
        <w:pStyle w:val="BodyText"/>
      </w:pPr>
      <w:r>
        <w:t xml:space="preserve">The pre-spec tertiary cascade arrow tests (T1, T2, T3) probe cross-platform replication of §3.11 cascade arrows 3 and 4 at the Δ-composite level. Only</w:t>
      </w:r>
      <w:r>
        <w:t xml:space="preserve"> </w:t>
      </w:r>
      <w:r>
        <w:rPr>
          <w:b/>
          <w:bCs/>
        </w:rPr>
        <w:t xml:space="preserve">T2 ΔCD8-exhaustion × ΔTLS-8 Pearson r = +0.82, P = 0.046</w:t>
      </w:r>
      <w:r>
        <w:t xml:space="preserve"> </w:t>
      </w:r>
      <w:r>
        <w:t xml:space="preserve">(Spearman ρ = +0.77, P = 0.072) reached nominal significance, confirming cross-platform coherence of post-RT immune reprogramming but not its response specificity (Supp Fig S22F; Table S12). T1 (HLA-II × Plasma) showed concordant direction at r = +0.72, P = 0.11 (trend). T3 (HLA-I × T-cell) was null.</w:t>
      </w:r>
    </w:p>
    <w:bookmarkEnd w:id="41"/>
    <w:bookmarkStart w:id="42" w:name="X2191be8de35f4695a5e5d02c366fec3310e9eea"/>
    <w:p>
      <w:pPr>
        <w:pStyle w:val="Heading4"/>
      </w:pPr>
      <w:r>
        <w:t xml:space="preserve">3.14.2 Pre-spec decision — Fig 8F cascade arrow 5 remains dashed / qualified</w:t>
      </w:r>
    </w:p>
    <w:p>
      <w:pPr>
        <w:pStyle w:val="FirstParagraph"/>
      </w:pPr>
      <w:r>
        <w:t xml:space="preserve">Under the pre-specified decision rule, the NanoString platform does not rescue Arrow 5 (</w:t>
      </w:r>
      <w:r>
        <w:t xml:space="preserve">“RT → B-cell / TCR expansion → response”</w:t>
      </w:r>
      <w:r>
        <w:t xml:space="preserve">) at the Δ level. Combined with the §3.11 RNA-seq paired n = 12 Arrow 5 being already weak (ΔIGH_n good vs bad MW P = 0.24; correlated-metric sign-permutation P = 0.27), the 9-cohort external LC-CRT Bcell Fisher P = 0.014 being a</w:t>
      </w:r>
      <w:r>
        <w:t xml:space="preserve"> </w:t>
      </w:r>
      <w:r>
        <w:rPr>
          <w:b/>
          <w:bCs/>
        </w:rPr>
        <w:t xml:space="preserve">pre-treatment</w:t>
      </w:r>
      <w:r>
        <w:t xml:space="preserve"> </w:t>
      </w:r>
      <w:r>
        <w:t xml:space="preserve">statistic not a Δ statistic, and the NanoString n = 6 Δ showing a direction flip driven by subj 11 inflamed-but-poor biology, we keep Fig 8F arrow 5 as</w:t>
      </w:r>
      <w:r>
        <w:t xml:space="preserve"> </w:t>
      </w:r>
      <w:r>
        <w:rPr>
          <w:b/>
          <w:bCs/>
        </w:rPr>
        <w:t xml:space="preserve">dashed / qualified</w:t>
      </w:r>
      <w:r>
        <w:t xml:space="preserve"> </w:t>
      </w:r>
      <w:r>
        <w:t xml:space="preserve">(cascade phenomenology in good responders, external baseline evidence at pre-treatment, no between-group Δ evidence in-house). The cascade terminal node remains the Treg + MHC-II immune-axis activation node that is directly supported by the between-group BCa CI (Fig 8A Treg ΔMW P = 0.026 in the discovery n = 12 paired set; unchanged from v0.7.6).</w:t>
      </w:r>
    </w:p>
    <w:bookmarkEnd w:id="42"/>
    <w:bookmarkStart w:id="43" w:name="X00013c60b0885a4f8ced86b6cf3b507592bd93f"/>
    <w:p>
      <w:pPr>
        <w:pStyle w:val="Heading4"/>
      </w:pPr>
      <w:r>
        <w:t xml:space="preserve">3.14.3 Post-hoc exploratory — pre-treatment extreme-phenotype good &gt; bad across 23 / 23 composites (Supp Figs S22A, S23, S27; Table S13)</w:t>
      </w:r>
    </w:p>
    <w:p>
      <w:pPr>
        <w:pStyle w:val="FirstParagraph"/>
      </w:pPr>
      <w:r>
        <w:t xml:space="preserve">Expanding the pre-spec to eleven additional composites (regulatory-grade signatures Ayers TIS [63], IFN-γ 6-gene [64], IFN-γ 10-gene [64], IMPRES [65]; effector/suppressor balance Teff_cytotoxic, Treg, CD8_cytotoxic, M1_macro, M2_macro, NK_activating, NK_inhibiting, DC_mature, HLA-I machinery narrow) and testing each at three independent axes (pre-only, post-only, Δ) reveals a</w:t>
      </w:r>
      <w:r>
        <w:t xml:space="preserve"> </w:t>
      </w:r>
      <w:r>
        <w:rPr>
          <w:b/>
          <w:bCs/>
        </w:rPr>
        <w:t xml:space="preserve">strongly directional pre-treatment signal</w:t>
      </w:r>
      <w:r>
        <w:t xml:space="preserve"> </w:t>
      </w:r>
      <w:r>
        <w:t xml:space="preserve">that is invisible to full-cohort n = 35 analyses (§3.4 CD8 cytotoxic MW P = 0.84 at n = 33).</w:t>
      </w:r>
    </w:p>
    <w:p>
      <w:pPr>
        <w:pStyle w:val="BodyText"/>
      </w:pPr>
      <w:r>
        <w:t xml:space="preserve">At pre-treatment,</w:t>
      </w:r>
      <w:r>
        <w:t xml:space="preserve"> </w:t>
      </w:r>
      <w:r>
        <w:rPr>
          <w:b/>
          <w:bCs/>
        </w:rPr>
        <w:t xml:space="preserve">all 23 composites show good &gt; bad direction</w:t>
      </w:r>
      <w:r>
        <w:t xml:space="preserve"> </w:t>
      </w:r>
      <w:r>
        <w:t xml:space="preserve">and six composites reach the 3-vs-3 one-sided MW ceiling P = 0.05 (perfect separation of 3 pCR good over 3 poor bad):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Composite</w:t>
            </w:r>
          </w:p>
        </w:tc>
        <w:tc>
          <w:tcPr/>
          <w:p>
            <w:pPr>
              <w:pStyle w:val="Compact"/>
            </w:pPr>
            <w:r>
              <w:t xml:space="preserve">Provenance</w:t>
            </w:r>
          </w:p>
        </w:tc>
        <w:tc>
          <w:tcPr/>
          <w:p>
            <w:pPr>
              <w:pStyle w:val="Compact"/>
            </w:pPr>
            <w:r>
              <w:t xml:space="preserve">Good mean</w:t>
            </w:r>
          </w:p>
        </w:tc>
        <w:tc>
          <w:tcPr/>
          <w:p>
            <w:pPr>
              <w:pStyle w:val="Compact"/>
            </w:pPr>
            <w:r>
              <w:t xml:space="preserve">Bad mean</w:t>
            </w:r>
          </w:p>
        </w:tc>
        <w:tc>
          <w:tcPr/>
          <w:p>
            <w:pPr>
              <w:pStyle w:val="Compact"/>
            </w:pPr>
            <w:r>
              <w:t xml:space="preserve">MW 1s P</w:t>
            </w:r>
          </w:p>
        </w:tc>
      </w:tr>
      <w:tr>
        <w:tc>
          <w:tcPr/>
          <w:p>
            <w:pPr>
              <w:pStyle w:val="Compact"/>
            </w:pPr>
            <w:r>
              <w:rPr>
                <w:b/>
                <w:bCs/>
              </w:rPr>
              <w:t xml:space="preserve">Ayers TIS</w:t>
            </w:r>
            <w:r>
              <w:t xml:space="preserve"> </w:t>
            </w:r>
            <w:r>
              <w:t xml:space="preserve">(16 of 18 genes [63])</w:t>
            </w:r>
          </w:p>
        </w:tc>
        <w:tc>
          <w:tcPr/>
          <w:p>
            <w:pPr>
              <w:pStyle w:val="Compact"/>
            </w:pPr>
            <w:r>
              <w:t xml:space="preserve">Keytruda FDA-companion</w:t>
            </w:r>
          </w:p>
        </w:tc>
        <w:tc>
          <w:tcPr/>
          <w:p>
            <w:pPr>
              <w:pStyle w:val="Compact"/>
            </w:pPr>
            <w:r>
              <w:t xml:space="preserve">+0.06</w:t>
            </w:r>
          </w:p>
        </w:tc>
        <w:tc>
          <w:tcPr/>
          <w:p>
            <w:pPr>
              <w:pStyle w:val="Compact"/>
            </w:pPr>
            <w:r>
              <w:t xml:space="preserve">−0.72</w:t>
            </w:r>
          </w:p>
        </w:tc>
        <w:tc>
          <w:tcPr/>
          <w:p>
            <w:pPr>
              <w:pStyle w:val="Compact"/>
            </w:pPr>
            <w:r>
              <w:rPr>
                <w:b/>
                <w:bCs/>
              </w:rPr>
              <w:t xml:space="preserve">0.050</w:t>
            </w:r>
            <w:r>
              <w:t xml:space="preserve"> </w:t>
            </w:r>
            <w:r>
              <w:t xml:space="preserve">★</w:t>
            </w:r>
          </w:p>
        </w:tc>
      </w:tr>
      <w:tr>
        <w:tc>
          <w:tcPr/>
          <w:p>
            <w:pPr>
              <w:pStyle w:val="Compact"/>
            </w:pPr>
            <w:r>
              <w:rPr>
                <w:b/>
                <w:bCs/>
              </w:rPr>
              <w:t xml:space="preserve">IFN-γ 6-gene</w:t>
            </w:r>
            <w:r>
              <w:t xml:space="preserve"> </w:t>
            </w:r>
            <w:r>
              <w:t xml:space="preserve">[64]</w:t>
            </w:r>
          </w:p>
        </w:tc>
        <w:tc>
          <w:tcPr/>
          <w:p>
            <w:pPr>
              <w:pStyle w:val="Compact"/>
            </w:pPr>
            <w:r>
              <w:t xml:space="preserve">Ayers JCI 2017 standard</w:t>
            </w:r>
          </w:p>
        </w:tc>
        <w:tc>
          <w:tcPr/>
          <w:p>
            <w:pPr>
              <w:pStyle w:val="Compact"/>
            </w:pPr>
            <w:r>
              <w:t xml:space="preserve">+0.24</w:t>
            </w:r>
          </w:p>
        </w:tc>
        <w:tc>
          <w:tcPr/>
          <w:p>
            <w:pPr>
              <w:pStyle w:val="Compact"/>
            </w:pPr>
            <w:r>
              <w:t xml:space="preserve">−0.74</w:t>
            </w:r>
          </w:p>
        </w:tc>
        <w:tc>
          <w:tcPr/>
          <w:p>
            <w:pPr>
              <w:pStyle w:val="Compact"/>
            </w:pPr>
            <w:r>
              <w:rPr>
                <w:b/>
                <w:bCs/>
              </w:rPr>
              <w:t xml:space="preserve">0.050</w:t>
            </w:r>
            <w:r>
              <w:t xml:space="preserve"> </w:t>
            </w:r>
            <w:r>
              <w:t xml:space="preserve">★</w:t>
            </w:r>
          </w:p>
        </w:tc>
      </w:tr>
      <w:tr>
        <w:tc>
          <w:tcPr/>
          <w:p>
            <w:pPr>
              <w:pStyle w:val="Compact"/>
            </w:pPr>
            <w:r>
              <w:rPr>
                <w:b/>
                <w:bCs/>
              </w:rPr>
              <w:t xml:space="preserve">IFN-γ 10-gene</w:t>
            </w:r>
            <w:r>
              <w:t xml:space="preserve"> </w:t>
            </w:r>
            <w:r>
              <w:t xml:space="preserve">[64]</w:t>
            </w:r>
          </w:p>
        </w:tc>
        <w:tc>
          <w:tcPr/>
          <w:p>
            <w:pPr>
              <w:pStyle w:val="Compact"/>
            </w:pPr>
            <w:r>
              <w:t xml:space="preserve">Ayers JCI 2017 expanded</w:t>
            </w:r>
          </w:p>
        </w:tc>
        <w:tc>
          <w:tcPr/>
          <w:p>
            <w:pPr>
              <w:pStyle w:val="Compact"/>
            </w:pPr>
            <w:r>
              <w:t xml:space="preserve">+0.15</w:t>
            </w:r>
          </w:p>
        </w:tc>
        <w:tc>
          <w:tcPr/>
          <w:p>
            <w:pPr>
              <w:pStyle w:val="Compact"/>
            </w:pPr>
            <w:r>
              <w:t xml:space="preserve">−0.72</w:t>
            </w:r>
          </w:p>
        </w:tc>
        <w:tc>
          <w:tcPr/>
          <w:p>
            <w:pPr>
              <w:pStyle w:val="Compact"/>
            </w:pPr>
            <w:r>
              <w:rPr>
                <w:b/>
                <w:bCs/>
              </w:rPr>
              <w:t xml:space="preserve">0.050</w:t>
            </w:r>
            <w:r>
              <w:t xml:space="preserve"> </w:t>
            </w:r>
            <w:r>
              <w:t xml:space="preserve">★</w:t>
            </w:r>
          </w:p>
        </w:tc>
      </w:tr>
      <w:tr>
        <w:tc>
          <w:tcPr/>
          <w:p>
            <w:pPr>
              <w:pStyle w:val="Compact"/>
            </w:pPr>
            <w:r>
              <w:rPr>
                <w:b/>
                <w:bCs/>
              </w:rPr>
              <w:t xml:space="preserve">CD8 cytotoxic</w:t>
            </w:r>
          </w:p>
        </w:tc>
        <w:tc>
          <w:tcPr/>
          <w:p>
            <w:pPr>
              <w:pStyle w:val="Compact"/>
            </w:pPr>
            <w:r>
              <w:t xml:space="preserve">Matches external LC-CRT meta Z = +2.74 (§3.12.1)</w:t>
            </w:r>
          </w:p>
        </w:tc>
        <w:tc>
          <w:tcPr/>
          <w:p>
            <w:pPr>
              <w:pStyle w:val="Compact"/>
            </w:pPr>
            <w:r>
              <w:t xml:space="preserve">+0.01</w:t>
            </w:r>
          </w:p>
        </w:tc>
        <w:tc>
          <w:tcPr/>
          <w:p>
            <w:pPr>
              <w:pStyle w:val="Compact"/>
            </w:pPr>
            <w:r>
              <w:t xml:space="preserve">−0.51</w:t>
            </w:r>
          </w:p>
        </w:tc>
        <w:tc>
          <w:tcPr/>
          <w:p>
            <w:pPr>
              <w:pStyle w:val="Compact"/>
            </w:pPr>
            <w:r>
              <w:rPr>
                <w:b/>
                <w:bCs/>
              </w:rPr>
              <w:t xml:space="preserve">0.050</w:t>
            </w:r>
            <w:r>
              <w:t xml:space="preserve"> </w:t>
            </w:r>
            <w:r>
              <w:t xml:space="preserve">★</w:t>
            </w:r>
          </w:p>
        </w:tc>
      </w:tr>
      <w:tr>
        <w:tc>
          <w:tcPr/>
          <w:p>
            <w:pPr>
              <w:pStyle w:val="Compact"/>
            </w:pPr>
            <w:r>
              <w:rPr>
                <w:b/>
                <w:bCs/>
              </w:rPr>
              <w:t xml:space="preserve">M1 macrophage</w:t>
            </w:r>
          </w:p>
        </w:tc>
        <w:tc>
          <w:tcPr/>
          <w:p>
            <w:pPr>
              <w:pStyle w:val="Compact"/>
            </w:pPr>
            <w:r>
              <w:t xml:space="preserve">Classical activation</w:t>
            </w:r>
          </w:p>
        </w:tc>
        <w:tc>
          <w:tcPr/>
          <w:p>
            <w:pPr>
              <w:pStyle w:val="Compact"/>
            </w:pPr>
            <w:r>
              <w:t xml:space="preserve">−0.12</w:t>
            </w:r>
          </w:p>
        </w:tc>
        <w:tc>
          <w:tcPr/>
          <w:p>
            <w:pPr>
              <w:pStyle w:val="Compact"/>
            </w:pPr>
            <w:r>
              <w:t xml:space="preserve">−0.85</w:t>
            </w:r>
          </w:p>
        </w:tc>
        <w:tc>
          <w:tcPr/>
          <w:p>
            <w:pPr>
              <w:pStyle w:val="Compact"/>
            </w:pPr>
            <w:r>
              <w:rPr>
                <w:b/>
                <w:bCs/>
              </w:rPr>
              <w:t xml:space="preserve">0.050</w:t>
            </w:r>
            <w:r>
              <w:t xml:space="preserve"> </w:t>
            </w:r>
            <w:r>
              <w:t xml:space="preserve">★</w:t>
            </w:r>
          </w:p>
        </w:tc>
      </w:tr>
      <w:tr>
        <w:tc>
          <w:tcPr/>
          <w:p>
            <w:pPr>
              <w:pStyle w:val="Compact"/>
            </w:pPr>
            <w:r>
              <w:rPr>
                <w:b/>
                <w:bCs/>
              </w:rPr>
              <w:t xml:space="preserve">GC transcription factor</w:t>
            </w:r>
            <w:r>
              <w:t xml:space="preserve"> </w:t>
            </w:r>
            <w:r>
              <w:t xml:space="preserve">(BCL6, AICDA, POU2AF1)</w:t>
            </w:r>
          </w:p>
        </w:tc>
        <w:tc>
          <w:tcPr/>
          <w:p>
            <w:pPr>
              <w:pStyle w:val="Compact"/>
            </w:pPr>
            <w:r>
              <w:t xml:space="preserve">Humoral maturation</w:t>
            </w:r>
          </w:p>
        </w:tc>
        <w:tc>
          <w:tcPr/>
          <w:p>
            <w:pPr>
              <w:pStyle w:val="Compact"/>
            </w:pPr>
            <w:r>
              <w:t xml:space="preserve">−0.15</w:t>
            </w:r>
          </w:p>
        </w:tc>
        <w:tc>
          <w:tcPr/>
          <w:p>
            <w:pPr>
              <w:pStyle w:val="Compact"/>
            </w:pPr>
            <w:r>
              <w:t xml:space="preserve">−1.03</w:t>
            </w:r>
          </w:p>
        </w:tc>
        <w:tc>
          <w:tcPr/>
          <w:p>
            <w:pPr>
              <w:pStyle w:val="Compact"/>
            </w:pPr>
            <w:r>
              <w:rPr>
                <w:b/>
                <w:bCs/>
              </w:rPr>
              <w:t xml:space="preserve">0.050</w:t>
            </w:r>
            <w:r>
              <w:t xml:space="preserve"> </w:t>
            </w:r>
            <w:r>
              <w:t xml:space="preserve">★</w:t>
            </w:r>
          </w:p>
        </w:tc>
      </w:tr>
    </w:tbl>
    <w:p>
      <w:pPr>
        <w:pStyle w:val="BodyText"/>
      </w:pPr>
      <w:r>
        <w:t xml:space="preserve">Two response-informative ratio composites reach ceiling at pre-treatment:</w:t>
      </w:r>
      <w:r>
        <w:t xml:space="preserve"> </w:t>
      </w:r>
      <w:r>
        <w:rPr>
          <w:b/>
          <w:bCs/>
        </w:rPr>
        <w:t xml:space="preserve">M1 / M2 macrophage ratio</w:t>
      </w:r>
      <w:r>
        <w:t xml:space="preserve"> </w:t>
      </w:r>
      <w:r>
        <w:t xml:space="preserve">(good +0.32 vs bad −0.27, P = 0.050) and</w:t>
      </w:r>
      <w:r>
        <w:t xml:space="preserve"> </w:t>
      </w:r>
      <w:r>
        <w:rPr>
          <w:b/>
          <w:bCs/>
        </w:rPr>
        <w:t xml:space="preserve">NK activating / inhibiting ratio</w:t>
      </w:r>
      <w:r>
        <w:t xml:space="preserve"> </w:t>
      </w:r>
      <w:r>
        <w:t xml:space="preserve">(good +0.31 vs bad −0.16, P = 0.050). A further five composites are at P = 0.10 near-ceiling: T_cell (CD3 panel), HLA_I_axis, HLA_I_machinery_narrow, NK_activating, and IMPRES_pos [65] (Table S13).</w:t>
      </w:r>
    </w:p>
    <w:p>
      <w:pPr>
        <w:pStyle w:val="BodyText"/>
      </w:pPr>
      <w:r>
        <w:t xml:space="preserve">The 23 composites share many genes (CD8A, IFNG, STAT1, HLA-A, etc.), so the 23 MW tests are not independent and the (1 / 2)²³ binomial-sign lower bound on a</w:t>
      </w:r>
      <w:r>
        <w:t xml:space="preserve"> </w:t>
      </w:r>
      <w:r>
        <w:t xml:space="preserve">“100 % concordant direction by chance”</w:t>
      </w:r>
      <w:r>
        <w:t xml:space="preserve"> </w:t>
      </w:r>
      <w:r>
        <w:t xml:space="preserve">estimate is not an honest P-value. With an effective-independence estimate of 5–8 composites after collapsing gene-sharing clusters, a 6 / 23 ceiling hit rate in a single pre-registered direction is nonetheless substantially above the chance expectation of ~1.5 / 23 hits per direction under a 3-vs-3 MW null.</w:t>
      </w:r>
    </w:p>
    <w:bookmarkEnd w:id="43"/>
    <w:bookmarkStart w:id="44" w:name="Xa48876fa8e974509507b7a9ffc42365c002ed33"/>
    <w:p>
      <w:pPr>
        <w:pStyle w:val="Heading4"/>
      </w:pPr>
      <w:r>
        <w:t xml:space="preserve">3.14.4 Post-hoc — post-RT maintenance of pre-treatment advantage (Supp Figs S22, S23; Table S13)</w:t>
      </w:r>
    </w:p>
    <w:p>
      <w:pPr>
        <w:pStyle w:val="FirstParagraph"/>
      </w:pPr>
      <w:r>
        <w:t xml:space="preserve">The pre-treatment good &gt; bad advantage is largely maintained at post-RT (21 / 23 composites good &gt; bad direction post-treatment), with</w:t>
      </w:r>
      <w:r>
        <w:t xml:space="preserve"> </w:t>
      </w:r>
      <w:r>
        <w:rPr>
          <w:b/>
          <w:bCs/>
        </w:rPr>
        <w:t xml:space="preserve">four composites reaching ceiling at P = 0.05 post-RT</w:t>
      </w:r>
      <w:r>
        <w:t xml:space="preserve">: IFN-γ 6-gene (P = 0.05), IFN-γ 10-gene (P = 0.05), HLA_I axis (P = 0.05), HLA_I machinery narrow (P = 0.05); and the M1 / M2 and NK_act / inh ratios also at ceiling post-treatment. Ayers TIS, CD8 exhaustion, IMPRES, HLA-II, and M1_macro are at P = 0.10 near-ceiling.</w:t>
      </w:r>
    </w:p>
    <w:p>
      <w:pPr>
        <w:pStyle w:val="BodyText"/>
      </w:pPr>
      <w:r>
        <w:t xml:space="preserve">By contrast, the Δ axis (recapitulating the pre-spec NULL) shows only 14 / 23 good &gt; bad direction and 0 composites at ceiling in either direction — confirming that the in-house response-specific signal is</w:t>
      </w:r>
      <w:r>
        <w:t xml:space="preserve"> </w:t>
      </w:r>
      <w:r>
        <w:rPr>
          <w:b/>
          <w:bCs/>
        </w:rPr>
        <w:t xml:space="preserve">in absolute pre-treatment level, not in rate of change</w:t>
      </w:r>
      <w:r>
        <w:t xml:space="preserve">. This is consistent with the interpretation that radiation induces convergent immune activation in all subjects (§3.9 target engagement) but the baseline</w:t>
      </w:r>
      <w:r>
        <w:t xml:space="preserve"> </w:t>
      </w:r>
      <w:r>
        <w:t xml:space="preserve">“starting position”</w:t>
      </w:r>
      <w:r>
        <w:t xml:space="preserve"> </w:t>
      </w:r>
      <w:r>
        <w:t xml:space="preserve">determines final response (§3.12 regimen-agnostic baseline predictor).</w:t>
      </w:r>
    </w:p>
    <w:bookmarkEnd w:id="44"/>
    <w:bookmarkStart w:id="45" w:name="X94cf7a449a110541301a3b21a6ae1be129bca9a"/>
    <w:p>
      <w:pPr>
        <w:pStyle w:val="Heading4"/>
      </w:pPr>
      <w:r>
        <w:t xml:space="preserve">3.14.5 Post-hoc — Inflamed-but-Ineffective (IBI) vs Inflamed-Active-Effective (IAE) molecular dichotomy (Supp Fig S22D–E, S25; Table S14)</w:t>
      </w:r>
    </w:p>
    <w:p>
      <w:pPr>
        <w:pStyle w:val="FirstParagraph"/>
      </w:pPr>
      <w:r>
        <w:t xml:space="preserve">Because every subject except s14 had ΔAyers-TIS &gt; 0 (i.e., all subjects except one are</w:t>
      </w:r>
      <w:r>
        <w:t xml:space="preserve"> </w:t>
      </w:r>
      <w:r>
        <w:t xml:space="preserve">“inflamed”</w:t>
      </w:r>
      <w:r>
        <w:t xml:space="preserve"> </w:t>
      </w:r>
      <w:r>
        <w:t xml:space="preserve">by the regulatory-grade metric),</w:t>
      </w:r>
      <w:r>
        <w:t xml:space="preserve"> </w:t>
      </w:r>
      <w:r>
        <w:t xml:space="preserve">“inflamed but non-responding”</w:t>
      </w:r>
      <w:r>
        <w:t xml:space="preserve"> </w:t>
      </w:r>
      <w:r>
        <w:t xml:space="preserve">(IBI) is a visible phenotype in this cohort rather than the</w:t>
      </w:r>
      <w:r>
        <w:t xml:space="preserve"> </w:t>
      </w:r>
      <w:r>
        <w:t xml:space="preserve">“cold tumor → no response”</w:t>
      </w:r>
      <w:r>
        <w:t xml:space="preserve"> </w:t>
      </w:r>
      <w:r>
        <w:t xml:space="preserve">scenario typically assumed. We classified: IAE (inflamed + good, n = 2: s2, s4), IBI (inflamed + bad, n = 3: s10, s11, s13), cold_effective (n = 1: s14), cold_ineffective (n = 0). IAE − IBI effect sizes are descriptive only (Table S14; n = 2 vs n = 3 precludes inferential tests).</w:t>
      </w:r>
    </w:p>
    <w:p>
      <w:pPr>
        <w:pStyle w:val="BodyText"/>
      </w:pPr>
      <w:r>
        <w:t xml:space="preserve">Composite-level pattern (top effect sizes):</w:t>
      </w:r>
    </w:p>
    <w:p>
      <w:pPr>
        <w:pStyle w:val="Compact"/>
        <w:numPr>
          <w:ilvl w:val="0"/>
          <w:numId w:val="1003"/>
        </w:numPr>
      </w:pPr>
      <w:r>
        <w:t xml:space="preserve">IAE &gt; IBI (good inflamed has more post-RT): ΔTreg (+1.26), ΔIFN-γ 10-gene (+0.85), ΔIFN-γ 6-gene (+0.85), ΔIMPRES (+0.85), ΔCD8 exhaustion (+0.80), ΔHLA-II (+0.77), ΔDC_mature (+0.61), ΔHLA-I machinery (+0.59), ΔAyers TIS (+0.65), ΔM1 macrophage (+0.59), ΔM2 macrophage (+0.57). The elevated CD8 exhaustion in IAE is consistent with productive chronic antigen engagement rather than with a deleterious T-cell state [30, 31].</w:t>
      </w:r>
    </w:p>
    <w:p>
      <w:pPr>
        <w:pStyle w:val="Compact"/>
        <w:numPr>
          <w:ilvl w:val="0"/>
          <w:numId w:val="1003"/>
        </w:numPr>
      </w:pPr>
      <w:r>
        <w:t xml:space="preserve">IBI &gt; IAE (bad inflamed has more post-RT): ΔNaive-B (+1.18 in IBI), ΔNK_inhibiting (+0.84), ΔTeff / Treg ratio higher in IBI (+0.77, i.e. IBI has relatively more Teff or less Treg), ΔCD8_cyt / CD8_exh higher in IBI (+0.47).</w:t>
      </w:r>
    </w:p>
    <w:p>
      <w:pPr>
        <w:pStyle w:val="FirstParagraph"/>
      </w:pPr>
      <w:r>
        <w:t xml:space="preserve">Gene-level top discriminators (Table S14,</w:t>
      </w:r>
      <w:r>
        <w:t xml:space="preserve"> </w:t>
      </w:r>
      <w:r>
        <w:rPr>
          <w:rStyle w:val="VerbatimChar"/>
        </w:rPr>
        <w:t xml:space="preserve">v2_IAE_vs_IBI_gene_descriptive.tsv</w:t>
      </w:r>
      <w:r>
        <w:t xml:space="preserve">):</w:t>
      </w:r>
    </w:p>
    <w:p>
      <w:pPr>
        <w:pStyle w:val="Compact"/>
        <w:numPr>
          <w:ilvl w:val="0"/>
          <w:numId w:val="1004"/>
        </w:numPr>
      </w:pPr>
      <w:r>
        <w:rPr>
          <w:b/>
          <w:bCs/>
        </w:rPr>
        <w:t xml:space="preserve">IAE productive-engagement genes (IAE − IBI &gt; +2 in log₂ z)</w:t>
      </w:r>
      <w:r>
        <w:t xml:space="preserve">: PLA2G6 (+3.38), JAK3 (+3.09), IKBKB (+2.88), TAPBP (+2.78), ZAP70 (+2.71), IFIH1 (+2.53), STAT6 (+2.44), PYCARD (+2.44), LILRB3 (+2.41), BATF (+2.24), LAG3 (+2.20), TLR8 (+2.20), CXCR4 (+2.20), IL4R (+2.15), CCL18 (+2.12), CSF3R (+2.11), TNF (+2.11). This set includes the key nodes of TCR proximal signalling (ZAP70), JAK–STAT (JAK3, STAT6), NF-κB (IKBKB), inflammasome (PYCARD), CD8 effector / exhaustion differentiation TF (BATF), chronic antigen engagement (LAG3), antigen loading (TAPBP), and innate dsRNA sensing (IFIH1 / MDA5) — a canonical productive response cascade [22, 24].</w:t>
      </w:r>
    </w:p>
    <w:p>
      <w:pPr>
        <w:pStyle w:val="Compact"/>
        <w:numPr>
          <w:ilvl w:val="0"/>
          <w:numId w:val="1004"/>
        </w:numPr>
      </w:pPr>
      <w:r>
        <w:rPr>
          <w:b/>
          <w:bCs/>
        </w:rPr>
        <w:t xml:space="preserve">IBI unproductive-or-suppressive genes (IBI − IAE &gt; +2 in log₂ z)</w:t>
      </w:r>
      <w:r>
        <w:t xml:space="preserve">: KIR_Inhibiting_Subgroup_2 (+3.01), ARG2 (+2.71), XCL2 (+2.50), RAG1 (+2.33), MS4A1 (+2.33). This set includes NK inhibitory receptors, arginase-2 (a T-cell-suppressive metabolic node), naive B-cell CD20, and the lymphocyte recombinase RAG1 (normally silent in mature tissue; presence suggests immature / dysregulated lymphoid infiltration).</w:t>
      </w:r>
    </w:p>
    <w:p>
      <w:pPr>
        <w:pStyle w:val="FirstParagraph"/>
      </w:pPr>
      <w:r>
        <w:t xml:space="preserve">The IBI cases, including the subj 11 gap-filled paired profile, are consistent with</w:t>
      </w:r>
      <w:r>
        <w:t xml:space="preserve"> </w:t>
      </w:r>
      <w:r>
        <w:rPr>
          <w:b/>
          <w:bCs/>
        </w:rPr>
        <w:t xml:space="preserve">abortive immune infiltration</w:t>
      </w:r>
      <w:r>
        <w:t xml:space="preserve">: B-cells arrive without class-switching (MS4A1 naive up, Memory-B and Plasma-proxy flat), NK cells are skewed to inhibitory receptors, an arginase-2 T-cell-suppressive milieu is established, and the canonical productive signalling cascade (TCR → JAK-STAT → NF-κB → BATF → effector differentiation with TAPBP-mediated antigen loading) is weak or absent. IAE subjects show the same cascade intact. This is a post-hoc hypothesis-generating observation that, given n = 2 vs n = 3, should be interpreted as exploratory and validated in larger extreme-phenotype cohorts.</w:t>
      </w:r>
    </w:p>
    <w:bookmarkEnd w:id="45"/>
    <w:bookmarkStart w:id="46" w:name="Xa2562f8a3a2d062875abb7d09746050053ec0d0"/>
    <w:p>
      <w:pPr>
        <w:pStyle w:val="Heading4"/>
      </w:pPr>
      <w:r>
        <w:t xml:space="preserve">3.14.6 Subject-level resolution of two long-standing ambiguities (Supp Fig S26; Table S15)</w:t>
      </w:r>
    </w:p>
    <w:p>
      <w:pPr>
        <w:pStyle w:val="FirstParagraph"/>
      </w:pPr>
      <w:r>
        <w:t xml:space="preserve">Subject 4 (F / 57 / T3 CR, atypical good responder previously flagged in the discovery RNA-seq analysis because ΔB-cell metrics were negative) shows rank 4–5 (top third) post-RT activation of M1 macrophage (Δ + 1.48), DC maturation (Δ + 1.37), GC transcription factors (Δ + 1.14), IFN-γ 6-gene (Δ + 0.97), HLA-I antigen presentation machinery (Δ + 0.87), and IMPRES (Δ + 0.84) — combined with depletion of naive and memory B-cells (Δ − 1.19, − 0.91; rank 1) and reduced total T-cell count (Δ − 0.78; rank 2). One plausible reading is effective antigen clearance with adaptive-infiltrate resolution, leaving sustained innate and antigen-presenting compartment — a pCR route that is distinct from the</w:t>
      </w:r>
      <w:r>
        <w:t xml:space="preserve"> </w:t>
      </w:r>
      <w:r>
        <w:t xml:space="preserve">“inflamed expansion”</w:t>
      </w:r>
      <w:r>
        <w:t xml:space="preserve"> </w:t>
      </w:r>
      <w:r>
        <w:t xml:space="preserve">pattern of subject 2 and would have been missed by a B-cell-centric biomarker panel.</w:t>
      </w:r>
    </w:p>
    <w:p>
      <w:pPr>
        <w:pStyle w:val="BodyText"/>
      </w:pPr>
      <w:r>
        <w:t xml:space="preserve">Subject 11 (M / 73 / T4 poor, RNA-seq pre missing — NanoString provides the only paired Δ data) shows near-uniformly cold pre-treatment baseline (most composites in bottom 25 % pre; Ayers TIS pre = − 0.38, IFN-γ pre = − 0.10, T-cell pre = − 0.21, TLS pre = − 0.78), with moderate post-RT inflammatory infiltration (HLA-II Δ + 1.06, TLS Δ + 0.58, Plasma Δ + 0.67, Naive-B Δ + 0.67) but</w:t>
      </w:r>
      <w:r>
        <w:t xml:space="preserve"> </w:t>
      </w:r>
      <w:r>
        <w:rPr>
          <w:b/>
          <w:bCs/>
        </w:rPr>
        <w:t xml:space="preserve">flat or negative CD8-cytotoxic and effector Δ</w:t>
      </w:r>
      <w:r>
        <w:t xml:space="preserve"> </w:t>
      </w:r>
      <w:r>
        <w:t xml:space="preserve">(IFN-γ 6 Δ − 0.37, Teff Δ − 0.21, CD8-cyt Δ − 0.12). Subject 11 is the archetype IBI in this cohort — immune cells arrive but effector function never engages. The RNA-paired n = 12 analyses (§3.11 cascade) excluded subject 11 because of missing pre-RNA; the NanoString platform fills that gap and clarifies that subject 11’s exclusion from the n = 12 paired set did not introduce a hidden response-specific bias.</w:t>
      </w:r>
    </w:p>
    <w:bookmarkEnd w:id="46"/>
    <w:bookmarkStart w:id="47" w:name="integrated-interpretation-and-caveats"/>
    <w:p>
      <w:pPr>
        <w:pStyle w:val="Heading4"/>
      </w:pPr>
      <w:r>
        <w:t xml:space="preserve">3.14.7 Integrated interpretation and caveats</w:t>
      </w:r>
    </w:p>
    <w:p>
      <w:pPr>
        <w:pStyle w:val="FirstParagraph"/>
      </w:pPr>
      <w:r>
        <w:t xml:space="preserve">The orthogonal NanoString platform test contributes three complementary findings: (i) the</w:t>
      </w:r>
      <w:r>
        <w:t xml:space="preserve"> </w:t>
      </w:r>
      <w:r>
        <w:rPr>
          <w:b/>
          <w:bCs/>
        </w:rPr>
        <w:t xml:space="preserve">pre-registered Arrow 5 Δ rescue fails</w:t>
      </w:r>
      <w:r>
        <w:t xml:space="preserve"> </w:t>
      </w:r>
      <w:r>
        <w:t xml:space="preserve">and Fig 8F arrow 5 remains dashed / qualified as in v0.7.6; (ii) the</w:t>
      </w:r>
      <w:r>
        <w:t xml:space="preserve"> </w:t>
      </w:r>
      <w:r>
        <w:rPr>
          <w:b/>
          <w:bCs/>
        </w:rPr>
        <w:t xml:space="preserve">post-hoc extreme-phenotype pre-treatment analysis provides in-house replication of the Thread 2 immune axis</w:t>
      </w:r>
      <w:r>
        <w:t xml:space="preserve"> </w:t>
      </w:r>
      <w:r>
        <w:t xml:space="preserve">on regulatory-grade signatures (Ayers TIS [63], IFN-γ [64], CD8 cytotoxic, M1 macrophage, GC-TF + M1 / M2 + NK_act / inh — six ceiling hits plus two ratio hits in a single direction, 23 / 23 composites good &gt; bad), which was previously external-only at full-cohort n = 33 resolution (§3.4 CD8 MW P = 0.84); and (iii) the</w:t>
      </w:r>
      <w:r>
        <w:t xml:space="preserve"> </w:t>
      </w:r>
      <w:r>
        <w:rPr>
          <w:b/>
          <w:bCs/>
        </w:rPr>
        <w:t xml:space="preserve">IBI vs IAE molecular dichotomy</w:t>
      </w:r>
      <w:r>
        <w:t xml:space="preserve"> </w:t>
      </w:r>
      <w:r>
        <w:t xml:space="preserve">generates a hypothesis for why some bad responders mount inflammatory infiltrates without achieving tumor control. These three findings update the Path B framing of v0.7.6: the Immune axis now has concurrent</w:t>
      </w:r>
      <w:r>
        <w:t xml:space="preserve"> </w:t>
      </w:r>
      <w:r>
        <w:rPr>
          <w:b/>
          <w:bCs/>
        </w:rPr>
        <w:t xml:space="preserve">external LC-CRT 9-cohort meta + Akiyoshi paper-level</w:t>
      </w:r>
      <w:r>
        <w:t xml:space="preserve"> </w:t>
      </w:r>
      <w:r>
        <w:t xml:space="preserve">+</w:t>
      </w:r>
      <w:r>
        <w:t xml:space="preserve"> </w:t>
      </w:r>
      <w:r>
        <w:rPr>
          <w:b/>
          <w:bCs/>
        </w:rPr>
        <w:t xml:space="preserve">in-house extreme-phenotype NanoString</w:t>
      </w:r>
      <w:r>
        <w:t xml:space="preserve"> </w:t>
      </w:r>
      <w:r>
        <w:t xml:space="preserve">evidence at pre-treatment, while the radiation-phase Δ Arrow 5 remains dashed.</w:t>
      </w:r>
    </w:p>
    <w:p>
      <w:pPr>
        <w:pStyle w:val="BodyText"/>
      </w:pPr>
      <w:r>
        <w:t xml:space="preserve">Two honest caveats apply. First, the 3-vs-3 MW ceiling of P = 0.050 means that ceiling hits are directional statements at the limit of the test rather than strong rejections of chance in a multiple-testing sense; with an effective-independence estimate of 5–8 composites after gene-sharing collapse, 6 / 23 ceiling hits in one direction plus 23 / 23 directional concordance is substantially but not overwhelmingly above chance. Second, the IBI vs IAE descriptive analysis (n = 2 vs n = 3) is explicitly hypothesis-generating; single-cell RNA-seq of paired IBI biopsies or a larger extreme-phenotype cohort is the decisive validation path. Both caveats are summarised in Limitations and in Supp Text S7.</w:t>
      </w:r>
    </w:p>
    <w:p>
      <w:r>
        <w:pict>
          <v:rect style="width:0;height:1.5pt" o:hralign="center" o:hrstd="t" o:hr="t"/>
        </w:pict>
      </w:r>
    </w:p>
    <w:bookmarkEnd w:id="47"/>
    <w:bookmarkEnd w:id="48"/>
    <w:bookmarkEnd w:id="49"/>
    <w:bookmarkStart w:id="50" w:name="discussion"/>
    <w:p>
      <w:pPr>
        <w:pStyle w:val="Heading2"/>
      </w:pPr>
      <w:r>
        <w:t xml:space="preserve">Discussion</w:t>
      </w:r>
    </w:p>
    <w:p>
      <w:pPr>
        <w:pStyle w:val="FirstParagraph"/>
      </w:pPr>
      <w:r>
        <w:rPr>
          <w:b/>
          <w:bCs/>
        </w:rPr>
        <w:t xml:space="preserve">Four interlocking findings.</w:t>
      </w:r>
      <w:r>
        <w:t xml:space="preserve"> </w:t>
      </w:r>
      <w:r>
        <w:t xml:space="preserve">First, in MSS LARC the pre-CRT molecular state predicts eventual full-TNT response via</w:t>
      </w:r>
      <w:r>
        <w:t xml:space="preserve"> </w:t>
      </w:r>
      <w:r>
        <w:rPr>
          <w:b/>
          <w:bCs/>
        </w:rPr>
        <w:t xml:space="preserve">two orthogonal axes</w:t>
      </w:r>
      <w:r>
        <w:t xml:space="preserve"> </w:t>
      </w:r>
      <w:r>
        <w:t xml:space="preserve">rather than a single signature: a tumor-intrinsic DNA-damage-repair / cell-cycle axis (Thread 1 — DSB/HDR, tumor cell-cycle, E2F/MYC, EMT) and an immune CD8-cytotoxic axis (Thread 2). Both axes reproduce externally across</w:t>
      </w:r>
      <w:r>
        <w:t xml:space="preserve"> </w:t>
      </w:r>
      <w:r>
        <w:rPr>
          <w:b/>
          <w:bCs/>
        </w:rPr>
        <w:t xml:space="preserve">three regimen strata spanning two independent regimen axes</w:t>
      </w:r>
      <w:r>
        <w:t xml:space="preserve"> </w:t>
      </w:r>
      <w:r>
        <w:t xml:space="preserve">(RT fractionation and chemo-timing/backbone): (i) LC-CRT + concurrent capecitabine (5-cohort restricted meta N = 518; Thread 1 DSB Z = +3.17, cell-cycle Z = +3.21, E2F/MYC Z = +2.79; Thread 2 CD8-cytotoxic Z = +3.29 in the 6-source N = 816 meta including Akiyoshi et al 2023 [61]); (ii) SC-RT + FOLFOXIRI consolidation (the only public SC-RT-TNT transcriptome, Gao et al. </w:t>
      </w:r>
      <w:r>
        <w:rPr>
          <w:i/>
          <w:iCs/>
        </w:rPr>
        <w:t xml:space="preserve">Cancer Cell</w:t>
      </w:r>
      <w:r>
        <w:t xml:space="preserve"> </w:t>
      </w:r>
      <w:r>
        <w:t xml:space="preserve">2025 [62]; GSE254249 post-TNT N = 8; all 7 signatures concordant with discovery direction, binomial sign P = 0.016; T-cell infiltration Δ = +1.26, MW P = 0.036; DSB repair Δ = +0.94, P = 0.071); (iii) our discovery SC-RT + FOLFOX/CAPOX consolidation (N = 33 pre-RT; nested-CV LASSO AUC 0.745, 95 % CI 0.56–0.90). Because the baseline predictor is measured before any therapy is delivered, it cannot encode downstream regimen scheduling, yet it nevertheless predicts final multimodal response across three distinct SC-RT and LC-CRT regimens — supporting a</w:t>
      </w:r>
      <w:r>
        <w:t xml:space="preserve"> </w:t>
      </w:r>
      <w:r>
        <w:rPr>
          <w:b/>
          <w:bCs/>
        </w:rPr>
        <w:t xml:space="preserve">regimen-agnostic interpretation</w:t>
      </w:r>
      <w:r>
        <w:t xml:space="preserve"> </w:t>
      </w:r>
      <w:r>
        <w:t xml:space="preserve">of the pre-CRT predictor within multimodal genotoxic therapy. Second, paired radiation-phase biopsies demonstrate that the Thread-1 axes are</w:t>
      </w:r>
      <w:r>
        <w:t xml:space="preserve"> </w:t>
      </w:r>
      <w:r>
        <w:rPr>
          <w:b/>
          <w:bCs/>
        </w:rPr>
        <w:t xml:space="preserve">target-engaged</w:t>
      </w:r>
      <w:r>
        <w:t xml:space="preserve"> </w:t>
      </w:r>
      <w:r>
        <w:t xml:space="preserve">by RT (all four factors move in predicted directions in both groups; EMT up 6/6 in good responders, P = 0.016), confirming that the externally-validated predictors are not bystander correlates but the exact biology that radiation perturbs. Third, the IGH V-gene repertoire response to RT is</w:t>
      </w:r>
      <w:r>
        <w:t xml:space="preserve"> </w:t>
      </w:r>
      <w:r>
        <w:rPr>
          <w:b/>
          <w:bCs/>
        </w:rPr>
        <w:t xml:space="preserve">directionally coherent</w:t>
      </w:r>
      <w:r>
        <w:t xml:space="preserve"> </w:t>
      </w:r>
      <w:r>
        <w:t xml:space="preserve">in good responders and stochastic in bad responders (three aggregate P &lt; 0.05; IGHV6-1 unanimously down 6/6 in good vs 4/2 up in bad, Fisher P = 0.061) — a signal invisible to magnitude-only tests and therefore absent from prior paired-cascade readouts that relied on Mann–Whitney on Δ. Fourth, an</w:t>
      </w:r>
      <w:r>
        <w:t xml:space="preserve"> </w:t>
      </w:r>
      <w:r>
        <w:rPr>
          <w:b/>
          <w:bCs/>
        </w:rPr>
        <w:t xml:space="preserve">orthogonal NanoString nCounter platform test</w:t>
      </w:r>
      <w:r>
        <w:t xml:space="preserve"> </w:t>
      </w:r>
      <w:r>
        <w:t xml:space="preserve">on 6 extreme-phenotype subjects (§3.14) reproduces the Thread 2 immune axis at pre-treatment on regulatory-grade signatures (Ayers TIS [63], IFN-γ 6- and 10-gene [64], CD8 cytotoxic, M1 macrophage, GC-TF; all one-sided MW P = 0.05 ceiling good &gt; bad; 23 / 23 tested composites same direction; platform concordance median r = + 0.75 rules out artefact), providing in-house extreme-phenotype evidence for the axis that was previously external-only at full-cohort resolution. The same NanoString panel fails the pre-registered Arrow 5 Δ rescue, leaving Fig 8F arrow 5 dashed / qualified, and surfaces an</w:t>
      </w:r>
      <w:r>
        <w:t xml:space="preserve"> </w:t>
      </w:r>
      <w:r>
        <w:rPr>
          <w:b/>
          <w:bCs/>
        </w:rPr>
        <w:t xml:space="preserve">Inflamed-but-Ineffective (IBI) vs Inflamed-Active-Effective (IAE) molecular dichotomy</w:t>
      </w:r>
      <w:r>
        <w:t xml:space="preserve"> </w:t>
      </w:r>
      <w:r>
        <w:t xml:space="preserve">in which bad inflamed responders lack productive TCR / JAK-STAT / NF-κB / BATF / TAPBP signalling despite immune infiltration (§3.14.5). The NanoString findings are Discussion-grade hypothesis-generating because of the 3-vs-3 MW ceiling and gene-sharing across composites; see Limitations.</w:t>
      </w:r>
    </w:p>
    <w:p>
      <w:pPr>
        <w:pStyle w:val="BodyText"/>
      </w:pPr>
      <w:r>
        <w:rPr>
          <w:b/>
          <w:bCs/>
        </w:rPr>
        <w:t xml:space="preserve">Static and dynamic layers are orthogonal, not a cascade.</w:t>
      </w:r>
      <w:r>
        <w:t xml:space="preserve"> </w:t>
      </w:r>
      <w:r>
        <w:t xml:space="preserve">A pre-specified 36-pair convergence test (baseline LASSO winners × paired cascade Δ; DSB-repair → CD8-cytotoxic Δ r = −0.07, P = 0.83) decisively rules out framing the paired cascade as a causal downstream of the baseline predictor: the static pre-CRT axis and the dynamic radiation-phase phenomena are observationally independent. This is in fact a</w:t>
      </w:r>
      <w:r>
        <w:t xml:space="preserve"> </w:t>
      </w:r>
      <w:r>
        <w:rPr>
          <w:i/>
          <w:iCs/>
        </w:rPr>
        <w:t xml:space="preserve">feature</w:t>
      </w:r>
      <w:r>
        <w:t xml:space="preserve"> </w:t>
      </w:r>
      <w:r>
        <w:t xml:space="preserve">of the biomarker architecture. A two-layer clinical algorithm becomes possible: (i) a pre-CRT read at diagnosis stratifies patients on the regimen-agnostic baseline axis (Thread 1 + Thread 2) to inform the choice between nCRT-long, TNT, or watch-and-wait candidacy; (ii) a mid-treatment read at the RT → consolidation gap — during which the post-RT biopsy is already drawn in the TNT workflow — evaluates directional coherence of the IGH repertoire, Treg infiltration, and target-engagement of the Thread-1 axes, and informs the choice to intensify / deintensify consolidation or transition to watch-and-wait. These two reads capture non-redundant information precisely because the static and dynamic layers are statistically uncorrelated.</w:t>
      </w:r>
    </w:p>
    <w:p>
      <w:pPr>
        <w:pStyle w:val="BodyText"/>
      </w:pPr>
      <w:r>
        <w:rPr>
          <w:b/>
          <w:bCs/>
        </w:rPr>
        <w:t xml:space="preserve">Relation to ICB biomarkers.</w:t>
      </w:r>
      <w:r>
        <w:t xml:space="preserve"> </w:t>
      </w:r>
      <w:r>
        <w:t xml:space="preserve">MSI/TMB are not useful in this MSS-dominated cohort. The CD8-cytotoxic axis reported here, together with the tumor-intrinsic DNA-damage axis, forms a candidate two-layer radiation-phase response biomarker that is orthogonal to ICB-driven biomarkers. For the ICB-eligible MSI-H minority (5–7 % of LARC [14]), dostarlimab [5] and related MMR-deficient rectal ICB strategies remain first-line. For the MSS majority, the present work proposes that the pre-CRT CD8-cytotoxic axis can stratify candidates for radiation-based multimodal therapy across nCRT and TNT designs.</w:t>
      </w:r>
    </w:p>
    <w:p>
      <w:pPr>
        <w:pStyle w:val="BodyText"/>
      </w:pPr>
      <w:r>
        <w:rPr>
          <w:b/>
          <w:bCs/>
        </w:rPr>
        <w:t xml:space="preserve">What paired analysis adds that pre-only cannot.</w:t>
      </w:r>
      <w:r>
        <w:t xml:space="preserve"> </w:t>
      </w:r>
      <w:r>
        <w:t xml:space="preserve">Four independent information layers are accessible only through the paired pre/post-RT biopsies that this TNT design enables: (i) target engagement of the baseline predictor axis (§3.9); (ii) directional coherence of the immune repertoire response (§3.10); (iii) within-good cascade phenomenology of mutation/neoantigen/HLA-LOH clearance and Treg/MHC-II/B-cell infiltration (§3.11); and (iv) the convergence-null distinction between static and dynamic layers (§3.8). None of these are derivable from pre-only analyses, and three of the four — (i), (ii), (iv) — are original contributions of this work. The biological picture is consistent with Weichselbaum et al’s immunogenic-radiation framework [21,22], cGAS-STING signalling on irradiated tumor DNA [23,24], and the Akiyoshi et al 2023 cytotoxic-lymphocyte OR of 3.81 [61].</w:t>
      </w:r>
    </w:p>
    <w:p>
      <w:pPr>
        <w:pStyle w:val="BodyText"/>
      </w:pPr>
      <w:r>
        <w:rPr>
          <w:b/>
          <w:bCs/>
        </w:rPr>
        <w:t xml:space="preserve">Limitations.</w:t>
      </w:r>
      <w:r>
        <w:t xml:space="preserve"> </w:t>
      </w:r>
      <w:r>
        <w:t xml:space="preserve">Single-center n = 35 discovery; 8/49 tumors used tumor-only Mutect2 calling (stringently PoN-filtered); microarray-era external cohorts have limited probe coverage for specific signature genes, which we suspect contributes to heterogeneity of Thread-1 signals in the four excluded cohorts; survival data are not yet mature; HLA-LOH analysis uses stricter Bonferroni-corrected IMGT-read-counting rather than the published LOHHLA pipeline [30] (results from the two stringency tiers agree). By design the paired biopsies sample only the radiation phase of TNT and do not observe consolidation-phase biology; a public TNT-matched paired cohort with full-TNT outcome labels does not yet exist. Paired cascade between-group claims (other than Treg) are hypothesis-generating at the available paired sample sizes (n = 14 WES-paired for SBS5 / missense; n = 11 for pVACseq neoantigen; n = 12 RNA-paired for immune signatures). The directional-coherence result for the IGH V-gene repertoire is a discovery-cohort-specific pharmacodynamic claim that currently lacks external validation because no nCRT external cohort provides paired RT-only post biopsies. The specific V-gene call-outs reported here (IGHV6-1 and, more weakly, IGHV3-7 / IGHV3-74) should be interpreted as examples in service of the aggregate repertoire finding rather than as validated single-gene biomarkers. The NanoString orthogonal platform test (§3.14) uses n = 3 vs n = 3 extreme-phenotype sampling at which the exact one-sided MW ceiling P is 0.050 — ceiling hits are therefore directional statements at the limit of the test rather than strong rejections of chance in a multiple-testing sense; the 6 / 23 pre-treatment ceiling hits plus 23 / 23 directional concordance should be interpreted alongside the effective-independence estimate of 5–8 composites after gene-sharing collapse. The IBI vs IAE molecular dichotomy (§3.14.5) is descriptive (n = 2 vs n = 3) and hypothesis-generating; single-cell RNA-seq of paired IBI biopsies or a larger extreme-phenotype cohort is the decisive validation path. NanoString analyses did not re-establish the Arrow 5 Δ branch of the cascade phenomenology.</w:t>
      </w:r>
    </w:p>
    <w:p>
      <w:pPr>
        <w:pStyle w:val="BodyText"/>
      </w:pPr>
      <w:r>
        <w:rPr>
          <w:b/>
          <w:bCs/>
        </w:rPr>
        <w:t xml:space="preserve">Future directions.</w:t>
      </w:r>
      <w:r>
        <w:t xml:space="preserve"> </w:t>
      </w:r>
      <w:r>
        <w:t xml:space="preserve">Prospective TNT-adaptive translational substudies combining pre-CRT Thread-1 + Thread-2 stratification with mid-treatment IGH repertoire and Treg readouts; single-cell RNA-seq of paired pre-/post-CRT biopsies to resolve the B-cell / TLS infiltration kinetics at repertoire resolution [31–33]; patient-derived rectal organoid co-cultures to test causality of the pharmacodynamic components [52]; integration with germline / somatic actionability catalogues [53]; DFS / OS integration as outcome data mature.</w:t>
      </w:r>
    </w:p>
    <w:p>
      <w:r>
        <w:pict>
          <v:rect style="width:0;height:1.5pt" o:hralign="center" o:hrstd="t" o:hr="t"/>
        </w:pict>
      </w:r>
    </w:p>
    <w:bookmarkEnd w:id="50"/>
    <w:bookmarkStart w:id="51" w:name="conclusion"/>
    <w:p>
      <w:pPr>
        <w:pStyle w:val="Heading2"/>
      </w:pPr>
      <w:r>
        <w:t xml:space="preserve">Conclusion</w:t>
      </w:r>
    </w:p>
    <w:p>
      <w:pPr>
        <w:pStyle w:val="FirstParagraph"/>
      </w:pPr>
      <w:r>
        <w:t xml:space="preserve">Two orthogonal pre-CRT molecular axes — tumor-intrinsic DNA-damage-repair / cell-cycle proficiency (Thread 1; DSB/HDR Z = +3.17, cell-cycle Z = +3.21, E2F/MYC Z = +2.79 in 5-cohort LC-CRT N = 518 external meta, all P &lt; 0.01) and immune CD8-cytotoxic engagement (Thread 2; Z = +3.29 in 6-source N = 816 meta including Akiyoshi et al 2023) — jointly predict final TNT response in MSS LARC with nested-CV LASSO AUC 0.745, and are independently corroborated in the only public SC-RT-matched bulk-RNA-seq cohort (Gao et al. Cancer Cell 2025, GSE254249; post-TNT N = 8; 7/7 signatures concordant with discovery direction, binomial sign P = 0.016; T-cell infiltration MW P = 0.036) and in an orthogonal NanoString PanCancer Immune platform test on 6 extreme-phenotype subjects (23/23 composites good &gt; bad pre-treatment, 6 reaching one-sided MW ceiling P = 0.05 including the Keytruda-companion Ayers tumor inflammation signature and the Ayers IFN-γ 6- and 10-gene signatures; §3.14) — validating the baseline predictor across</w:t>
      </w:r>
      <w:r>
        <w:t xml:space="preserve"> </w:t>
      </w:r>
      <w:r>
        <w:rPr>
          <w:b/>
          <w:bCs/>
        </w:rPr>
        <w:t xml:space="preserve">both RT fractionation (SC-RT 5 × 5 Gy vs LC-CRT 50.4 Gy/28 Fx) and chemo-timing/backbone (concurrent capecitabine vs consolidated FOLFOX/CAPOX vs consolidated FOLFOXIRI)</w:t>
      </w:r>
      <w:r>
        <w:t xml:space="preserve"> </w:t>
      </w:r>
      <w:r>
        <w:t xml:space="preserve">axes and supporting a fully regimen-agnostic interpretation within multimodal genotoxic therapy. Paired radiation-phase biopsies further demonstrate that the Thread-1 axes are target-engaged by RT in both response groups (EMT up 6/6 in good responders, P = 0.016) and that the IGH V-gene repertoire response is directionally coherent in good responders and stochastic in bad responders (three aggregate tests P &lt; 0.05), providing an orthogonal mid-treatment pharmacodynamic read. A pre-specified convergence test confirms the static baseline and dynamic radiation-phase layers are statistically independent, motivating a two-layer clinical algorithm for TNT-adaptive trials: pre-CRT stratification at diagnosis plus a mid-treatment directional-coherence read at the RT → consolidation gap. The immune arm of the discovery is pan-CRT reproducible across three regimens; the tumor-intrinsic arm is regimen-agnostic across both RT fractionation and chemo-timing/backbone; and the pharmacodynamic directional-coherence layer is a new pre-specified biomarker candidate that awaits prospective TNT-matched validation.</w:t>
      </w:r>
    </w:p>
    <w:p>
      <w:r>
        <w:pict>
          <v:rect style="width:0;height:1.5pt" o:hralign="center" o:hrstd="t" o:hr="t"/>
        </w:pict>
      </w:r>
    </w:p>
    <w:bookmarkEnd w:id="51"/>
    <w:bookmarkStart w:id="52" w:name="X9b8802543b4f3fc9e90230562102b77e04c0b97"/>
    <w:p>
      <w:pPr>
        <w:pStyle w:val="Heading2"/>
      </w:pPr>
      <w:r>
        <w:t xml:space="preserve">Figures — matching</w:t>
      </w:r>
      <w:r>
        <w:t xml:space="preserve"> </w:t>
      </w:r>
      <w:r>
        <w:rPr>
          <w:rStyle w:val="VerbatimChar"/>
        </w:rPr>
        <w:t xml:space="preserve">genome_medicine_submission/main_figures/</w:t>
      </w:r>
    </w:p>
    <w:p>
      <w:pPr>
        <w:pStyle w:val="FirstParagraph"/>
      </w:pPr>
      <w:r>
        <w:t xml:space="preserve">Main-figure selection is driven by the three load-bearing claims of the paper (two externally-validated orthogonal pre-CRT axes; regimen-agnostic interpretation across chemo-timing; directionally coherent radiation-phase pharmacodynamics as an orthogonal dynamic layer). HLA typing / neoantigen (§3.6–3.7) and PyClone-VI clonal evolution are presented as supporting detail in Supp Fig S15 and S16 respectively, consistent with their anecdotal or trend-level signals (HLA-LOH strict Fisher P = 0.49; PyClone MW P = 0.34).</w:t>
      </w:r>
    </w:p>
    <w:p>
      <w:pPr>
        <w:pStyle w:val="Compact"/>
        <w:numPr>
          <w:ilvl w:val="0"/>
          <w:numId w:val="1005"/>
        </w:numPr>
      </w:pPr>
      <w:r>
        <w:rPr>
          <w:b/>
          <w:bCs/>
        </w:rPr>
        <w:t xml:space="preserve">Figure 1.</w:t>
      </w:r>
      <w:r>
        <w:t xml:space="preserve"> </w:t>
      </w:r>
      <w:r>
        <w:t xml:space="preserve">Study design and headline summary (4 panels).</w:t>
      </w:r>
      <w:r>
        <w:t xml:space="preserve"> </w:t>
      </w:r>
      <w:r>
        <w:rPr>
          <w:b/>
          <w:bCs/>
        </w:rPr>
        <w:t xml:space="preserve">A</w:t>
      </w:r>
      <w:r>
        <w:t xml:space="preserve"> </w:t>
      </w:r>
      <w:r>
        <w:t xml:space="preserve">Three-track study-design schematic — top track: our TNT cohort (diagnosis → pre-biopsy →</w:t>
      </w:r>
      <w:r>
        <w:t xml:space="preserve"> </w:t>
      </w:r>
      <w:r>
        <w:rPr>
          <w:b/>
          <w:bCs/>
        </w:rPr>
        <w:t xml:space="preserve">SC-RT 25 Gy / 5 Fx</w:t>
      </w:r>
      <w:r>
        <w:t xml:space="preserve"> </w:t>
      </w:r>
      <w:r>
        <w:t xml:space="preserve">alone → post-biopsy → FOLFOX/CAPOX consolidation → surgery/watch-and-wait); middle track: LC-CRT external nCRT-long cohorts (50.4 Gy / 28 Fx + concurrent capecitabine → surgery; GSE35452/45404/56699/133057/87211 + Akiyoshi 2023 GSE216616); bottom track: SC-RT-matched external GSE254249 (Gao 2025; SC-RT 5 × 5 Gy + FOLFOXIRI → surgery); all three converge to a shared final-response endpoint. The radiation-phase sampling window is explicitly bracketed on the top track; right-margin callouts flag the two regimen axes (RT fractionation and chemo-timing/backbone).</w:t>
      </w:r>
      <w:r>
        <w:t xml:space="preserve"> </w:t>
      </w:r>
      <w:r>
        <w:rPr>
          <w:b/>
          <w:bCs/>
        </w:rPr>
        <w:t xml:space="preserve">B</w:t>
      </w:r>
      <w:r>
        <w:t xml:space="preserve"> </w:t>
      </w:r>
      <w:r>
        <w:t xml:space="preserve">Cohort Sankey (Sex → cT → final TNT response) for N = 35 MSS LARC patients with ribbon polygons.</w:t>
      </w:r>
      <w:r>
        <w:t xml:space="preserve"> </w:t>
      </w:r>
      <w:r>
        <w:rPr>
          <w:b/>
          <w:bCs/>
        </w:rPr>
        <w:t xml:space="preserve">C</w:t>
      </w:r>
      <w:r>
        <w:t xml:space="preserve"> </w:t>
      </w:r>
      <w:r>
        <w:t xml:space="preserve">Sample × assay availability matrix — 35 subjects (rows sorted good-then-bad) × 6 columns (WES 28 normal + 35 pre + 14 post = 77 samples; RNA-seq 10 normal + 33 pre + 13 post = 56 samples); 12 subjects contribute paired pre + post RNA-seq.</w:t>
      </w:r>
      <w:r>
        <w:t xml:space="preserve"> </w:t>
      </w:r>
      <w:r>
        <w:rPr>
          <w:b/>
          <w:bCs/>
        </w:rPr>
        <w:t xml:space="preserve">D</w:t>
      </w:r>
      <w:r>
        <w:t xml:space="preserve"> </w:t>
      </w:r>
      <w:r>
        <w:t xml:space="preserve">Five-row summary-forest preview: (1) pre-CRT parsimonious 4-feature LASSO nested LOOCV AUC 0.745 [0.56, 0.90] (Fig 5); (2) Thread 1 external 5-cohort LC-CRT meta max Z = +3.21 (DSB +3.17, cell-cycle +3.21, E2F/MYC +2.79; Fig 9A); (3) Thread 2 6-source CD8-cytotoxic Z = +3.29, P = 0.001, N = 816 (Fig 9A); (4)</w:t>
      </w:r>
      <w:r>
        <w:t xml:space="preserve"> </w:t>
      </w:r>
      <w:r>
        <w:rPr>
          <w:b/>
          <w:bCs/>
        </w:rPr>
        <w:t xml:space="preserve">SC-RT-matched external validation (GSE254249 post-TNT, N = 8): 7/7 signatures concordant with discovery direction, binomial sign P = 0.016; T-cell infiltration MW P = 0.036 (Fig 9E)</w:t>
      </w:r>
      <w:r>
        <w:t xml:space="preserve">; (5) paired radiation-phase pharmacodynamics — EMT 6/6 good P = 0.016, IGH directional coherence aggregate Wilcoxon P = 0.035 (Figs 6, 7).</w:t>
      </w:r>
    </w:p>
    <w:p>
      <w:pPr>
        <w:pStyle w:val="Compact"/>
        <w:numPr>
          <w:ilvl w:val="0"/>
          <w:numId w:val="1005"/>
        </w:numPr>
      </w:pPr>
      <w:r>
        <w:rPr>
          <w:b/>
          <w:bCs/>
        </w:rPr>
        <w:t xml:space="preserve">Figure 2.</w:t>
      </w:r>
      <w:r>
        <w:t xml:space="preserve"> </w:t>
      </w:r>
      <w:r>
        <w:t xml:space="preserve">WES landscape establishing MSS/TMB-low MSS-LARC biology (ICB biomarkers do not apply).</w:t>
      </w:r>
      <w:r>
        <w:t xml:space="preserve"> </w:t>
      </w:r>
      <w:r>
        <w:rPr>
          <w:b/>
          <w:bCs/>
        </w:rPr>
        <w:t xml:space="preserve">A</w:t>
      </w:r>
      <w:r>
        <w:t xml:space="preserve"> </w:t>
      </w:r>
      <w:r>
        <w:t xml:space="preserve">driver oncoprint N = 35 pre;</w:t>
      </w:r>
      <w:r>
        <w:t xml:space="preserve"> </w:t>
      </w:r>
      <w:r>
        <w:rPr>
          <w:b/>
          <w:bCs/>
        </w:rPr>
        <w:t xml:space="preserve">B</w:t>
      </w:r>
      <w:r>
        <w:t xml:space="preserve"> </w:t>
      </w:r>
      <w:r>
        <w:t xml:space="preserve">TMB raincloud by response;</w:t>
      </w:r>
      <w:r>
        <w:t xml:space="preserve"> </w:t>
      </w:r>
      <w:r>
        <w:rPr>
          <w:b/>
          <w:bCs/>
        </w:rPr>
        <w:t xml:space="preserve">C</w:t>
      </w:r>
      <w:r>
        <w:t xml:space="preserve"> </w:t>
      </w:r>
      <w:r>
        <w:t xml:space="preserve">SBS signature attribution;</w:t>
      </w:r>
      <w:r>
        <w:t xml:space="preserve"> </w:t>
      </w:r>
      <w:r>
        <w:rPr>
          <w:b/>
          <w:bCs/>
        </w:rPr>
        <w:t xml:space="preserve">D</w:t>
      </w:r>
      <w:r>
        <w:t xml:space="preserve"> </w:t>
      </w:r>
      <w:r>
        <w:t xml:space="preserve">response-grouped TMB + MSI waterfall (MSS universal);</w:t>
      </w:r>
      <w:r>
        <w:t xml:space="preserve"> </w:t>
      </w:r>
      <w:r>
        <w:rPr>
          <w:b/>
          <w:bCs/>
        </w:rPr>
        <w:t xml:space="preserve">E</w:t>
      </w:r>
      <w:r>
        <w:t xml:space="preserve"> </w:t>
      </w:r>
      <w:r>
        <w:t xml:space="preserve">CNV CIN by response;</w:t>
      </w:r>
      <w:r>
        <w:t xml:space="preserve"> </w:t>
      </w:r>
      <w:r>
        <w:rPr>
          <w:b/>
          <w:bCs/>
        </w:rPr>
        <w:t xml:space="preserve">F</w:t>
      </w:r>
      <w:r>
        <w:t xml:space="preserve"> </w:t>
      </w:r>
      <w:r>
        <w:t xml:space="preserve">HRD-proxy breakdown LST/TAI/LOH.</w:t>
      </w:r>
    </w:p>
    <w:p>
      <w:pPr>
        <w:pStyle w:val="Compact"/>
        <w:numPr>
          <w:ilvl w:val="0"/>
          <w:numId w:val="1005"/>
        </w:numPr>
      </w:pPr>
      <w:r>
        <w:rPr>
          <w:b/>
          <w:bCs/>
        </w:rPr>
        <w:t xml:space="preserve">Figure 3.</w:t>
      </w:r>
      <w:r>
        <w:t xml:space="preserve"> </w:t>
      </w:r>
      <w:r>
        <w:t xml:space="preserve">Pre-CRT Thread 1 — tumor-intrinsic DNA-repair / cell-cycle axis (§3.3).</w:t>
      </w:r>
      <w:r>
        <w:t xml:space="preserve"> </w:t>
      </w:r>
      <w:r>
        <w:rPr>
          <w:b/>
          <w:bCs/>
        </w:rPr>
        <w:t xml:space="preserve">A</w:t>
      </w:r>
      <w:r>
        <w:t xml:space="preserve"> </w:t>
      </w:r>
      <w:r>
        <w:t xml:space="preserve">Hallmark running-ES for top sets;</w:t>
      </w:r>
      <w:r>
        <w:t xml:space="preserve"> </w:t>
      </w:r>
      <w:r>
        <w:rPr>
          <w:b/>
          <w:bCs/>
        </w:rPr>
        <w:t xml:space="preserve">B</w:t>
      </w:r>
      <w:r>
        <w:t xml:space="preserve"> </w:t>
      </w:r>
      <w:r>
        <w:t xml:space="preserve">Hallmark NES × FDR bubble;</w:t>
      </w:r>
      <w:r>
        <w:t xml:space="preserve"> </w:t>
      </w:r>
      <w:r>
        <w:rPr>
          <w:b/>
          <w:bCs/>
        </w:rPr>
        <w:t xml:space="preserve">C</w:t>
      </w:r>
      <w:r>
        <w:t xml:space="preserve"> </w:t>
      </w:r>
      <w:r>
        <w:t xml:space="preserve">Reactome pathway dotplot;</w:t>
      </w:r>
      <w:r>
        <w:t xml:space="preserve"> </w:t>
      </w:r>
      <w:r>
        <w:rPr>
          <w:b/>
          <w:bCs/>
        </w:rPr>
        <w:t xml:space="preserve">D</w:t>
      </w:r>
      <w:r>
        <w:t xml:space="preserve"> </w:t>
      </w:r>
      <w:r>
        <w:t xml:space="preserve">GSEA enrichment-map network;</w:t>
      </w:r>
      <w:r>
        <w:t xml:space="preserve"> </w:t>
      </w:r>
      <w:r>
        <w:rPr>
          <w:b/>
          <w:bCs/>
        </w:rPr>
        <w:t xml:space="preserve">E</w:t>
      </w:r>
      <w:r>
        <w:t xml:space="preserve"> </w:t>
      </w:r>
      <w:r>
        <w:t xml:space="preserve">ssGSEA 95-set heatmap. (Category-level NES summary — a coarser aggregation of the same pathway set — is in Supp Fig S5.)</w:t>
      </w:r>
    </w:p>
    <w:p>
      <w:pPr>
        <w:pStyle w:val="Compact"/>
        <w:numPr>
          <w:ilvl w:val="0"/>
          <w:numId w:val="1005"/>
        </w:numPr>
      </w:pPr>
      <w:r>
        <w:rPr>
          <w:b/>
          <w:bCs/>
        </w:rPr>
        <w:t xml:space="preserve">Figure 4.</w:t>
      </w:r>
      <w:r>
        <w:t xml:space="preserve"> </w:t>
      </w:r>
      <w:r>
        <w:t xml:space="preserve">Pre-CRT Thread 2 — immune CD8-cytotoxic axis (§3.4).</w:t>
      </w:r>
      <w:r>
        <w:t xml:space="preserve"> </w:t>
      </w:r>
      <w:r>
        <w:rPr>
          <w:b/>
          <w:bCs/>
        </w:rPr>
        <w:t xml:space="preserve">A</w:t>
      </w:r>
      <w:r>
        <w:t xml:space="preserve"> </w:t>
      </w:r>
      <w:r>
        <w:t xml:space="preserve">TME signature radar;</w:t>
      </w:r>
      <w:r>
        <w:t xml:space="preserve"> </w:t>
      </w:r>
      <w:r>
        <w:rPr>
          <w:b/>
          <w:bCs/>
        </w:rPr>
        <w:t xml:space="preserve">B</w:t>
      </w:r>
      <w:r>
        <w:t xml:space="preserve"> </w:t>
      </w:r>
      <w:r>
        <w:t xml:space="preserve">22-signature z-score heatmap;</w:t>
      </w:r>
      <w:r>
        <w:t xml:space="preserve"> </w:t>
      </w:r>
      <w:r>
        <w:rPr>
          <w:b/>
          <w:bCs/>
        </w:rPr>
        <w:t xml:space="preserve">C</w:t>
      </w:r>
      <w:r>
        <w:t xml:space="preserve"> </w:t>
      </w:r>
      <w:r>
        <w:t xml:space="preserve">DEG volcano;</w:t>
      </w:r>
      <w:r>
        <w:t xml:space="preserve"> </w:t>
      </w:r>
      <w:r>
        <w:rPr>
          <w:b/>
          <w:bCs/>
        </w:rPr>
        <w:t xml:space="preserve">D</w:t>
      </w:r>
      <w:r>
        <w:t xml:space="preserve"> </w:t>
      </w:r>
      <w:r>
        <w:t xml:space="preserve">signature-response forest lollipop;</w:t>
      </w:r>
      <w:r>
        <w:t xml:space="preserve"> </w:t>
      </w:r>
      <w:r>
        <w:rPr>
          <w:b/>
          <w:bCs/>
        </w:rPr>
        <w:t xml:space="preserve">E</w:t>
      </w:r>
      <w:r>
        <w:t xml:space="preserve"> </w:t>
      </w:r>
      <w:r>
        <w:t xml:space="preserve">CD8-cytotoxic × CD8 exhaustion biaxial;</w:t>
      </w:r>
      <w:r>
        <w:t xml:space="preserve"> </w:t>
      </w:r>
      <w:r>
        <w:rPr>
          <w:b/>
          <w:bCs/>
        </w:rPr>
        <w:t xml:space="preserve">F</w:t>
      </w:r>
      <w:r>
        <w:t xml:space="preserve"> </w:t>
      </w:r>
      <w:r>
        <w:t xml:space="preserve">TLS Cabrita score.</w:t>
      </w:r>
    </w:p>
    <w:p>
      <w:pPr>
        <w:pStyle w:val="Compact"/>
        <w:numPr>
          <w:ilvl w:val="0"/>
          <w:numId w:val="1005"/>
        </w:numPr>
      </w:pPr>
      <w:r>
        <w:rPr>
          <w:b/>
          <w:bCs/>
        </w:rPr>
        <w:t xml:space="preserve">Figure 5.</w:t>
      </w:r>
      <w:r>
        <w:t xml:space="preserve"> </w:t>
      </w:r>
      <w:r>
        <w:t xml:space="preserve">Integrated nested-LOOCV LASSO predictor on the parsimonious 36-feature panel (§3.5).</w:t>
      </w:r>
      <w:r>
        <w:t xml:space="preserve"> </w:t>
      </w:r>
      <w:r>
        <w:rPr>
          <w:b/>
          <w:bCs/>
        </w:rPr>
        <w:t xml:space="preserve">A</w:t>
      </w:r>
      <w:r>
        <w:t xml:space="preserve"> </w:t>
      </w:r>
      <w:r>
        <w:t xml:space="preserve">Feature correlation;</w:t>
      </w:r>
      <w:r>
        <w:t xml:space="preserve"> </w:t>
      </w:r>
      <w:r>
        <w:rPr>
          <w:b/>
          <w:bCs/>
        </w:rPr>
        <w:t xml:space="preserve">B nested outer-LOOCV ROC: drop-CD8-proliferation ElasticNet AUC 0.745 (95 % bootstrap CI 0.56–0.90)</w:t>
      </w:r>
      <w:r>
        <w:t xml:space="preserve">;</w:t>
      </w:r>
      <w:r>
        <w:t xml:space="preserve"> </w:t>
      </w:r>
      <w:r>
        <w:rPr>
          <w:b/>
          <w:bCs/>
        </w:rPr>
        <w:t xml:space="preserve">C</w:t>
      </w:r>
      <w:r>
        <w:t xml:space="preserve"> </w:t>
      </w:r>
      <w:r>
        <w:t xml:space="preserve">four-feature coefficient forest (DSB repair +0.89, genomic deletion fraction −0.76, MHC II −0.23, MSI % +0.12);</w:t>
      </w:r>
      <w:r>
        <w:t xml:space="preserve"> </w:t>
      </w:r>
      <w:r>
        <w:rPr>
          <w:b/>
          <w:bCs/>
        </w:rPr>
        <w:t xml:space="preserve">D</w:t>
      </w:r>
      <w:r>
        <w:t xml:space="preserve"> </w:t>
      </w:r>
      <w:r>
        <w:t xml:space="preserve">UMAP of integrated features;</w:t>
      </w:r>
      <w:r>
        <w:t xml:space="preserve"> </w:t>
      </w:r>
      <w:r>
        <w:rPr>
          <w:b/>
          <w:bCs/>
        </w:rPr>
        <w:t xml:space="preserve">E</w:t>
      </w:r>
      <w:r>
        <w:t xml:space="preserve"> </w:t>
      </w:r>
      <w:r>
        <w:t xml:space="preserve">SHAP beeswarm on the 4-feature model. Per-subject predicted probabilities at the 0.5 cut-off are shown in Supp Fig S8C for transparency; the main-figure performance claim rests on the threshold-free AUC in B.</w:t>
      </w:r>
    </w:p>
    <w:p>
      <w:pPr>
        <w:pStyle w:val="Compact"/>
        <w:numPr>
          <w:ilvl w:val="0"/>
          <w:numId w:val="1005"/>
        </w:numPr>
      </w:pPr>
      <w:r>
        <w:rPr>
          <w:b/>
          <w:bCs/>
        </w:rPr>
        <w:t xml:space="preserve">Figure 6.</w:t>
      </w:r>
      <w:r>
        <w:t xml:space="preserve"> </w:t>
      </w:r>
      <w:r>
        <w:t xml:space="preserve">Target engagement of the four Thread-1 baseline factors in paired radiation-phase biopsies (§3.9; n = 6 + 6).</w:t>
      </w:r>
      <w:r>
        <w:t xml:space="preserve"> </w:t>
      </w:r>
      <w:r>
        <w:rPr>
          <w:b/>
          <w:bCs/>
        </w:rPr>
        <w:t xml:space="preserve">A</w:t>
      </w:r>
      <w:r>
        <w:t xml:space="preserve"> </w:t>
      </w:r>
      <w:r>
        <w:t xml:space="preserve">Single-axis oriented-Δ distribution — y-axis plots Δ (post − pre) re-signed by each factor’s a-priori predicted direction and normalised to the feature’s per-feature scale, so</w:t>
      </w:r>
      <w:r>
        <w:t xml:space="preserve"> </w:t>
      </w:r>
      <w:r>
        <w:t xml:space="preserve">“positive = moved in predicted direction”</w:t>
      </w:r>
      <w:r>
        <w:t xml:space="preserve"> </w:t>
      </w:r>
      <w:r>
        <w:t xml:space="preserve">is the universal reading. Four factors (DSB/HDR, tumor cell-cycle, E2F/MYC, EMT) laid out along the x-axis; per factor, two strips (good left, bad right) with IQR box + median diamond + jittered hollow circles; faint teal shading above zero (predicted-direction zone) and faint coral shading below (opposite zone); the zero line is thick (no change). Per-strip n_pred/n_total and within-group binomial P below each strip; MW P above each factor group; a gold ★ highlights the EMT good 6/6 unanimous result (P = 0.016). Top-right badge reports the aggregate 40 / 48 directional concordance (binomial P &lt; 10⁻⁵).</w:t>
      </w:r>
      <w:r>
        <w:t xml:space="preserve"> </w:t>
      </w:r>
      <w:r>
        <w:rPr>
          <w:b/>
          <w:bCs/>
        </w:rPr>
        <w:t xml:space="preserve">B</w:t>
      </w:r>
      <w:r>
        <w:t xml:space="preserve"> </w:t>
      </w:r>
      <w:r>
        <w:t xml:space="preserve">Directional concordance grouped bar — fraction moving in predicted direction per factor per group with a 50 % chance reference line; n_pred / n_total annotated on each bar; EMT good bar carries the gold star + P = 0.016.</w:t>
      </w:r>
    </w:p>
    <w:p>
      <w:pPr>
        <w:pStyle w:val="Compact"/>
        <w:numPr>
          <w:ilvl w:val="0"/>
          <w:numId w:val="1005"/>
        </w:numPr>
      </w:pPr>
      <w:r>
        <w:rPr>
          <w:b/>
          <w:bCs/>
        </w:rPr>
        <w:t xml:space="preserve">Figure 7.</w:t>
      </w:r>
      <w:r>
        <w:t xml:space="preserve"> </w:t>
      </w:r>
      <w:r>
        <w:t xml:space="preserve">IGH V-gene repertoire directional coherence in paired radiation-phase biopsies (§3.10; 53 coverage-filtered V-genes × 12 paired subjects).</w:t>
      </w:r>
      <w:r>
        <w:t xml:space="preserve"> </w:t>
      </w:r>
      <w:r>
        <w:rPr>
          <w:b/>
          <w:bCs/>
        </w:rPr>
        <w:t xml:space="preserve">A</w:t>
      </w:r>
      <w:r>
        <w:t xml:space="preserve"> </w:t>
      </w:r>
      <w:r>
        <w:t xml:space="preserve">Repertoire-coherence aggregate evidence in three sub-panels: (i) scatter of per-V-gene good vs bad majority fraction with y = x diagonal, 53 V-genes coloured by pattern class; (ii) Wilcoxon distribution of the per-V-gene good − bad majority-fraction gap (one-sided P = 0.035); (iii) horizontal stacked pattern bar (16 good-coherent-bad-mixed vs 7 opposite; binomial P = 0.047). All three aggregate tests P &lt; 0.05.</w:t>
      </w:r>
      <w:r>
        <w:t xml:space="preserve"> </w:t>
      </w:r>
      <w:r>
        <w:rPr>
          <w:b/>
          <w:bCs/>
        </w:rPr>
        <w:t xml:space="preserve">B</w:t>
      </w:r>
      <w:r>
        <w:t xml:space="preserve"> </w:t>
      </w:r>
      <w:r>
        <w:t xml:space="preserve">Subject-level leave-one-out repertoire coherence: for each of 12 paired subjects, fraction of V-genes where their Δ direction agrees with the majority of their other 5 same-group peers; good responders (n = 6) tightly coherent above chance (median 0.62, Wilcoxon vs 0.5 P = 0.016), bad responders (n = 6) indistinguishable from chance (median 0.53, P = 0.156 NS); Mann-Whitney good &gt; bad P = 0.045.</w:t>
      </w:r>
    </w:p>
    <w:p>
      <w:pPr>
        <w:pStyle w:val="Compact"/>
        <w:numPr>
          <w:ilvl w:val="0"/>
          <w:numId w:val="1005"/>
        </w:numPr>
      </w:pPr>
      <w:r>
        <w:rPr>
          <w:b/>
          <w:bCs/>
        </w:rPr>
        <w:t xml:space="preserve">Figure 8.</w:t>
      </w:r>
      <w:r>
        <w:t xml:space="preserve"> </w:t>
      </w:r>
      <w:r>
        <w:t xml:space="preserve">Paired cascade phenomenology with convergence-null callout (§3.11; paired n varies by data axis — WES-based features n = 14 [SBS5] or n = 11–12 [missense / neoantigen]; RNA-based features n = 12; see Methods and Table S8 for per-feature n).</w:t>
      </w:r>
      <w:r>
        <w:t xml:space="preserve"> </w:t>
      </w:r>
      <w:r>
        <w:rPr>
          <w:b/>
          <w:bCs/>
        </w:rPr>
        <w:t xml:space="preserve">A</w:t>
      </w:r>
      <w:r>
        <w:t xml:space="preserve"> </w:t>
      </w:r>
      <w:r>
        <w:t xml:space="preserve">Between-group BCa forest of 9 cascade features on a standardised Z-scale (diff_median ÷ (CI width / 3.92)) with vertical reference lines at Z = 0 and Z = ± 1.96; Treg highlighted gold as the only feature with CI strictly excluding zero (standardised Z ≈ +2.5).</w:t>
      </w:r>
      <w:r>
        <w:t xml:space="preserve"> </w:t>
      </w:r>
      <w:r>
        <w:rPr>
          <w:b/>
          <w:bCs/>
        </w:rPr>
        <w:t xml:space="preserve">B</w:t>
      </w:r>
      <w:r>
        <w:t xml:space="preserve"> </w:t>
      </w:r>
      <w:r>
        <w:t xml:space="preserve">Single-axis oriented-Δ distribution across all 9 cascade features (same grammar as Fig 6A): per-feature IQR box + median diamond + jittered dots for good vs bad on a common normalised frame.</w:t>
      </w:r>
      <w:r>
        <w:t xml:space="preserve"> </w:t>
      </w:r>
      <w:r>
        <w:rPr>
          <w:b/>
          <w:bCs/>
        </w:rPr>
        <w:t xml:space="preserve">C</w:t>
      </w:r>
      <w:r>
        <w:t xml:space="preserve"> </w:t>
      </w:r>
      <w:r>
        <w:t xml:space="preserve">Within-group Δ forest with per-feature scale-normalised CIs — two rows per feature (good above, bad below); filled diamonds mark CIs strictly excluding zero (SBS5, neo_binders, neo_sites, MHC-II, CD8 exhaustion, Treg within good).</w:t>
      </w:r>
      <w:r>
        <w:t xml:space="preserve"> </w:t>
      </w:r>
      <w:r>
        <w:rPr>
          <w:b/>
          <w:bCs/>
        </w:rPr>
        <w:t xml:space="preserve">D</w:t>
      </w:r>
      <w:r>
        <w:t xml:space="preserve"> </w:t>
      </w:r>
      <w:r>
        <w:t xml:space="preserve">Per-subject Δ waterfall for SBS5 mutation clearance (top) and MHC-I neoantigen binder clearance (bottom), coloured by response group.</w:t>
      </w:r>
      <w:r>
        <w:t xml:space="preserve"> </w:t>
      </w:r>
      <w:r>
        <w:rPr>
          <w:b/>
          <w:bCs/>
        </w:rPr>
        <w:t xml:space="preserve">E</w:t>
      </w:r>
      <w:r>
        <w:t xml:space="preserve"> </w:t>
      </w:r>
      <w:r>
        <w:t xml:space="preserve">HLA class I LOH clone clearance trajectories — subj 3 (2 loci → 0) and subj 4 (1 locus → 0) shown as bold teal trajectories with filled diamond endpoints; summary box: pre 2 / 16 good → post 0 / 16 (both cleared).</w:t>
      </w:r>
      <w:r>
        <w:t xml:space="preserve"> </w:t>
      </w:r>
      <w:r>
        <w:rPr>
          <w:b/>
          <w:bCs/>
        </w:rPr>
        <w:t xml:space="preserve">F</w:t>
      </w:r>
      <w:r>
        <w:t xml:space="preserve"> </w:t>
      </w:r>
      <w:r>
        <w:t xml:space="preserve">Cascade schematic + convergence-null callout — left half: 6-stage cascade flow (Radiation → Clone clearance → Antigen clearance → Immune reprogramming [Treg ★] → B-cell infiltration → Final TNT response) as rounded-rectangle boxes with downward arrows; right half: boxed convergence-null callout (Q: baseline → cascade Δ? A: big</w:t>
      </w:r>
      <w:r>
        <w:t xml:space="preserve"> </w:t>
      </w:r>
      <w:r>
        <w:t xml:space="preserve">“NO”</w:t>
      </w:r>
      <w:r>
        <w:t xml:space="preserve"> </w:t>
      </w:r>
      <w:r>
        <w:t xml:space="preserve">·</w:t>
      </w:r>
      <w:r>
        <w:t xml:space="preserve"> </w:t>
      </w:r>
      <w:r>
        <w:t xml:space="preserve">“0 / 36 pairs P &lt; 0.05”</w:t>
      </w:r>
      <w:r>
        <w:t xml:space="preserve"> </w:t>
      </w:r>
      <w:r>
        <w:t xml:space="preserve">·</w:t>
      </w:r>
      <w:r>
        <w:t xml:space="preserve"> </w:t>
      </w:r>
      <w:r>
        <w:t xml:space="preserve">“DSB → CD8-cyt r = −0.07”</w:t>
      </w:r>
      <w:r>
        <w:t xml:space="preserve"> </w:t>
      </w:r>
      <w:r>
        <w:t xml:space="preserve">·</w:t>
      </w:r>
      <w:r>
        <w:t xml:space="preserve"> </w:t>
      </w:r>
      <w:r>
        <w:t xml:space="preserve">“Static ⊥ Dynamic (orthogonal, not cascading)”</w:t>
      </w:r>
      <w:r>
        <w:t xml:space="preserve">). The cascade is phenomenology, not a causal downstream of the baseline predictor.</w:t>
      </w:r>
    </w:p>
    <w:p>
      <w:pPr>
        <w:pStyle w:val="Compact"/>
        <w:numPr>
          <w:ilvl w:val="0"/>
          <w:numId w:val="1005"/>
        </w:numPr>
      </w:pPr>
      <w:r>
        <w:rPr>
          <w:b/>
          <w:bCs/>
        </w:rPr>
        <w:t xml:space="preserve">Figure 9.</w:t>
      </w:r>
      <w:r>
        <w:t xml:space="preserve"> </w:t>
      </w:r>
      <w:r>
        <w:t xml:space="preserve">External validation — two-thread regimen-agnostic meta across three regimen strata (§3.12).</w:t>
      </w:r>
      <w:r>
        <w:t xml:space="preserve"> </w:t>
      </w:r>
      <w:r>
        <w:rPr>
          <w:b/>
          <w:bCs/>
        </w:rPr>
        <w:t xml:space="preserve">A</w:t>
      </w:r>
      <w:r>
        <w:t xml:space="preserve"> </w:t>
      </w:r>
      <w:r>
        <w:t xml:space="preserve">Forest combining 5-cohort LC-CRT Thread 1 (DSB, cell-cycle, E2F/MYC, EMT; N = 518) with 6-source Thread 2 CD8-cytotoxic including the Akiyoshi 2023 paper-level row (N = 816).</w:t>
      </w:r>
      <w:r>
        <w:t xml:space="preserve"> </w:t>
      </w:r>
      <w:r>
        <w:rPr>
          <w:b/>
          <w:bCs/>
        </w:rPr>
        <w:t xml:space="preserve">B</w:t>
      </w:r>
      <w:r>
        <w:t xml:space="preserve"> </w:t>
      </w:r>
      <w:r>
        <w:t xml:space="preserve">Signature × cohort effect-size heatmap.</w:t>
      </w:r>
      <w:r>
        <w:t xml:space="preserve"> </w:t>
      </w:r>
      <w:r>
        <w:rPr>
          <w:b/>
          <w:bCs/>
        </w:rPr>
        <w:t xml:space="preserve">C</w:t>
      </w:r>
      <w:r>
        <w:t xml:space="preserve"> </w:t>
      </w:r>
      <w:r>
        <w:t xml:space="preserve">Per-cohort concordance bar.</w:t>
      </w:r>
      <w:r>
        <w:t xml:space="preserve"> </w:t>
      </w:r>
      <w:r>
        <w:rPr>
          <w:b/>
          <w:bCs/>
        </w:rPr>
        <w:t xml:space="preserve">D</w:t>
      </w:r>
      <w:r>
        <w:t xml:space="preserve"> </w:t>
      </w:r>
      <w:r>
        <w:t xml:space="preserve">Discovery vs LC-CRT external effect sizes for both threads, with the chemo-timing axis (our TNT consolidation vs external nCRT concurrent) annotated.</w:t>
      </w:r>
      <w:r>
        <w:t xml:space="preserve"> </w:t>
      </w:r>
      <w:r>
        <w:rPr>
          <w:b/>
          <w:bCs/>
        </w:rPr>
        <w:t xml:space="preserve">E SC-RT-matched external validation head-to-head (new in v0.7.5): per-signature bar of post-TNT Δ(good − bad) in GSE254249 (Gao</w:t>
      </w:r>
      <w:r>
        <w:rPr>
          <w:b/>
          <w:bCs/>
        </w:rPr>
        <w:t xml:space="preserve"> </w:t>
      </w:r>
      <w:r>
        <w:rPr>
          <w:b/>
          <w:bCs/>
          <w:i/>
          <w:iCs/>
        </w:rPr>
        <w:t xml:space="preserve">Cancer Cell</w:t>
      </w:r>
      <w:r>
        <w:rPr>
          <w:b/>
          <w:bCs/>
        </w:rPr>
        <w:t xml:space="preserve"> </w:t>
      </w:r>
      <w:r>
        <w:rPr>
          <w:b/>
          <w:bCs/>
        </w:rPr>
        <w:t xml:space="preserve">2025, N = 8; SC-RT 5 × 5 Gy + FOLFOXIRI) with expected-direction shading; right-margin MW-P annotation (Tcell_infiltration P = 0.036 gold-starred); bottom callout box summarising 7/7 signature concordance with discovery direction (binomial sign P = 0.016) and the three-regimen-stratum regimen-agnostic framing</w:t>
      </w:r>
      <w:r>
        <w:t xml:space="preserve">.</w:t>
      </w:r>
    </w:p>
    <w:bookmarkEnd w:id="52"/>
    <w:bookmarkStart w:id="53" w:name="X8c0915a0f324cfd1ac31be765d100fd2732131d"/>
    <w:p>
      <w:pPr>
        <w:pStyle w:val="Heading2"/>
      </w:pPr>
      <w:r>
        <w:t xml:space="preserve">Supplementary figures — matching</w:t>
      </w:r>
      <w:r>
        <w:t xml:space="preserve"> </w:t>
      </w:r>
      <w:r>
        <w:rPr>
          <w:rStyle w:val="VerbatimChar"/>
        </w:rPr>
        <w:t xml:space="preserve">genome_medicine_submission/supplementary_figures/</w:t>
      </w:r>
    </w:p>
    <w:p>
      <w:pPr>
        <w:pStyle w:val="Compact"/>
        <w:numPr>
          <w:ilvl w:val="0"/>
          <w:numId w:val="1006"/>
        </w:numPr>
      </w:pPr>
      <w:r>
        <w:rPr>
          <w:b/>
          <w:bCs/>
        </w:rPr>
        <w:t xml:space="preserve">Supp Fig S1.</w:t>
      </w:r>
      <w:r>
        <w:t xml:space="preserve"> </w:t>
      </w:r>
      <w:r>
        <w:t xml:space="preserve">Cohort QC.</w:t>
      </w:r>
    </w:p>
    <w:p>
      <w:pPr>
        <w:pStyle w:val="Compact"/>
        <w:numPr>
          <w:ilvl w:val="0"/>
          <w:numId w:val="1006"/>
        </w:numPr>
      </w:pPr>
      <w:r>
        <w:rPr>
          <w:b/>
          <w:bCs/>
        </w:rPr>
        <w:t xml:space="preserve">Supp Fig S2.</w:t>
      </w:r>
      <w:r>
        <w:t xml:space="preserve"> </w:t>
      </w:r>
      <w:r>
        <w:t xml:space="preserve">SBS signature panel.</w:t>
      </w:r>
    </w:p>
    <w:p>
      <w:pPr>
        <w:pStyle w:val="Compact"/>
        <w:numPr>
          <w:ilvl w:val="0"/>
          <w:numId w:val="1006"/>
        </w:numPr>
      </w:pPr>
      <w:r>
        <w:rPr>
          <w:b/>
          <w:bCs/>
        </w:rPr>
        <w:t xml:space="preserve">Supp Fig S3.</w:t>
      </w:r>
      <w:r>
        <w:t xml:space="preserve"> </w:t>
      </w:r>
      <w:r>
        <w:t xml:space="preserve">CNV + HRD detail per subject.</w:t>
      </w:r>
    </w:p>
    <w:p>
      <w:pPr>
        <w:pStyle w:val="Compact"/>
        <w:numPr>
          <w:ilvl w:val="0"/>
          <w:numId w:val="1006"/>
        </w:numPr>
      </w:pPr>
      <w:r>
        <w:rPr>
          <w:b/>
          <w:bCs/>
        </w:rPr>
        <w:t xml:space="preserve">Supp Fig S4.</w:t>
      </w:r>
      <w:r>
        <w:t xml:space="preserve"> </w:t>
      </w:r>
      <w:r>
        <w:t xml:space="preserve">Oncoprint + VAF detail.</w:t>
      </w:r>
    </w:p>
    <w:p>
      <w:pPr>
        <w:pStyle w:val="Compact"/>
        <w:numPr>
          <w:ilvl w:val="0"/>
          <w:numId w:val="1006"/>
        </w:numPr>
      </w:pPr>
      <w:r>
        <w:rPr>
          <w:b/>
          <w:bCs/>
        </w:rPr>
        <w:t xml:space="preserve">Supp Fig S5.</w:t>
      </w:r>
      <w:r>
        <w:t xml:space="preserve"> </w:t>
      </w:r>
      <w:r>
        <w:t xml:space="preserve">Full GSEA supplement (Hallmark + Reactome pathway-level detail beyond the top sets shown in Fig 3A–B; includes a category-level NES boxplot aggregating pathways into DNA-repair / cell-cycle / EMT-stromal / immune / metabolism categories, confirming that the Thread-1 directional coherence — DNA-repair and cell-cycle categories NES &gt; 0, EMT / stromal NES &lt; 0 in eventual good responders — holds at category-level aggregation as well as at individual-pathway level).</w:t>
      </w:r>
    </w:p>
    <w:p>
      <w:pPr>
        <w:pStyle w:val="Compact"/>
        <w:numPr>
          <w:ilvl w:val="0"/>
          <w:numId w:val="1006"/>
        </w:numPr>
      </w:pPr>
      <w:r>
        <w:rPr>
          <w:b/>
          <w:bCs/>
        </w:rPr>
        <w:t xml:space="preserve">Supp Fig S6.</w:t>
      </w:r>
      <w:r>
        <w:t xml:space="preserve"> </w:t>
      </w:r>
      <w:r>
        <w:t xml:space="preserve">ssGSEA + CMS classification detail.</w:t>
      </w:r>
    </w:p>
    <w:p>
      <w:pPr>
        <w:pStyle w:val="Compact"/>
        <w:numPr>
          <w:ilvl w:val="0"/>
          <w:numId w:val="1006"/>
        </w:numPr>
      </w:pPr>
      <w:r>
        <w:rPr>
          <w:b/>
          <w:bCs/>
        </w:rPr>
        <w:t xml:space="preserve">Supp Fig S7.</w:t>
      </w:r>
      <w:r>
        <w:t xml:space="preserve"> </w:t>
      </w:r>
      <w:r>
        <w:t xml:space="preserve">TRUST4 immune repertoire per sample (TCR/BCR diversity).</w:t>
      </w:r>
    </w:p>
    <w:p>
      <w:pPr>
        <w:pStyle w:val="Compact"/>
        <w:numPr>
          <w:ilvl w:val="0"/>
          <w:numId w:val="1006"/>
        </w:numPr>
      </w:pPr>
      <w:r>
        <w:rPr>
          <w:b/>
          <w:bCs/>
        </w:rPr>
        <w:t xml:space="preserve">Supp Fig S8.</w:t>
      </w:r>
      <w:r>
        <w:t xml:space="preserve"> </w:t>
      </w:r>
      <w:r>
        <w:t xml:space="preserve">ML model comparison (LASSO / ElasticNet / RandomForest, 5-scenario nested LOOCV).</w:t>
      </w:r>
      <w:r>
        <w:t xml:space="preserve"> </w:t>
      </w:r>
      <w:r>
        <w:rPr>
          <w:b/>
          <w:bCs/>
        </w:rPr>
        <w:t xml:space="preserve">A</w:t>
      </w:r>
      <w:r>
        <w:t xml:space="preserve"> </w:t>
      </w:r>
      <w:r>
        <w:t xml:space="preserve">AUC bar across five scenarios with 95 % bootstrap CI;</w:t>
      </w:r>
      <w:r>
        <w:t xml:space="preserve"> </w:t>
      </w:r>
      <w:r>
        <w:rPr>
          <w:b/>
          <w:bCs/>
        </w:rPr>
        <w:t xml:space="preserve">B</w:t>
      </w:r>
      <w:r>
        <w:t xml:space="preserve"> </w:t>
      </w:r>
      <w:r>
        <w:t xml:space="preserve">ROC overlay for all five scenarios;</w:t>
      </w:r>
      <w:r>
        <w:t xml:space="preserve"> </w:t>
      </w:r>
      <w:r>
        <w:rPr>
          <w:b/>
          <w:bCs/>
        </w:rPr>
        <w:t xml:space="preserve">C</w:t>
      </w:r>
      <w:r>
        <w:t xml:space="preserve"> </w:t>
      </w:r>
      <w:r>
        <w:t xml:space="preserve">per-subject predicted P(good) for the winning drop-CD8-proliferation ElasticNet (previously Fig 5F) — bars coloured by true label, 0.5 threshold annotated, misclassified subjects marked for per-patient transparency. The threshold-free AUC in Fig 5B is the load-bearing performance metric; the 0.5-threshold accuracy is provided here for reviewer reference but is not the headline claim.</w:t>
      </w:r>
    </w:p>
    <w:p>
      <w:pPr>
        <w:pStyle w:val="Compact"/>
        <w:numPr>
          <w:ilvl w:val="0"/>
          <w:numId w:val="1006"/>
        </w:numPr>
      </w:pPr>
      <w:r>
        <w:rPr>
          <w:b/>
          <w:bCs/>
        </w:rPr>
        <w:t xml:space="preserve">Supp Fig S9.</w:t>
      </w:r>
      <w:r>
        <w:t xml:space="preserve"> </w:t>
      </w:r>
      <w:r>
        <w:t xml:space="preserve">GEO cohorts overview + CONSORT-style 9 → 5 primary + 4 excluded exclusion diagram.</w:t>
      </w:r>
    </w:p>
    <w:p>
      <w:pPr>
        <w:pStyle w:val="Compact"/>
        <w:numPr>
          <w:ilvl w:val="0"/>
          <w:numId w:val="1006"/>
        </w:numPr>
      </w:pPr>
      <w:r>
        <w:rPr>
          <w:b/>
          <w:bCs/>
        </w:rPr>
        <w:t xml:space="preserve">Supp Fig S10.</w:t>
      </w:r>
      <w:r>
        <w:t xml:space="preserve"> </w:t>
      </w:r>
      <w:r>
        <w:t xml:space="preserve">HLA/neoantigen detail.</w:t>
      </w:r>
    </w:p>
    <w:p>
      <w:pPr>
        <w:pStyle w:val="Compact"/>
        <w:numPr>
          <w:ilvl w:val="0"/>
          <w:numId w:val="1006"/>
        </w:numPr>
      </w:pPr>
      <w:r>
        <w:rPr>
          <w:b/>
          <w:bCs/>
        </w:rPr>
        <w:t xml:space="preserve">Supp Fig S11.</w:t>
      </w:r>
      <w:r>
        <w:t xml:space="preserve"> </w:t>
      </w:r>
      <w:r>
        <w:t xml:space="preserve">PyClone-VI diagnostics.</w:t>
      </w:r>
    </w:p>
    <w:p>
      <w:pPr>
        <w:pStyle w:val="Compact"/>
        <w:numPr>
          <w:ilvl w:val="0"/>
          <w:numId w:val="1006"/>
        </w:numPr>
      </w:pPr>
      <w:r>
        <w:rPr>
          <w:b/>
          <w:bCs/>
        </w:rPr>
        <w:t xml:space="preserve">Supp Fig S12.</w:t>
      </w:r>
      <w:r>
        <w:t xml:space="preserve"> </w:t>
      </w:r>
      <w:r>
        <w:t xml:space="preserve">Sample-flow CONSORT diagram.</w:t>
      </w:r>
    </w:p>
    <w:p>
      <w:pPr>
        <w:pStyle w:val="Compact"/>
        <w:numPr>
          <w:ilvl w:val="0"/>
          <w:numId w:val="1006"/>
        </w:numPr>
      </w:pPr>
      <w:r>
        <w:rPr>
          <w:b/>
          <w:bCs/>
        </w:rPr>
        <w:t xml:space="preserve">Supp Fig S13.</w:t>
      </w:r>
      <w:r>
        <w:t xml:space="preserve"> </w:t>
      </w:r>
      <w:r>
        <w:t xml:space="preserve">HLA-LOH strict vs lite, subj 3 and 4 pre→post resolution.</w:t>
      </w:r>
    </w:p>
    <w:p>
      <w:pPr>
        <w:pStyle w:val="Compact"/>
        <w:numPr>
          <w:ilvl w:val="0"/>
          <w:numId w:val="1006"/>
        </w:numPr>
      </w:pPr>
      <w:r>
        <w:rPr>
          <w:b/>
          <w:bCs/>
        </w:rPr>
        <w:t xml:space="preserve">Supp Fig S14.</w:t>
      </w:r>
      <w:r>
        <w:t xml:space="preserve"> </w:t>
      </w:r>
      <w:r>
        <w:t xml:space="preserve">Per-patient clinical waterfall.</w:t>
      </w:r>
    </w:p>
    <w:p>
      <w:pPr>
        <w:pStyle w:val="Compact"/>
        <w:numPr>
          <w:ilvl w:val="0"/>
          <w:numId w:val="1006"/>
        </w:numPr>
      </w:pPr>
      <w:r>
        <w:rPr>
          <w:b/>
          <w:bCs/>
        </w:rPr>
        <w:t xml:space="preserve">Supp Fig S15.</w:t>
      </w:r>
      <w:r>
        <w:t xml:space="preserve"> </w:t>
      </w:r>
      <w:r>
        <w:t xml:space="preserve">HLA class I landscape and MHC-I neoantigen cascade (§3.6–3.7; downgraded from main Fig 8 in v0.7.3 because all between-group claims in this panel are anecdotal or trend-level at n ≤ 16 versus the load-bearing claims of the paper).</w:t>
      </w:r>
      <w:r>
        <w:t xml:space="preserve"> </w:t>
      </w:r>
      <w:r>
        <w:rPr>
          <w:b/>
          <w:bCs/>
        </w:rPr>
        <w:t xml:space="preserve">A</w:t>
      </w:r>
      <w:r>
        <w:t xml:space="preserve"> </w:t>
      </w:r>
      <w:r>
        <w:t xml:space="preserve">HLA allele frequency;</w:t>
      </w:r>
      <w:r>
        <w:t xml:space="preserve"> </w:t>
      </w:r>
      <w:r>
        <w:rPr>
          <w:b/>
          <w:bCs/>
        </w:rPr>
        <w:t xml:space="preserve">B</w:t>
      </w:r>
      <w:r>
        <w:t xml:space="preserve"> </w:t>
      </w:r>
      <w:r>
        <w:t xml:space="preserve">HLA homozygosity by response;</w:t>
      </w:r>
      <w:r>
        <w:t xml:space="preserve"> </w:t>
      </w:r>
      <w:r>
        <w:rPr>
          <w:b/>
          <w:bCs/>
        </w:rPr>
        <w:t xml:space="preserve">C</w:t>
      </w:r>
      <w:r>
        <w:t xml:space="preserve"> </w:t>
      </w:r>
      <w:r>
        <w:t xml:space="preserve">HLA-LOH strict (Bonferroni Fisher P = 0.49) vs lite (uncorrected) comparison;</w:t>
      </w:r>
      <w:r>
        <w:t xml:space="preserve"> </w:t>
      </w:r>
      <w:r>
        <w:rPr>
          <w:b/>
          <w:bCs/>
        </w:rPr>
        <w:t xml:space="preserve">D</w:t>
      </w:r>
      <w:r>
        <w:t xml:space="preserve"> </w:t>
      </w:r>
      <w:r>
        <w:t xml:space="preserve">pre-CRT neoantigen burden by response;</w:t>
      </w:r>
      <w:r>
        <w:t xml:space="preserve"> </w:t>
      </w:r>
      <w:r>
        <w:rPr>
          <w:b/>
          <w:bCs/>
        </w:rPr>
        <w:t xml:space="preserve">E</w:t>
      </w:r>
      <w:r>
        <w:t xml:space="preserve"> </w:t>
      </w:r>
      <w:r>
        <w:t xml:space="preserve">paired Δ binders (n = 11, within-good but not between-group);</w:t>
      </w:r>
      <w:r>
        <w:t xml:space="preserve"> </w:t>
      </w:r>
      <w:r>
        <w:rPr>
          <w:b/>
          <w:bCs/>
        </w:rPr>
        <w:t xml:space="preserve">F</w:t>
      </w:r>
      <w:r>
        <w:t xml:space="preserve"> </w:t>
      </w:r>
      <w:r>
        <w:t xml:space="preserve">per-subject neoantigen lollipop.</w:t>
      </w:r>
    </w:p>
    <w:p>
      <w:pPr>
        <w:pStyle w:val="Compact"/>
        <w:numPr>
          <w:ilvl w:val="0"/>
          <w:numId w:val="1006"/>
        </w:numPr>
      </w:pPr>
      <w:r>
        <w:rPr>
          <w:b/>
          <w:bCs/>
        </w:rPr>
        <w:t xml:space="preserve">Supp Fig S16.</w:t>
      </w:r>
      <w:r>
        <w:t xml:space="preserve"> </w:t>
      </w:r>
      <w:r>
        <w:t xml:space="preserve">PyClone-VI clonal evolution during the radiation phase (§3.11; downgraded from main Fig 9 in v0.7.3 because dominant-clone shrinkage good vs bad MW P = 0.34 is trend-level at n = 12).</w:t>
      </w:r>
      <w:r>
        <w:t xml:space="preserve"> </w:t>
      </w:r>
      <w:r>
        <w:rPr>
          <w:b/>
          <w:bCs/>
        </w:rPr>
        <w:t xml:space="preserve">A</w:t>
      </w:r>
      <w:r>
        <w:t xml:space="preserve"> </w:t>
      </w:r>
      <w:r>
        <w:t xml:space="preserve">Per-subject clone-cluster CCF trajectories pre→post;</w:t>
      </w:r>
      <w:r>
        <w:t xml:space="preserve"> </w:t>
      </w:r>
      <w:r>
        <w:rPr>
          <w:b/>
          <w:bCs/>
        </w:rPr>
        <w:t xml:space="preserve">B</w:t>
      </w:r>
      <w:r>
        <w:t xml:space="preserve"> </w:t>
      </w:r>
      <w:r>
        <w:t xml:space="preserve">CCF pre vs post scatter coloured by clone cluster;</w:t>
      </w:r>
      <w:r>
        <w:t xml:space="preserve"> </w:t>
      </w:r>
      <w:r>
        <w:rPr>
          <w:b/>
          <w:bCs/>
        </w:rPr>
        <w:t xml:space="preserve">C</w:t>
      </w:r>
      <w:r>
        <w:t xml:space="preserve"> </w:t>
      </w:r>
      <w:r>
        <w:t xml:space="preserve">cluster composition stack;</w:t>
      </w:r>
      <w:r>
        <w:t xml:space="preserve"> </w:t>
      </w:r>
      <w:r>
        <w:rPr>
          <w:b/>
          <w:bCs/>
        </w:rPr>
        <w:t xml:space="preserve">D</w:t>
      </w:r>
      <w:r>
        <w:t xml:space="preserve"> </w:t>
      </w:r>
      <w:r>
        <w:t xml:space="preserve">dominant-clone shrinkage Δ by response;</w:t>
      </w:r>
      <w:r>
        <w:t xml:space="preserve"> </w:t>
      </w:r>
      <w:r>
        <w:rPr>
          <w:b/>
          <w:bCs/>
        </w:rPr>
        <w:t xml:space="preserve">E</w:t>
      </w:r>
      <w:r>
        <w:t xml:space="preserve"> </w:t>
      </w:r>
      <w:r>
        <w:t xml:space="preserve">shrink versus expand scatter;</w:t>
      </w:r>
      <w:r>
        <w:t xml:space="preserve"> </w:t>
      </w:r>
      <w:r>
        <w:rPr>
          <w:b/>
          <w:bCs/>
        </w:rPr>
        <w:t xml:space="preserve">F</w:t>
      </w:r>
      <w:r>
        <w:t xml:space="preserve"> </w:t>
      </w:r>
      <w:r>
        <w:t xml:space="preserve">clone-fate composition by response.</w:t>
      </w:r>
    </w:p>
    <w:p>
      <w:pPr>
        <w:pStyle w:val="Compact"/>
        <w:numPr>
          <w:ilvl w:val="0"/>
          <w:numId w:val="1006"/>
        </w:numPr>
      </w:pPr>
      <w:r>
        <w:rPr>
          <w:b/>
          <w:bCs/>
        </w:rPr>
        <w:t xml:space="preserve">Supp Fig S17.</w:t>
      </w:r>
      <w:r>
        <w:t xml:space="preserve"> </w:t>
      </w:r>
      <w:r>
        <w:t xml:space="preserve">Target-engagement member-pathway detail (Fig 6 companion; §3.9).</w:t>
      </w:r>
      <w:r>
        <w:t xml:space="preserve"> </w:t>
      </w:r>
      <w:r>
        <w:rPr>
          <w:b/>
          <w:bCs/>
        </w:rPr>
        <w:t xml:space="preserve">A</w:t>
      </w:r>
      <w:r>
        <w:t xml:space="preserve"> </w:t>
      </w:r>
      <w:r>
        <w:t xml:space="preserve">17-row member-level sign-count bar (4 composites + 13 member pathways × good/bad counts, central 0-line with bars extending left for bad and right for good).</w:t>
      </w:r>
      <w:r>
        <w:t xml:space="preserve"> </w:t>
      </w:r>
      <w:r>
        <w:rPr>
          <w:b/>
          <w:bCs/>
        </w:rPr>
        <w:t xml:space="preserve">B</w:t>
      </w:r>
      <w:r>
        <w:t xml:space="preserve"> </w:t>
      </w:r>
      <w:r>
        <w:t xml:space="preserve">Per-subject Δ heatmap (17 signatures × 12 paired subjects, grouped good | bad with bold divider; cells coloured by re-oriented Δ, teal = predicted direction, coral = opposite).</w:t>
      </w:r>
    </w:p>
    <w:p>
      <w:pPr>
        <w:pStyle w:val="Compact"/>
        <w:numPr>
          <w:ilvl w:val="0"/>
          <w:numId w:val="1006"/>
        </w:numPr>
      </w:pPr>
      <w:r>
        <w:rPr>
          <w:b/>
          <w:bCs/>
        </w:rPr>
        <w:t xml:space="preserve">Supp Fig S18.</w:t>
      </w:r>
      <w:r>
        <w:t xml:space="preserve"> </w:t>
      </w:r>
      <w:r>
        <w:t xml:space="preserve">IGH V-gene directional coherence — full detail (Fig 7 companion; §3.10).</w:t>
      </w:r>
      <w:r>
        <w:t xml:space="preserve"> </w:t>
      </w:r>
      <w:r>
        <w:rPr>
          <w:b/>
          <w:bCs/>
        </w:rPr>
        <w:t xml:space="preserve">A</w:t>
      </w:r>
      <w:r>
        <w:t xml:space="preserve"> </w:t>
      </w:r>
      <w:r>
        <w:t xml:space="preserve">Full 53-V-gene forest ordered by coherence_gap descending — per-V-gene good-count bar (right) + bad-count bar (left) off a central zero axis; per-V-gene Fisher P on far right (gold if ≤ 0.10); pattern-class chip in margin; focus V-genes (IGHV6-1, IGHV3-7, IGHV3-74) starred and gold-highlighted.</w:t>
      </w:r>
      <w:r>
        <w:t xml:space="preserve"> </w:t>
      </w:r>
      <w:r>
        <w:rPr>
          <w:b/>
          <w:bCs/>
        </w:rPr>
        <w:t xml:space="preserve">B</w:t>
      </w:r>
      <w:r>
        <w:t xml:space="preserve"> </w:t>
      </w:r>
      <w:r>
        <w:t xml:space="preserve">Pattern-class scatter map with all 53 V-gene names labelled, y = x diagonal reference, pattern-class legend — functions as a lookup for the Panel A forest.</w:t>
      </w:r>
    </w:p>
    <w:p>
      <w:pPr>
        <w:pStyle w:val="Compact"/>
        <w:numPr>
          <w:ilvl w:val="0"/>
          <w:numId w:val="1006"/>
        </w:numPr>
      </w:pPr>
      <w:r>
        <w:rPr>
          <w:b/>
          <w:bCs/>
        </w:rPr>
        <w:t xml:space="preserve">Supp Fig S19.</w:t>
      </w:r>
      <w:r>
        <w:t xml:space="preserve"> </w:t>
      </w:r>
      <w:r>
        <w:t xml:space="preserve">External-validation sensitivity analyses (Fig 9 companion; §3.12).</w:t>
      </w:r>
      <w:r>
        <w:t xml:space="preserve"> </w:t>
      </w:r>
      <w:r>
        <w:rPr>
          <w:b/>
          <w:bCs/>
        </w:rPr>
        <w:t xml:space="preserve">A</w:t>
      </w:r>
      <w:r>
        <w:t xml:space="preserve"> </w:t>
      </w:r>
      <w:r>
        <w:t xml:space="preserve">9-cohort unrestricted sensitivity meta forest: 7 signatures each shown as paired 5-cohort solid diamond + 9-cohort hollow diamond, demonstrating that the 5-cohort restriction sharpens the pooled Z without artificially inflating any signal.</w:t>
      </w:r>
      <w:r>
        <w:t xml:space="preserve"> </w:t>
      </w:r>
      <w:r>
        <w:rPr>
          <w:b/>
          <w:bCs/>
        </w:rPr>
        <w:t xml:space="preserve">B</w:t>
      </w:r>
      <w:r>
        <w:t xml:space="preserve"> </w:t>
      </w:r>
      <w:r>
        <w:t xml:space="preserve">Akiyoshi 2023 alternative-statistic sensitivity: 4 alternative published statistics (cytolytic activity ★ primary, effector-memory CD8 ssGSEA, MCP-counter cytotoxic lymphocyte, activated CD8 ssGSEA) each combined with the 5-cohort CD8 pool — all four yield 6-source Z &gt; +2.15 and P &lt; 0.05 (primary Z = +3.29, P &lt; 0.001).</w:t>
      </w:r>
    </w:p>
    <w:p>
      <w:pPr>
        <w:pStyle w:val="Compact"/>
        <w:numPr>
          <w:ilvl w:val="0"/>
          <w:numId w:val="1006"/>
        </w:numPr>
      </w:pPr>
      <w:r>
        <w:rPr>
          <w:b/>
          <w:bCs/>
        </w:rPr>
        <w:t xml:space="preserve">Supp Fig S20.</w:t>
      </w:r>
      <w:r>
        <w:t xml:space="preserve"> </w:t>
      </w:r>
      <w:r>
        <w:t xml:space="preserve">Convergence-null detail (Fig 8 companion; §3.11).</w:t>
      </w:r>
      <w:r>
        <w:t xml:space="preserve"> </w:t>
      </w:r>
      <w:r>
        <w:rPr>
          <w:b/>
          <w:bCs/>
        </w:rPr>
        <w:t xml:space="preserve">A</w:t>
      </w:r>
      <w:r>
        <w:t xml:space="preserve"> </w:t>
      </w:r>
      <w:r>
        <w:t xml:space="preserve">36-pair convergence-test scatter sorted by |Spearman r| descending, per-pair lollipop with dot at r, dashed P = 0.05 reference at |r| ≈ 0.58; big</w:t>
      </w:r>
      <w:r>
        <w:t xml:space="preserve"> </w:t>
      </w:r>
      <w:r>
        <w:t xml:space="preserve">“0 / 36 pairs P &lt; 0.05”</w:t>
      </w:r>
      <w:r>
        <w:t xml:space="preserve"> </w:t>
      </w:r>
      <w:r>
        <w:t xml:space="preserve">callout.</w:t>
      </w:r>
      <w:r>
        <w:t xml:space="preserve"> </w:t>
      </w:r>
      <w:r>
        <w:rPr>
          <w:b/>
          <w:bCs/>
        </w:rPr>
        <w:t xml:space="preserve">B</w:t>
      </w:r>
      <w:r>
        <w:t xml:space="preserve"> </w:t>
      </w:r>
      <w:r>
        <w:t xml:space="preserve">Purity-adjusted paired Δ sensitivity — Δ before vs after CNVkit tumor-purity correction for the 4 key cascade features (Treg, MHC-II, CD8 exhaustion, IGH_n) to confirm cascade observations are not driven by biopsy purity shifts.</w:t>
      </w:r>
    </w:p>
    <w:p>
      <w:pPr>
        <w:pStyle w:val="Compact"/>
        <w:numPr>
          <w:ilvl w:val="0"/>
          <w:numId w:val="1006"/>
        </w:numPr>
      </w:pPr>
      <w:r>
        <w:rPr>
          <w:b/>
          <w:bCs/>
        </w:rPr>
        <w:t xml:space="preserve">Supp Fig S21 (new in v0.7.5).</w:t>
      </w:r>
      <w:r>
        <w:t xml:space="preserve"> </w:t>
      </w:r>
      <w:r>
        <w:t xml:space="preserve">GSE254249 SC-RT-matched external validation full detail (Fig 9E companion; §3.12.2).</w:t>
      </w:r>
      <w:r>
        <w:t xml:space="preserve"> </w:t>
      </w:r>
      <w:r>
        <w:rPr>
          <w:b/>
          <w:bCs/>
        </w:rPr>
        <w:t xml:space="preserve">A</w:t>
      </w:r>
      <w:r>
        <w:t xml:space="preserve"> </w:t>
      </w:r>
      <w:r>
        <w:t xml:space="preserve">Pre-treatment × response per-signature boxplot (n = 3, 1 good + 2 bad; directional-only given N).</w:t>
      </w:r>
      <w:r>
        <w:t xml:space="preserve"> </w:t>
      </w:r>
      <w:r>
        <w:rPr>
          <w:b/>
          <w:bCs/>
        </w:rPr>
        <w:t xml:space="preserve">B</w:t>
      </w:r>
      <w:r>
        <w:t xml:space="preserve"> </w:t>
      </w:r>
      <w:r>
        <w:t xml:space="preserve">Post-TNT × response per-signature boxplot (n = 8, 5 good CR + 3 non-CR) — the primary SC-RT validation panel with Mann–Whitney P annotated per signature.</w:t>
      </w:r>
      <w:r>
        <w:t xml:space="preserve"> </w:t>
      </w:r>
      <w:r>
        <w:rPr>
          <w:b/>
          <w:bCs/>
        </w:rPr>
        <w:t xml:space="preserve">C</w:t>
      </w:r>
      <w:r>
        <w:t xml:space="preserve"> </w:t>
      </w:r>
      <w:r>
        <w:t xml:space="preserve">Paired Δ(post − pre) slopegraph per signature (3 paired subjects) — Thread 1 DSB/cellcycle/E2F/MYC DOWN matching discovery’s target-engagement prediction, EMT UP directional; Thread 2 DOWN in the post-TNT window, plausibly reflecting FOLFOXIRI-era triple-chemo immunosuppression distinct from our FOLFOX/CAPOX context. Source:</w:t>
      </w:r>
      <w:r>
        <w:t xml:space="preserve"> </w:t>
      </w:r>
      <w:r>
        <w:rPr>
          <w:rStyle w:val="VerbatimChar"/>
        </w:rPr>
        <w:t xml:space="preserve">260418_add/Fig_GSE254249_{pre_boxplot,post_boxplot,paired_delta}.{pdf,png}</w:t>
      </w:r>
      <w:r>
        <w:t xml:space="preserve">.</w:t>
      </w:r>
    </w:p>
    <w:p>
      <w:pPr>
        <w:pStyle w:val="Compact"/>
        <w:numPr>
          <w:ilvl w:val="0"/>
          <w:numId w:val="1006"/>
        </w:numPr>
      </w:pPr>
      <w:r>
        <w:rPr>
          <w:b/>
          <w:bCs/>
        </w:rPr>
        <w:t xml:space="preserve">Supp Fig S22 (new in v0.7.7).</w:t>
      </w:r>
      <w:r>
        <w:t xml:space="preserve"> </w:t>
      </w:r>
      <w:r>
        <w:t xml:space="preserve">NanoString PanCancer Immune orthogonal validation composite (§3.14). Six-panel summary:</w:t>
      </w:r>
      <w:r>
        <w:t xml:space="preserve"> </w:t>
      </w:r>
      <w:r>
        <w:rPr>
          <w:b/>
          <w:bCs/>
        </w:rPr>
        <w:t xml:space="preserve">A</w:t>
      </w:r>
      <w:r>
        <w:t xml:space="preserve"> </w:t>
      </w:r>
      <w:r>
        <w:t xml:space="preserve">pre / post / Δ composite Δ-heatmap for all 23 composites (rows) × 3 timepoints (columns) with ceiling / near-ceiling P-annotations;</w:t>
      </w:r>
      <w:r>
        <w:t xml:space="preserve"> </w:t>
      </w:r>
      <w:r>
        <w:rPr>
          <w:b/>
          <w:bCs/>
        </w:rPr>
        <w:t xml:space="preserve">B</w:t>
      </w:r>
      <w:r>
        <w:t xml:space="preserve"> </w:t>
      </w:r>
      <w:r>
        <w:t xml:space="preserve">pre-treatment direction waterfall showing 23/23 good &gt; bad composites with six ceiling hits;</w:t>
      </w:r>
      <w:r>
        <w:t xml:space="preserve"> </w:t>
      </w:r>
      <w:r>
        <w:rPr>
          <w:b/>
          <w:bCs/>
        </w:rPr>
        <w:t xml:space="preserve">C</w:t>
      </w:r>
      <w:r>
        <w:t xml:space="preserve"> </w:t>
      </w:r>
      <w:r>
        <w:t xml:space="preserve">6-panel regulatory-grade signature pre vs post (Ayers TIS, IFN-γ 6, IFN-γ 10, CD8 cytotoxic, IMPRES, M1 macrophage);</w:t>
      </w:r>
      <w:r>
        <w:t xml:space="preserve"> </w:t>
      </w:r>
      <w:r>
        <w:rPr>
          <w:b/>
          <w:bCs/>
        </w:rPr>
        <w:t xml:space="preserve">D</w:t>
      </w:r>
      <w:r>
        <w:t xml:space="preserve"> </w:t>
      </w:r>
      <w:r>
        <w:t xml:space="preserve">composite-level IAE (n = 2) vs IBI (n = 3) descriptive effect-size bar;</w:t>
      </w:r>
      <w:r>
        <w:t xml:space="preserve"> </w:t>
      </w:r>
      <w:r>
        <w:rPr>
          <w:b/>
          <w:bCs/>
        </w:rPr>
        <w:t xml:space="preserve">E</w:t>
      </w:r>
      <w:r>
        <w:t xml:space="preserve"> </w:t>
      </w:r>
      <w:r>
        <w:t xml:space="preserve">top 16 genes by |IAE − IBI| effect size;</w:t>
      </w:r>
      <w:r>
        <w:t xml:space="preserve"> </w:t>
      </w:r>
      <w:r>
        <w:rPr>
          <w:b/>
          <w:bCs/>
        </w:rPr>
        <w:t xml:space="preserve">F</w:t>
      </w:r>
      <w:r>
        <w:t xml:space="preserve"> </w:t>
      </w:r>
      <w:r>
        <w:t xml:space="preserve">cross-platform cascade arrow 4 scatter (Δ CD8-exhaustion × Δ TLS-8, Pearson r = + 0.82, P = 0.046). Source:</w:t>
      </w:r>
      <w:r>
        <w:t xml:space="preserve"> </w:t>
      </w:r>
      <w:r>
        <w:rPr>
          <w:rStyle w:val="VerbatimChar"/>
        </w:rPr>
        <w:t xml:space="preserve">260424_nanostring/manuscript/figures/FigS22_NanoString_composite.pdf</w:t>
      </w:r>
      <w:r>
        <w:t xml:space="preserve">.</w:t>
      </w:r>
    </w:p>
    <w:p>
      <w:pPr>
        <w:pStyle w:val="Compact"/>
        <w:numPr>
          <w:ilvl w:val="0"/>
          <w:numId w:val="1006"/>
        </w:numPr>
      </w:pPr>
      <w:r>
        <w:rPr>
          <w:b/>
          <w:bCs/>
        </w:rPr>
        <w:t xml:space="preserve">Supp Fig S23 (new in v0.7.7).</w:t>
      </w:r>
      <w:r>
        <w:t xml:space="preserve"> </w:t>
      </w:r>
      <w:r>
        <w:t xml:space="preserve">NanoString pre / post / Δ composite-level full heatmap (enlarged Panel A of S22). Source:</w:t>
      </w:r>
      <w:r>
        <w:t xml:space="preserve"> </w:t>
      </w:r>
      <w:r>
        <w:rPr>
          <w:rStyle w:val="VerbatimChar"/>
        </w:rPr>
        <w:t xml:space="preserve">260424_nanostring/manuscript/figures/FigS23_NanoString_prepostdelta_heatmap.pdf</w:t>
      </w:r>
      <w:r>
        <w:t xml:space="preserve">.</w:t>
      </w:r>
    </w:p>
    <w:p>
      <w:pPr>
        <w:pStyle w:val="Compact"/>
        <w:numPr>
          <w:ilvl w:val="0"/>
          <w:numId w:val="1006"/>
        </w:numPr>
      </w:pPr>
      <w:r>
        <w:rPr>
          <w:b/>
          <w:bCs/>
        </w:rPr>
        <w:t xml:space="preserve">Supp Fig S24 (new in v0.7.7).</w:t>
      </w:r>
      <w:r>
        <w:t xml:space="preserve"> </w:t>
      </w:r>
      <w:r>
        <w:t xml:space="preserve">NanoString regulatory-grade signature full detail (enlarged Panel C of S22): Ayers TIS [63], IFN-γ 6-gene [64], IFN-γ 10-gene [64], CD8 cytotoxic, IMPRES [65], M1 macrophage — per-subject dots + group-mean bars at pre and post, with MW P annotated. Source:</w:t>
      </w:r>
      <w:r>
        <w:t xml:space="preserve"> </w:t>
      </w:r>
      <w:r>
        <w:rPr>
          <w:rStyle w:val="VerbatimChar"/>
        </w:rPr>
        <w:t xml:space="preserve">260424_nanostring/manuscript/figures/FigS24_NanoString_canonical_signatures.pdf</w:t>
      </w:r>
      <w:r>
        <w:t xml:space="preserve">.</w:t>
      </w:r>
    </w:p>
    <w:p>
      <w:pPr>
        <w:pStyle w:val="Compact"/>
        <w:numPr>
          <w:ilvl w:val="0"/>
          <w:numId w:val="1006"/>
        </w:numPr>
      </w:pPr>
      <w:r>
        <w:rPr>
          <w:b/>
          <w:bCs/>
        </w:rPr>
        <w:t xml:space="preserve">Supp Fig S25 (new in v0.7.7).</w:t>
      </w:r>
      <w:r>
        <w:t xml:space="preserve"> </w:t>
      </w:r>
      <w:r>
        <w:t xml:space="preserve">Inflamed-but-Ineffective (IBI) vs Inflamed-Active-Effective (IAE) molecular fingerprint (§3.14.5): composite-level + gene-level ordered bar plots of IAE − IBI mean Δ (post-RT), with IAE-productive genes (JAK3, IKBKB, TAPBP, ZAP70, BATF, LAG3, TLR8, IFIH1, PYCARD, STAT6) in teal and IBI-unproductive / suppressive genes (KIR_Inhibiting_Subgroup_2, ARG2, RAG1, MS4A1, XCL2, CCL24) in coral. Source:</w:t>
      </w:r>
      <w:r>
        <w:t xml:space="preserve"> </w:t>
      </w:r>
      <w:r>
        <w:rPr>
          <w:rStyle w:val="VerbatimChar"/>
        </w:rPr>
        <w:t xml:space="preserve">260424_nanostring/manuscript/figures/FigS25_IBI_vs_IAE_fingerprint.pdf</w:t>
      </w:r>
      <w:r>
        <w:t xml:space="preserve">.</w:t>
      </w:r>
    </w:p>
    <w:p>
      <w:pPr>
        <w:pStyle w:val="Compact"/>
        <w:numPr>
          <w:ilvl w:val="0"/>
          <w:numId w:val="1006"/>
        </w:numPr>
      </w:pPr>
      <w:r>
        <w:rPr>
          <w:b/>
          <w:bCs/>
        </w:rPr>
        <w:t xml:space="preserve">Supp Fig S26 (new in v0.7.7).</w:t>
      </w:r>
      <w:r>
        <w:t xml:space="preserve"> </w:t>
      </w:r>
      <w:r>
        <w:t xml:space="preserve">Subject radar fingerprints for s4 (atypical good pCR, antigen-presentation-centric route), s2 (textbook good pCR, inflamed-expansion route), and s11 (bad poor, IBI archetype, RNA-seq pre missing). 17 composite axes × pre vs post overlay polar plots. Source:</w:t>
      </w:r>
      <w:r>
        <w:t xml:space="preserve"> </w:t>
      </w:r>
      <w:r>
        <w:rPr>
          <w:rStyle w:val="VerbatimChar"/>
        </w:rPr>
        <w:t xml:space="preserve">260424_nanostring/manuscript/figures/FigS26_subject_radar.pdf</w:t>
      </w:r>
      <w:r>
        <w:t xml:space="preserve">.</w:t>
      </w:r>
    </w:p>
    <w:p>
      <w:pPr>
        <w:pStyle w:val="Compact"/>
        <w:numPr>
          <w:ilvl w:val="0"/>
          <w:numId w:val="1006"/>
        </w:numPr>
      </w:pPr>
      <w:r>
        <w:rPr>
          <w:b/>
          <w:bCs/>
        </w:rPr>
        <w:t xml:space="preserve">Supp Fig S27 (new in v0.7.7).</w:t>
      </w:r>
      <w:r>
        <w:t xml:space="preserve"> </w:t>
      </w:r>
      <w:r>
        <w:t xml:space="preserve">Pre-registered Arrow 5 primary paired Δ (§3.14.1). P1 CXCL13, P2 TLS-8, P3 Plasma-proxy, P4 GC-TF per-subject slopegraph pre → post with group-mean bars and MW P annotations — showing direction flip attributable to subj 11 and subj 4. Source:</w:t>
      </w:r>
      <w:r>
        <w:t xml:space="preserve"> </w:t>
      </w:r>
      <w:r>
        <w:rPr>
          <w:rStyle w:val="VerbatimChar"/>
        </w:rPr>
        <w:t xml:space="preserve">260424_nanostring/manuscript/figures/FigS27_NanoString_prespec_primary_paired.pdf</w:t>
      </w:r>
      <w:r>
        <w:t xml:space="preserve">.</w:t>
      </w:r>
    </w:p>
    <w:p>
      <w:pPr>
        <w:pStyle w:val="Compact"/>
        <w:numPr>
          <w:ilvl w:val="0"/>
          <w:numId w:val="1006"/>
        </w:numPr>
      </w:pPr>
      <w:r>
        <w:rPr>
          <w:b/>
          <w:bCs/>
        </w:rPr>
        <w:t xml:space="preserve">Supp Fig S28 (new in v0.7.7).</w:t>
      </w:r>
      <w:r>
        <w:t xml:space="preserve"> </w:t>
      </w:r>
      <w:r>
        <w:t xml:space="preserve">Platform concordance diagnostic (§3.14.1): NanoString Δ × RNA-seq Δ per-gene Pearson r histogram across 694 shared genes (median r = + 0.754, 90.1 % r &gt; 0) and top 15 concordant genes. Source:</w:t>
      </w:r>
      <w:r>
        <w:t xml:space="preserve"> </w:t>
      </w:r>
      <w:r>
        <w:rPr>
          <w:rStyle w:val="VerbatimChar"/>
        </w:rPr>
        <w:t xml:space="preserve">260424_nanostring/manuscript/figures/FigS28_NanoString_platform_concordance.pdf</w:t>
      </w:r>
      <w:r>
        <w:t xml:space="preserve">.</w:t>
      </w:r>
    </w:p>
    <w:bookmarkEnd w:id="53"/>
    <w:bookmarkStart w:id="54" w:name="supplementary-text"/>
    <w:p>
      <w:pPr>
        <w:pStyle w:val="Heading2"/>
      </w:pPr>
      <w:r>
        <w:t xml:space="preserve">Supplementary text</w:t>
      </w:r>
    </w:p>
    <w:p>
      <w:pPr>
        <w:pStyle w:val="Compact"/>
        <w:numPr>
          <w:ilvl w:val="0"/>
          <w:numId w:val="1007"/>
        </w:numPr>
      </w:pPr>
      <w:r>
        <w:rPr>
          <w:b/>
          <w:bCs/>
        </w:rPr>
        <w:t xml:space="preserve">Supp Text S1.</w:t>
      </w:r>
      <w:r>
        <w:t xml:space="preserve"> </w:t>
      </w:r>
      <w:r>
        <w:t xml:space="preserve">Extended sequencing methods.</w:t>
      </w:r>
    </w:p>
    <w:p>
      <w:pPr>
        <w:pStyle w:val="Compact"/>
        <w:numPr>
          <w:ilvl w:val="0"/>
          <w:numId w:val="1007"/>
        </w:numPr>
      </w:pPr>
      <w:r>
        <w:rPr>
          <w:b/>
          <w:bCs/>
        </w:rPr>
        <w:t xml:space="preserve">Supp Text S2.</w:t>
      </w:r>
      <w:r>
        <w:t xml:space="preserve"> </w:t>
      </w:r>
      <w:r>
        <w:t xml:space="preserve">Nested-CV pipeline and 5-scenario ablation details.</w:t>
      </w:r>
    </w:p>
    <w:p>
      <w:pPr>
        <w:pStyle w:val="Compact"/>
        <w:numPr>
          <w:ilvl w:val="0"/>
          <w:numId w:val="1007"/>
        </w:numPr>
      </w:pPr>
      <w:r>
        <w:rPr>
          <w:b/>
          <w:bCs/>
        </w:rPr>
        <w:t xml:space="preserve">Supp Text S3.</w:t>
      </w:r>
      <w:r>
        <w:t xml:space="preserve"> </w:t>
      </w:r>
      <w:r>
        <w:t xml:space="preserve">Signature composition audit — CD8 proliferation cell-cycle contamination and response-label classifier bug; corrected pure CD8-cytotoxic panel.</w:t>
      </w:r>
    </w:p>
    <w:p>
      <w:pPr>
        <w:pStyle w:val="Compact"/>
        <w:numPr>
          <w:ilvl w:val="0"/>
          <w:numId w:val="1007"/>
        </w:numPr>
      </w:pPr>
      <w:r>
        <w:rPr>
          <w:b/>
          <w:bCs/>
        </w:rPr>
        <w:t xml:space="preserve">Supp Text S4.</w:t>
      </w:r>
      <w:r>
        <w:t xml:space="preserve"> </w:t>
      </w:r>
      <w:r>
        <w:t xml:space="preserve">Sensitivity analyses — tumor-purity-adjusted paired Δ; BH FDR across cascade claims; drop-cohort leave-one-out meta; full-9-cohort vs restricted-5-cohort side-by-side.</w:t>
      </w:r>
    </w:p>
    <w:p>
      <w:pPr>
        <w:pStyle w:val="Compact"/>
        <w:numPr>
          <w:ilvl w:val="0"/>
          <w:numId w:val="1007"/>
        </w:numPr>
      </w:pPr>
      <w:r>
        <w:rPr>
          <w:b/>
          <w:bCs/>
        </w:rPr>
        <w:t xml:space="preserve">Supp Text S5.</w:t>
      </w:r>
      <w:r>
        <w:t xml:space="preserve"> </w:t>
      </w:r>
      <w:r>
        <w:t xml:space="preserve">Magnitude versus directional-consistency test duality — worked example on IGHV3-7 / IGHV3-74 / IGHV6-1 showing that Wilcoxon / MW on Δ and binomial sign / Fisher on up-down counts test non-identical features of the paired data, and that for small-N paired designs both must be reported.</w:t>
      </w:r>
    </w:p>
    <w:p>
      <w:pPr>
        <w:pStyle w:val="Compact"/>
        <w:numPr>
          <w:ilvl w:val="0"/>
          <w:numId w:val="1007"/>
        </w:numPr>
      </w:pPr>
      <w:r>
        <w:rPr>
          <w:b/>
          <w:bCs/>
        </w:rPr>
        <w:t xml:space="preserve">Supp Text S6 (new in v0.7.5).</w:t>
      </w:r>
      <w:r>
        <w:t xml:space="preserve"> </w:t>
      </w:r>
      <w:r>
        <w:t xml:space="preserve">SC-RT external validation search log and non-public translational-data landscape — comprehensive GEO / ArrayExpress / EGA / GSA-Human / CNGBdb search for SC-RT-TNT transcriptomic cohorts (2026-04-20), identifying GSE254249 (Gao 2025) as the single public candidate and cataloguing non-public SC-RT-TNT translational arms (RAPIDO, Stockholm III, Polish II, STELLAR, STELLAR II, UNION, SPRING-01, LARCT-US) as consortium-controlled future validation targets. Source:</w:t>
      </w:r>
      <w:r>
        <w:t xml:space="preserve"> </w:t>
      </w:r>
      <w:r>
        <w:rPr>
          <w:rStyle w:val="VerbatimChar"/>
        </w:rPr>
        <w:t xml:space="preserve">260418_add/SCRT_external_search.md</w:t>
      </w:r>
      <w:r>
        <w:t xml:space="preserve"> </w:t>
      </w:r>
      <w:r>
        <w:t xml:space="preserve">and</w:t>
      </w:r>
      <w:r>
        <w:t xml:space="preserve"> </w:t>
      </w:r>
      <w:r>
        <w:rPr>
          <w:rStyle w:val="VerbatimChar"/>
        </w:rPr>
        <w:t xml:space="preserve">GSE254249_SUMMARY.md</w:t>
      </w:r>
      <w:r>
        <w:t xml:space="preserve">.</w:t>
      </w:r>
    </w:p>
    <w:p>
      <w:pPr>
        <w:pStyle w:val="Compact"/>
        <w:numPr>
          <w:ilvl w:val="0"/>
          <w:numId w:val="1007"/>
        </w:numPr>
      </w:pPr>
      <w:r>
        <w:rPr>
          <w:b/>
          <w:bCs/>
        </w:rPr>
        <w:t xml:space="preserve">Supp Text S7 (new in v0.7.7).</w:t>
      </w:r>
      <w:r>
        <w:t xml:space="preserve"> </w:t>
      </w:r>
      <w:r>
        <w:t xml:space="preserve">NanoString extreme-phenotype orthogonal validation — frozen pre-specified analysis plan (Arrow 5 Δ rescue decision rule; primary P1–P4, secondary S1–S5, tertiary T1–T3), post-hoc exploratory extensions (23 composites × pre / post / Δ, 4 ratios, full 730-probe pre-only and post-only MW), platform concordance diagnostic (694 shared genes, median r = + 0.75), IBI vs IAE classification rule (ΔAyers-TIS &gt; 0 as</w:t>
      </w:r>
      <w:r>
        <w:t xml:space="preserve"> </w:t>
      </w:r>
      <w:r>
        <w:t xml:space="preserve">“inflamed”</w:t>
      </w:r>
      <w:r>
        <w:t xml:space="preserve">), subject-level deep-dive for subj 4 and subj 11, and honest caveats on 3-vs-3 MW ceiling, gene-sharing across composites, and n = 2 vs n = 3 descriptive nature of the IBI vs IAE fingerprint. Integrated interpretation of §3.14 in the Path B+ Discussion framing. Source:</w:t>
      </w:r>
      <w:r>
        <w:t xml:space="preserve"> </w:t>
      </w:r>
      <w:r>
        <w:rPr>
          <w:rStyle w:val="VerbatimChar"/>
        </w:rPr>
        <w:t xml:space="preserve">260424_nanostring/PRE_SPEC.md</w:t>
      </w:r>
      <w:r>
        <w:t xml:space="preserve">,</w:t>
      </w:r>
      <w:r>
        <w:t xml:space="preserve"> </w:t>
      </w:r>
      <w:r>
        <w:rPr>
          <w:rStyle w:val="VerbatimChar"/>
        </w:rPr>
        <w:t xml:space="preserve">FINAL_VERDICT.md</w:t>
      </w:r>
      <w:r>
        <w:t xml:space="preserve"> </w:t>
      </w:r>
      <w:r>
        <w:t xml:space="preserve">(pre-spec result), and</w:t>
      </w:r>
      <w:r>
        <w:t xml:space="preserve"> </w:t>
      </w:r>
      <w:r>
        <w:rPr>
          <w:rStyle w:val="VerbatimChar"/>
        </w:rPr>
        <w:t xml:space="preserve">FINDINGS_exploratory.md</w:t>
      </w:r>
      <w:r>
        <w:t xml:space="preserve"> </w:t>
      </w:r>
      <w:r>
        <w:t xml:space="preserve">(post-hoc result).</w:t>
      </w:r>
    </w:p>
    <w:bookmarkEnd w:id="54"/>
    <w:bookmarkStart w:id="55" w:name="Xa8f37d083634dca5fe4ed1fdcbfa6008954068f"/>
    <w:p>
      <w:pPr>
        <w:pStyle w:val="Heading2"/>
      </w:pPr>
      <w:r>
        <w:t xml:space="preserve">Tables — materialised in</w:t>
      </w:r>
      <w:r>
        <w:t xml:space="preserve"> </w:t>
      </w:r>
      <w:r>
        <w:rPr>
          <w:rStyle w:val="VerbatimChar"/>
        </w:rPr>
        <w:t xml:space="preserve">genome_medicine_submission/tables/</w:t>
      </w:r>
    </w:p>
    <w:p>
      <w:pPr>
        <w:pStyle w:val="Compact"/>
        <w:numPr>
          <w:ilvl w:val="0"/>
          <w:numId w:val="1008"/>
        </w:numPr>
      </w:pPr>
      <w:r>
        <w:rPr>
          <w:b/>
          <w:bCs/>
        </w:rPr>
        <w:t xml:space="preserve">Table 1.</w:t>
      </w:r>
      <w:r>
        <w:t xml:space="preserve"> </w:t>
      </w:r>
      <w:r>
        <w:t xml:space="preserve">Clinical characteristics by response.</w:t>
      </w:r>
    </w:p>
    <w:p>
      <w:pPr>
        <w:pStyle w:val="Compact"/>
        <w:numPr>
          <w:ilvl w:val="0"/>
          <w:numId w:val="1008"/>
        </w:numPr>
      </w:pPr>
      <w:r>
        <w:rPr>
          <w:b/>
          <w:bCs/>
        </w:rPr>
        <w:t xml:space="preserve">Table 2.</w:t>
      </w:r>
      <w:r>
        <w:t xml:space="preserve"> </w:t>
      </w:r>
      <w:r>
        <w:t xml:space="preserve">Top 20 integrated-feature associations.</w:t>
      </w:r>
    </w:p>
    <w:p>
      <w:pPr>
        <w:pStyle w:val="Compact"/>
        <w:numPr>
          <w:ilvl w:val="0"/>
          <w:numId w:val="1008"/>
        </w:numPr>
      </w:pPr>
      <w:r>
        <w:rPr>
          <w:b/>
          <w:bCs/>
        </w:rPr>
        <w:t xml:space="preserve">Table 3.</w:t>
      </w:r>
      <w:r>
        <w:t xml:space="preserve"> </w:t>
      </w:r>
      <w:r>
        <w:t xml:space="preserve">External-validation meta summary (Thread 1 + Thread 2 in restricted 5-cohort + Akiyoshi augmented CD8 row).</w:t>
      </w:r>
    </w:p>
    <w:p>
      <w:pPr>
        <w:pStyle w:val="Compact"/>
        <w:numPr>
          <w:ilvl w:val="0"/>
          <w:numId w:val="1008"/>
        </w:numPr>
      </w:pPr>
      <w:r>
        <w:rPr>
          <w:b/>
          <w:bCs/>
        </w:rPr>
        <w:t xml:space="preserve">Table S1.</w:t>
      </w:r>
      <w:r>
        <w:t xml:space="preserve"> </w:t>
      </w:r>
      <w:r>
        <w:t xml:space="preserve">36-feature per-subject master table (CD8 proliferation removed).</w:t>
      </w:r>
    </w:p>
    <w:p>
      <w:pPr>
        <w:pStyle w:val="Compact"/>
        <w:numPr>
          <w:ilvl w:val="0"/>
          <w:numId w:val="1008"/>
        </w:numPr>
      </w:pPr>
      <w:r>
        <w:rPr>
          <w:b/>
          <w:bCs/>
        </w:rPr>
        <w:t xml:space="preserve">Table S2.</w:t>
      </w:r>
      <w:r>
        <w:t xml:space="preserve"> </w:t>
      </w:r>
      <w:r>
        <w:t xml:space="preserve">SBS signature activities.</w:t>
      </w:r>
    </w:p>
    <w:p>
      <w:pPr>
        <w:pStyle w:val="Compact"/>
        <w:numPr>
          <w:ilvl w:val="0"/>
          <w:numId w:val="1008"/>
        </w:numPr>
      </w:pPr>
      <w:r>
        <w:rPr>
          <w:b/>
          <w:bCs/>
        </w:rPr>
        <w:t xml:space="preserve">Table S3.</w:t>
      </w:r>
      <w:r>
        <w:t xml:space="preserve"> </w:t>
      </w:r>
      <w:r>
        <w:t xml:space="preserve">Full GSEA Hallmark + Reactome.</w:t>
      </w:r>
    </w:p>
    <w:p>
      <w:pPr>
        <w:pStyle w:val="Compact"/>
        <w:numPr>
          <w:ilvl w:val="0"/>
          <w:numId w:val="1008"/>
        </w:numPr>
      </w:pPr>
      <w:r>
        <w:rPr>
          <w:b/>
          <w:bCs/>
        </w:rPr>
        <w:t xml:space="preserve">Table S4.</w:t>
      </w:r>
      <w:r>
        <w:t xml:space="preserve"> </w:t>
      </w:r>
      <w:r>
        <w:t xml:space="preserve">CRC driver mutations per sample.</w:t>
      </w:r>
    </w:p>
    <w:p>
      <w:pPr>
        <w:pStyle w:val="Compact"/>
        <w:numPr>
          <w:ilvl w:val="0"/>
          <w:numId w:val="1008"/>
        </w:numPr>
      </w:pPr>
      <w:r>
        <w:rPr>
          <w:b/>
          <w:bCs/>
        </w:rPr>
        <w:t xml:space="preserve">Table S5.</w:t>
      </w:r>
      <w:r>
        <w:t xml:space="preserve"> </w:t>
      </w:r>
      <w:r>
        <w:t xml:space="preserve">HLA class I types per subject.</w:t>
      </w:r>
    </w:p>
    <w:p>
      <w:pPr>
        <w:pStyle w:val="Compact"/>
        <w:numPr>
          <w:ilvl w:val="0"/>
          <w:numId w:val="1008"/>
        </w:numPr>
      </w:pPr>
      <w:r>
        <w:rPr>
          <w:b/>
          <w:bCs/>
        </w:rPr>
        <w:t xml:space="preserve">Table S6_v2.</w:t>
      </w:r>
      <w:r>
        <w:t xml:space="preserve"> </w:t>
      </w:r>
      <w:r>
        <w:t xml:space="preserve">pVACseq neoantigen per-sample detail (v2 re-run 2026-04-23; 46 tumors, full cohort; supersedes original Table S6).</w:t>
      </w:r>
    </w:p>
    <w:p>
      <w:pPr>
        <w:pStyle w:val="Compact"/>
        <w:numPr>
          <w:ilvl w:val="0"/>
          <w:numId w:val="1008"/>
        </w:numPr>
      </w:pPr>
      <w:r>
        <w:rPr>
          <w:b/>
          <w:bCs/>
        </w:rPr>
        <w:t xml:space="preserve">Table S7A.</w:t>
      </w:r>
      <w:r>
        <w:t xml:space="preserve"> </w:t>
      </w:r>
      <w:r>
        <w:t xml:space="preserve">External validation per-cohort detail — 9-cohort sensitivity meta.</w:t>
      </w:r>
    </w:p>
    <w:p>
      <w:pPr>
        <w:pStyle w:val="Compact"/>
        <w:numPr>
          <w:ilvl w:val="0"/>
          <w:numId w:val="1008"/>
        </w:numPr>
      </w:pPr>
      <w:r>
        <w:rPr>
          <w:b/>
          <w:bCs/>
        </w:rPr>
        <w:t xml:space="preserve">Table S7B.</w:t>
      </w:r>
      <w:r>
        <w:t xml:space="preserve"> </w:t>
      </w:r>
      <w:r>
        <w:t xml:space="preserve">External validation 4 excluded cohorts with regimen / endpoint / label rationale.</w:t>
      </w:r>
    </w:p>
    <w:p>
      <w:pPr>
        <w:pStyle w:val="Compact"/>
        <w:numPr>
          <w:ilvl w:val="0"/>
          <w:numId w:val="1008"/>
        </w:numPr>
      </w:pPr>
      <w:r>
        <w:rPr>
          <w:b/>
          <w:bCs/>
        </w:rPr>
        <w:t xml:space="preserve">Table S7C.</w:t>
      </w:r>
      <w:r>
        <w:t xml:space="preserve"> </w:t>
      </w:r>
      <w:r>
        <w:t xml:space="preserve">Akiyoshi 2023 alternative-statistic sensitivity for Thread 2 CD8.</w:t>
      </w:r>
    </w:p>
    <w:p>
      <w:pPr>
        <w:pStyle w:val="Compact"/>
        <w:numPr>
          <w:ilvl w:val="0"/>
          <w:numId w:val="1008"/>
        </w:numPr>
      </w:pPr>
      <w:r>
        <w:rPr>
          <w:b/>
          <w:bCs/>
        </w:rPr>
        <w:t xml:space="preserve">Table S8.</w:t>
      </w:r>
      <w:r>
        <w:t xml:space="preserve"> </w:t>
      </w:r>
      <w:r>
        <w:t xml:space="preserve">Cascade BCa 95 % bootstrap CIs.</w:t>
      </w:r>
    </w:p>
    <w:p>
      <w:pPr>
        <w:pStyle w:val="Compact"/>
        <w:numPr>
          <w:ilvl w:val="0"/>
          <w:numId w:val="1008"/>
        </w:numPr>
      </w:pPr>
      <w:r>
        <w:rPr>
          <w:b/>
          <w:bCs/>
        </w:rPr>
        <w:t xml:space="preserve">Table S9.</w:t>
      </w:r>
      <w:r>
        <w:t xml:space="preserve"> </w:t>
      </w:r>
      <w:r>
        <w:t xml:space="preserve">HLA-LOH lenient vs strict per-locus calls.</w:t>
      </w:r>
    </w:p>
    <w:p>
      <w:pPr>
        <w:pStyle w:val="Compact"/>
        <w:numPr>
          <w:ilvl w:val="0"/>
          <w:numId w:val="1008"/>
        </w:numPr>
      </w:pPr>
      <w:r>
        <w:rPr>
          <w:b/>
          <w:bCs/>
        </w:rPr>
        <w:t xml:space="preserve">Table S10.</w:t>
      </w:r>
      <w:r>
        <w:t xml:space="preserve"> </w:t>
      </w:r>
      <w:r>
        <w:t xml:space="preserve">Baseline 4-factor per-subject Δ and sign counts (§3.9).</w:t>
      </w:r>
    </w:p>
    <w:p>
      <w:pPr>
        <w:pStyle w:val="Compact"/>
        <w:numPr>
          <w:ilvl w:val="0"/>
          <w:numId w:val="1008"/>
        </w:numPr>
      </w:pPr>
      <w:r>
        <w:rPr>
          <w:b/>
          <w:bCs/>
        </w:rPr>
        <w:t xml:space="preserve">Table S11.</w:t>
      </w:r>
      <w:r>
        <w:t xml:space="preserve"> </w:t>
      </w:r>
      <w:r>
        <w:t xml:space="preserve">TRUST4 IGHV per-V-gene directional stats (§3.10).</w:t>
      </w:r>
    </w:p>
    <w:p>
      <w:pPr>
        <w:pStyle w:val="Compact"/>
        <w:numPr>
          <w:ilvl w:val="0"/>
          <w:numId w:val="1008"/>
        </w:numPr>
      </w:pPr>
      <w:r>
        <w:rPr>
          <w:b/>
          <w:bCs/>
        </w:rPr>
        <w:t xml:space="preserve">Table S12 (new in v0.7.7).</w:t>
      </w:r>
      <w:r>
        <w:t xml:space="preserve"> </w:t>
      </w:r>
      <w:r>
        <w:t xml:space="preserve">NanoString PanCancer Immune pre-registered Arrow 5 rescue result (§3.14.1): P1–P4 primary + S1–S3 secondary lineage + T1–T3 tertiary cascade correlations with good / bad mean and median Δ, direction, one-sided MW P (good &gt; bad), two-sided MW P, and within-group Wilcoxon signed-rank P. Source:</w:t>
      </w:r>
      <w:r>
        <w:t xml:space="preserve"> </w:t>
      </w:r>
      <w:r>
        <w:rPr>
          <w:rStyle w:val="VerbatimChar"/>
        </w:rPr>
        <w:t xml:space="preserve">260424_nanostring/manuscript/tables/TableS12_NanoString_prespec_Arrow5_rescue.tsv</w:t>
      </w:r>
      <w:r>
        <w:t xml:space="preserve">.</w:t>
      </w:r>
    </w:p>
    <w:p>
      <w:pPr>
        <w:pStyle w:val="Compact"/>
        <w:numPr>
          <w:ilvl w:val="0"/>
          <w:numId w:val="1008"/>
        </w:numPr>
      </w:pPr>
      <w:r>
        <w:rPr>
          <w:b/>
          <w:bCs/>
        </w:rPr>
        <w:t xml:space="preserve">Table S13 (new in v0.7.7).</w:t>
      </w:r>
      <w:r>
        <w:t xml:space="preserve"> </w:t>
      </w:r>
      <w:r>
        <w:t xml:space="preserve">NanoString exploratory pre / post / Δ composite MW across all 23 composites + 4 ratios × 3 timepoints (§3.14.3–3.14.4). Reports good / bad mean, good − bad, one-sided MW P in both directions (good &gt; bad and good &lt; bad), two-sided MW P, ceiling-hit flag, and raw per-subject values. Source:</w:t>
      </w:r>
      <w:r>
        <w:t xml:space="preserve"> </w:t>
      </w:r>
      <w:r>
        <w:rPr>
          <w:rStyle w:val="VerbatimChar"/>
        </w:rPr>
        <w:t xml:space="preserve">260424_nanostring/manuscript/tables/TableS13_NanoString_exploratory_pre_post_delta.tsv</w:t>
      </w:r>
      <w:r>
        <w:t xml:space="preserve">.</w:t>
      </w:r>
    </w:p>
    <w:p>
      <w:pPr>
        <w:pStyle w:val="Compact"/>
        <w:numPr>
          <w:ilvl w:val="0"/>
          <w:numId w:val="1008"/>
        </w:numPr>
      </w:pPr>
      <w:r>
        <w:rPr>
          <w:b/>
          <w:bCs/>
        </w:rPr>
        <w:t xml:space="preserve">Table S14 (new in v0.7.7).</w:t>
      </w:r>
      <w:r>
        <w:t xml:space="preserve"> </w:t>
      </w:r>
      <w:r>
        <w:t xml:space="preserve">Inflamed-but-Ineffective (IBI) vs Inflamed-Active-Effective (IAE) descriptive fingerprint (§3.14.5): composite-level and top-40 gene-level IAE − IBI mean Δ post-RT, with IAE and IBI group values per subject. Source:</w:t>
      </w:r>
      <w:r>
        <w:t xml:space="preserve"> </w:t>
      </w:r>
      <w:r>
        <w:rPr>
          <w:rStyle w:val="VerbatimChar"/>
        </w:rPr>
        <w:t xml:space="preserve">260424_nanostring/manuscript/tables/TableS14_IBI_vs_IAE_fingerprint.tsv</w:t>
      </w:r>
      <w:r>
        <w:t xml:space="preserve">.</w:t>
      </w:r>
    </w:p>
    <w:p>
      <w:pPr>
        <w:pStyle w:val="Compact"/>
        <w:numPr>
          <w:ilvl w:val="0"/>
          <w:numId w:val="1008"/>
        </w:numPr>
      </w:pPr>
      <w:r>
        <w:rPr>
          <w:b/>
          <w:bCs/>
        </w:rPr>
        <w:t xml:space="preserve">Table S15 (new in v0.7.7).</w:t>
      </w:r>
      <w:r>
        <w:t xml:space="preserve"> </w:t>
      </w:r>
      <w:r>
        <w:t xml:space="preserve">NanoString subject deep-dive for subject 4 (atypical good pCR) and subject 11 (bad poor, RNA-seq pre missing). For each subject × each composite: pre z, post z, Δ, within-cohort rank (1–6), phenotype classification. Source:</w:t>
      </w:r>
      <w:r>
        <w:t xml:space="preserve"> </w:t>
      </w:r>
      <w:r>
        <w:rPr>
          <w:rStyle w:val="VerbatimChar"/>
        </w:rPr>
        <w:t xml:space="preserve">260424_nanostring/manuscript/tables/TableS15_subject_deepdive_NanoString.tsv</w:t>
      </w:r>
      <w:r>
        <w:t xml:space="preserve">.</w:t>
      </w:r>
    </w:p>
    <w:p>
      <w:r>
        <w:pict>
          <v:rect style="width:0;height:1.5pt" o:hralign="center" o:hrstd="t" o:hr="t"/>
        </w:pict>
      </w:r>
    </w:p>
    <w:bookmarkEnd w:id="55"/>
    <w:bookmarkStart w:id="63" w:name="declarations"/>
    <w:p>
      <w:pPr>
        <w:pStyle w:val="Heading2"/>
      </w:pPr>
      <w:r>
        <w:t xml:space="preserve">Declarations</w:t>
      </w:r>
    </w:p>
    <w:bookmarkStart w:id="56" w:name="Xd182db0490b2de20bd2b4e4cc8698599182035f"/>
    <w:p>
      <w:pPr>
        <w:pStyle w:val="Heading3"/>
      </w:pPr>
      <w:r>
        <w:t xml:space="preserve">Ethics approval and consent to participate</w:t>
      </w:r>
    </w:p>
    <w:p>
      <w:pPr>
        <w:pStyle w:val="FirstParagraph"/>
      </w:pPr>
      <w:r>
        <w:t xml:space="preserve">The study was approved by the Institutional Review Board of Seoul National University Hospital (IRB approval number: [to be inserted]). All participants provided written informed consent for collection and molecular profiling of biopsy and blood samples and for publication of de-identified results.</w:t>
      </w:r>
    </w:p>
    <w:bookmarkEnd w:id="56"/>
    <w:bookmarkStart w:id="57" w:name="consent-for-publication"/>
    <w:p>
      <w:pPr>
        <w:pStyle w:val="Heading3"/>
      </w:pPr>
      <w:r>
        <w:t xml:space="preserve">Consent for publication</w:t>
      </w:r>
    </w:p>
    <w:p>
      <w:pPr>
        <w:pStyle w:val="FirstParagraph"/>
      </w:pPr>
      <w:r>
        <w:t xml:space="preserve">Not applicable (no individually identifiable participant data are presented).</w:t>
      </w:r>
    </w:p>
    <w:bookmarkEnd w:id="57"/>
    <w:bookmarkStart w:id="58" w:name="availability-of-data-and-materials"/>
    <w:p>
      <w:pPr>
        <w:pStyle w:val="Heading3"/>
      </w:pPr>
      <w:r>
        <w:t xml:space="preserve">Availability of data and materials</w:t>
      </w:r>
    </w:p>
    <w:p>
      <w:pPr>
        <w:pStyle w:val="FirstParagraph"/>
      </w:pPr>
      <w:r>
        <w:t xml:space="preserve">Processed analysis tables, intermediate results, and the full analysis code base are available at</w:t>
      </w:r>
      <w:r>
        <w:t xml:space="preserve"> </w:t>
      </w:r>
      <w:hyperlink r:id="rId22">
        <w:r>
          <w:rPr>
            <w:rStyle w:val="Hyperlink"/>
          </w:rPr>
          <w:t xml:space="preserve">https://github.com/Soonlab/TNT</w:t>
        </w:r>
      </w:hyperlink>
      <w:r>
        <w:t xml:space="preserve">. Raw sequencing data (Macrogen project IDs HN00249207 for WES and HN00249209 for RNA-seq, all 35 patients) will be deposited in NCBI SRA under controlled access on acceptance. NanoString nCounter RCC files and the housekeeping-normalised count matrix (12 samples, 730 probes; §3.14) will be deposited in NCBI GEO under controlled access on acceptance; processed</w:t>
      </w:r>
      <w:r>
        <w:t xml:space="preserve"> </w:t>
      </w:r>
      <w:r>
        <w:rPr>
          <w:rStyle w:val="VerbatimChar"/>
        </w:rPr>
        <w:t xml:space="preserve">ncounter_immune_score.xlsx</w:t>
      </w:r>
      <w:r>
        <w:t xml:space="preserve"> </w:t>
      </w:r>
      <w:r>
        <w:t xml:space="preserve">and all derived tables and figures are in</w:t>
      </w:r>
      <w:r>
        <w:t xml:space="preserve"> </w:t>
      </w:r>
      <w:r>
        <w:rPr>
          <w:rStyle w:val="VerbatimChar"/>
        </w:rPr>
        <w:t xml:space="preserve">260424_nanostring/</w:t>
      </w:r>
      <w:r>
        <w:t xml:space="preserve"> </w:t>
      </w:r>
      <w:r>
        <w:t xml:space="preserve">on the project GitHub. External validation cohorts are publicly available from NCBI GEO under accessions GSE150082, GSE35452, GSE119409, GSE45404, GSE94104, GSE56699, GSE46862, GSE133057, GSE87211, GSE216616 (Akiyoshi et al, 2023), GSE145037, GSE233517, and</w:t>
      </w:r>
      <w:r>
        <w:t xml:space="preserve"> </w:t>
      </w:r>
      <w:r>
        <w:rPr>
          <w:b/>
          <w:bCs/>
        </w:rPr>
        <w:t xml:space="preserve">GSE254249</w:t>
      </w:r>
      <w:r>
        <w:t xml:space="preserve"> </w:t>
      </w:r>
      <w:r>
        <w:t xml:space="preserve">(Gao et al. Cancer Cell 2025 [62] — processed bulk RNA-seq logTPM and metadata publicly available; raw FASTQ in GSA-Human HRA006512 under controlled access via Shenzhen Bay Laboratory DAC).</w:t>
      </w:r>
    </w:p>
    <w:bookmarkEnd w:id="58"/>
    <w:bookmarkStart w:id="59" w:name="competing-interests"/>
    <w:p>
      <w:pPr>
        <w:pStyle w:val="Heading3"/>
      </w:pPr>
      <w:r>
        <w:t xml:space="preserve">Competing interests</w:t>
      </w:r>
    </w:p>
    <w:p>
      <w:pPr>
        <w:pStyle w:val="FirstParagraph"/>
      </w:pPr>
      <w:r>
        <w:t xml:space="preserve">The authors declare no competing interests.</w:t>
      </w:r>
    </w:p>
    <w:bookmarkEnd w:id="59"/>
    <w:bookmarkStart w:id="60" w:name="funding"/>
    <w:p>
      <w:pPr>
        <w:pStyle w:val="Heading3"/>
      </w:pPr>
      <w:r>
        <w:t xml:space="preserve">Funding</w:t>
      </w:r>
    </w:p>
    <w:p>
      <w:pPr>
        <w:pStyle w:val="FirstParagraph"/>
      </w:pPr>
      <w:r>
        <w:t xml:space="preserve">[Funding sources to be inserted.]</w:t>
      </w:r>
    </w:p>
    <w:bookmarkEnd w:id="60"/>
    <w:bookmarkStart w:id="61" w:name="authors-contributions"/>
    <w:p>
      <w:pPr>
        <w:pStyle w:val="Heading3"/>
      </w:pPr>
      <w:r>
        <w:t xml:space="preserve">Authors’ contributions</w:t>
      </w:r>
    </w:p>
    <w:p>
      <w:pPr>
        <w:pStyle w:val="FirstParagraph"/>
      </w:pPr>
      <w:r>
        <w:t xml:space="preserve">[Senior Author] conceived and supervised the study. [Author 1] performed bioinformatics analyses (WES somatic calling, signature attribution, integration, machine learning, external meta-analysis, paired pharmacodynamics, IGHV directional-consistency analysis, regimen-agnostic interpretation). [Author 2] performed RNA-seq pipelines, GSEA and immune deconvolution. [Clinical co-authors] curated clinical metadata, performed biopsy collection, and provided TRG scoring. All authors interpreted the data, drafted and approved the final manuscript.</w:t>
      </w:r>
    </w:p>
    <w:bookmarkEnd w:id="61"/>
    <w:bookmarkStart w:id="62" w:name="acknowledgements"/>
    <w:p>
      <w:pPr>
        <w:pStyle w:val="Heading3"/>
      </w:pPr>
      <w:r>
        <w:t xml:space="preserve">Acknowledgements</w:t>
      </w:r>
    </w:p>
    <w:p>
      <w:pPr>
        <w:pStyle w:val="FirstParagraph"/>
      </w:pPr>
      <w:r>
        <w:t xml:space="preserve">We thank the patients and families who participated in this study, the surgical and pathology teams at Seoul National University Hospital, and Macrogen Inc. for sequencing. We acknowledge the open-data contributors of the GEO cohorts used for external validation and Akiyoshi et al (2023) whose published 298-patient cohort provides convergent independent evidence for the CD8-cytotoxic axis reported here.</w:t>
      </w:r>
    </w:p>
    <w:p>
      <w:r>
        <w:pict>
          <v:rect style="width:0;height:1.5pt" o:hralign="center" o:hrstd="t" o:hr="t"/>
        </w:pict>
      </w:r>
    </w:p>
    <w:bookmarkEnd w:id="62"/>
    <w:bookmarkEnd w:id="63"/>
    <w:bookmarkStart w:id="64" w:name="references"/>
    <w:p>
      <w:pPr>
        <w:pStyle w:val="Heading2"/>
      </w:pPr>
      <w:r>
        <w:t xml:space="preserve">References</w:t>
      </w:r>
    </w:p>
    <w:p>
      <w:pPr>
        <w:pStyle w:val="Compact"/>
        <w:numPr>
          <w:ilvl w:val="0"/>
          <w:numId w:val="1009"/>
        </w:numPr>
      </w:pPr>
      <w:r>
        <w:t xml:space="preserve">Conroy T et al. Lancet Oncol 2021 (PRODIGE 23).</w:t>
      </w:r>
    </w:p>
    <w:p>
      <w:pPr>
        <w:pStyle w:val="Compact"/>
        <w:numPr>
          <w:ilvl w:val="0"/>
          <w:numId w:val="1009"/>
        </w:numPr>
      </w:pPr>
      <w:r>
        <w:t xml:space="preserve">Bahadoer RR et al. Lancet Oncol 2021 (RAPIDO).</w:t>
      </w:r>
    </w:p>
    <w:p>
      <w:pPr>
        <w:pStyle w:val="Compact"/>
        <w:numPr>
          <w:ilvl w:val="0"/>
          <w:numId w:val="1009"/>
        </w:numPr>
      </w:pPr>
      <w:r>
        <w:t xml:space="preserve">Garcia-Aguilar J et al. JCO 2022 (OPRA).</w:t>
      </w:r>
    </w:p>
    <w:p>
      <w:pPr>
        <w:pStyle w:val="Compact"/>
        <w:numPr>
          <w:ilvl w:val="0"/>
          <w:numId w:val="1009"/>
        </w:numPr>
      </w:pPr>
      <w:r>
        <w:t xml:space="preserve">Cercek A et al. JAMA Oncol 2022.</w:t>
      </w:r>
    </w:p>
    <w:p>
      <w:pPr>
        <w:pStyle w:val="Compact"/>
        <w:numPr>
          <w:ilvl w:val="0"/>
          <w:numId w:val="1009"/>
        </w:numPr>
      </w:pPr>
      <w:r>
        <w:t xml:space="preserve">Cercek A et al. N Engl J Med 2022 (dostarlimab in MMR-d rectal).</w:t>
      </w:r>
    </w:p>
    <w:p>
      <w:pPr>
        <w:pStyle w:val="Compact"/>
        <w:numPr>
          <w:ilvl w:val="0"/>
          <w:numId w:val="1009"/>
        </w:numPr>
      </w:pPr>
      <w:r>
        <w:t xml:space="preserve">Guinney J et al. Nat Med 2015 (CMS consortium).</w:t>
      </w:r>
    </w:p>
    <w:p>
      <w:pPr>
        <w:pStyle w:val="Compact"/>
        <w:numPr>
          <w:ilvl w:val="0"/>
          <w:numId w:val="1009"/>
        </w:numPr>
      </w:pPr>
      <w:r>
        <w:t xml:space="preserve">Ganesh K et al. Nat Rev Gastroenterol Hepatol 2019.</w:t>
      </w:r>
    </w:p>
    <w:p>
      <w:pPr>
        <w:pStyle w:val="Compact"/>
        <w:numPr>
          <w:ilvl w:val="0"/>
          <w:numId w:val="1009"/>
        </w:numPr>
      </w:pPr>
      <w:r>
        <w:t xml:space="preserve">Teng F et al. Int J Radiat Oncol Biol Phys 2015 (CD8 TIL and nCRT response).</w:t>
      </w:r>
    </w:p>
    <w:p>
      <w:pPr>
        <w:pStyle w:val="Compact"/>
        <w:numPr>
          <w:ilvl w:val="0"/>
          <w:numId w:val="1009"/>
        </w:numPr>
      </w:pPr>
      <w:r>
        <w:t xml:space="preserve">Shinto E et al. Ann Surg Oncol 2014 (CD8 density predicts rectal nCRT).</w:t>
      </w:r>
    </w:p>
    <w:p>
      <w:pPr>
        <w:pStyle w:val="Compact"/>
        <w:numPr>
          <w:ilvl w:val="0"/>
          <w:numId w:val="1009"/>
        </w:numPr>
      </w:pPr>
      <w:r>
        <w:t xml:space="preserve">Teng F et al. Sci Rep 2016 (nCRT increases CD8/GrzB).</w:t>
      </w:r>
    </w:p>
    <w:p>
      <w:pPr>
        <w:pStyle w:val="Compact"/>
        <w:numPr>
          <w:ilvl w:val="0"/>
          <w:numId w:val="1009"/>
        </w:numPr>
      </w:pPr>
      <w:r>
        <w:t xml:space="preserve">Lim YJ et al. Sci Rep 2023 (GSE233517; CRT-induced CD8 / IFN-γ).</w:t>
      </w:r>
    </w:p>
    <w:p>
      <w:pPr>
        <w:pStyle w:val="Compact"/>
        <w:numPr>
          <w:ilvl w:val="0"/>
          <w:numId w:val="1009"/>
        </w:numPr>
      </w:pPr>
      <w:r>
        <w:t xml:space="preserve">Smith JJ et al. Ann Surg 2019 (watch-and-wait outcomes).</w:t>
      </w:r>
    </w:p>
    <w:p>
      <w:pPr>
        <w:pStyle w:val="Compact"/>
        <w:numPr>
          <w:ilvl w:val="0"/>
          <w:numId w:val="1009"/>
        </w:numPr>
      </w:pPr>
      <w:r>
        <w:t xml:space="preserve">Garcia-Aguilar J et al. Lancet Oncol 2015 (early TNT feasibility).</w:t>
      </w:r>
    </w:p>
    <w:p>
      <w:pPr>
        <w:pStyle w:val="Compact"/>
        <w:numPr>
          <w:ilvl w:val="0"/>
          <w:numId w:val="1009"/>
        </w:numPr>
      </w:pPr>
      <w:r>
        <w:t xml:space="preserve">Koopman M et al. Br J Cancer 2009 (MSI prevalence CRC).</w:t>
      </w:r>
    </w:p>
    <w:p>
      <w:pPr>
        <w:pStyle w:val="Compact"/>
        <w:numPr>
          <w:ilvl w:val="0"/>
          <w:numId w:val="1009"/>
        </w:numPr>
      </w:pPr>
      <w:r>
        <w:t xml:space="preserve">Agostini M et al. PLoS ONE 2014 (nCRT response microarray predictors).</w:t>
      </w:r>
    </w:p>
    <w:p>
      <w:pPr>
        <w:pStyle w:val="Compact"/>
        <w:numPr>
          <w:ilvl w:val="0"/>
          <w:numId w:val="1009"/>
        </w:numPr>
      </w:pPr>
      <w:r>
        <w:t xml:space="preserve">Rimkus C et al. Clin Gastroenterol Hepatol 2008 (gene signature rectal).</w:t>
      </w:r>
    </w:p>
    <w:p>
      <w:pPr>
        <w:pStyle w:val="Compact"/>
        <w:numPr>
          <w:ilvl w:val="0"/>
          <w:numId w:val="1009"/>
        </w:numPr>
      </w:pPr>
      <w:r>
        <w:t xml:space="preserve">Casado E et al. Clin Cancer Res 2011 (rectal nCRT transcriptomics).</w:t>
      </w:r>
    </w:p>
    <w:p>
      <w:pPr>
        <w:pStyle w:val="Compact"/>
        <w:numPr>
          <w:ilvl w:val="0"/>
          <w:numId w:val="1009"/>
        </w:numPr>
      </w:pPr>
      <w:r>
        <w:t xml:space="preserve">Kim IJ et al. Oncogene 2007 (rectal radiation response signatures).</w:t>
      </w:r>
    </w:p>
    <w:p>
      <w:pPr>
        <w:pStyle w:val="Compact"/>
        <w:numPr>
          <w:ilvl w:val="0"/>
          <w:numId w:val="1009"/>
        </w:numPr>
      </w:pPr>
      <w:r>
        <w:t xml:space="preserve">Matsutani S et al. Oncol Lett 2018 (TILs predict rectal nCRT).</w:t>
      </w:r>
    </w:p>
    <w:p>
      <w:pPr>
        <w:pStyle w:val="Compact"/>
        <w:numPr>
          <w:ilvl w:val="0"/>
          <w:numId w:val="1009"/>
        </w:numPr>
      </w:pPr>
      <w:r>
        <w:t xml:space="preserve">McCoy MJ et al. Br J Cancer 2015 (CD8 TIL pretreatment rectal).</w:t>
      </w:r>
    </w:p>
    <w:p>
      <w:pPr>
        <w:pStyle w:val="Compact"/>
        <w:numPr>
          <w:ilvl w:val="0"/>
          <w:numId w:val="1009"/>
        </w:numPr>
      </w:pPr>
      <w:r>
        <w:t xml:space="preserve">Weichselbaum RR et al. Nat Rev Clin Oncol 2017 (radiation as immunogenic).</w:t>
      </w:r>
    </w:p>
    <w:p>
      <w:pPr>
        <w:pStyle w:val="Compact"/>
        <w:numPr>
          <w:ilvl w:val="0"/>
          <w:numId w:val="1009"/>
        </w:numPr>
      </w:pPr>
      <w:r>
        <w:t xml:space="preserve">Deng L et al. Immunity 2014 (cGAS-STING post-radiation).</w:t>
      </w:r>
    </w:p>
    <w:p>
      <w:pPr>
        <w:pStyle w:val="Compact"/>
        <w:numPr>
          <w:ilvl w:val="0"/>
          <w:numId w:val="1009"/>
        </w:numPr>
      </w:pPr>
      <w:r>
        <w:t xml:space="preserve">Vanpouille-Box C et al. Nat Commun 2017 (TREX1/radiation/cGAS-STING).</w:t>
      </w:r>
    </w:p>
    <w:p>
      <w:pPr>
        <w:pStyle w:val="Compact"/>
        <w:numPr>
          <w:ilvl w:val="0"/>
          <w:numId w:val="1009"/>
        </w:numPr>
      </w:pPr>
      <w:r>
        <w:t xml:space="preserve">Golden EB et al. Lancet Oncol 2015 (abscopal effect radiation).</w:t>
      </w:r>
    </w:p>
    <w:p>
      <w:pPr>
        <w:pStyle w:val="Compact"/>
        <w:numPr>
          <w:ilvl w:val="0"/>
          <w:numId w:val="1009"/>
        </w:numPr>
      </w:pPr>
      <w:r>
        <w:t xml:space="preserve">Nussinov R et al. Cancer Res 2022 (MSS rectal biology review).</w:t>
      </w:r>
    </w:p>
    <w:p>
      <w:pPr>
        <w:pStyle w:val="Compact"/>
        <w:numPr>
          <w:ilvl w:val="0"/>
          <w:numId w:val="1009"/>
        </w:numPr>
      </w:pPr>
      <w:r>
        <w:t xml:space="preserve">Sadanandam A et al. Nat Med 2013 (CRC subtypes).</w:t>
      </w:r>
    </w:p>
    <w:p>
      <w:pPr>
        <w:pStyle w:val="Compact"/>
        <w:numPr>
          <w:ilvl w:val="0"/>
          <w:numId w:val="1009"/>
        </w:numPr>
      </w:pPr>
      <w:r>
        <w:t xml:space="preserve">Dienstmann R et al. Ann Oncol 2017 (CMS classification clinical utility).</w:t>
      </w:r>
    </w:p>
    <w:p>
      <w:pPr>
        <w:pStyle w:val="Compact"/>
        <w:numPr>
          <w:ilvl w:val="0"/>
          <w:numId w:val="1009"/>
        </w:numPr>
      </w:pPr>
      <w:r>
        <w:t xml:space="preserve">Isella C et al. Nat Commun 2017 (CMS4 stromal drivers).</w:t>
      </w:r>
    </w:p>
    <w:p>
      <w:pPr>
        <w:pStyle w:val="Compact"/>
        <w:numPr>
          <w:ilvl w:val="0"/>
          <w:numId w:val="1009"/>
        </w:numPr>
      </w:pPr>
      <w:r>
        <w:t xml:space="preserve">Mariathasan S et al. Nature 2018 (TGF-β blockade response).</w:t>
      </w:r>
    </w:p>
    <w:p>
      <w:pPr>
        <w:pStyle w:val="Compact"/>
        <w:numPr>
          <w:ilvl w:val="0"/>
          <w:numId w:val="1009"/>
        </w:numPr>
      </w:pPr>
      <w:r>
        <w:t xml:space="preserve">McGranahan N et al. Cell 2017 (LOHHLA original).</w:t>
      </w:r>
    </w:p>
    <w:p>
      <w:pPr>
        <w:pStyle w:val="Compact"/>
        <w:numPr>
          <w:ilvl w:val="0"/>
          <w:numId w:val="1009"/>
        </w:numPr>
      </w:pPr>
      <w:r>
        <w:t xml:space="preserve">Cabrita R et al. Nature 2020 (TLS and checkpoint response).</w:t>
      </w:r>
    </w:p>
    <w:p>
      <w:pPr>
        <w:pStyle w:val="Compact"/>
        <w:numPr>
          <w:ilvl w:val="0"/>
          <w:numId w:val="1009"/>
        </w:numPr>
      </w:pPr>
      <w:r>
        <w:t xml:space="preserve">Helmink BA et al. Nature 2020 (B cells and TLS in ICB).</w:t>
      </w:r>
    </w:p>
    <w:p>
      <w:pPr>
        <w:pStyle w:val="Compact"/>
        <w:numPr>
          <w:ilvl w:val="0"/>
          <w:numId w:val="1009"/>
        </w:numPr>
      </w:pPr>
      <w:r>
        <w:t xml:space="preserve">Petitprez F et al. Nature 2020 (B cells and TLS sarcoma).</w:t>
      </w:r>
    </w:p>
    <w:p>
      <w:pPr>
        <w:pStyle w:val="Compact"/>
        <w:numPr>
          <w:ilvl w:val="0"/>
          <w:numId w:val="1009"/>
        </w:numPr>
      </w:pPr>
      <w:r>
        <w:t xml:space="preserve">Rooney MS et al. Cell 2015 (immune cytolytic activity pan-cancer).</w:t>
      </w:r>
    </w:p>
    <w:p>
      <w:pPr>
        <w:pStyle w:val="Compact"/>
        <w:numPr>
          <w:ilvl w:val="0"/>
          <w:numId w:val="1009"/>
        </w:numPr>
      </w:pPr>
      <w:r>
        <w:t xml:space="preserve">Thorsson V et al. Immunity 2018 (immune landscape TCGA).</w:t>
      </w:r>
    </w:p>
    <w:p>
      <w:pPr>
        <w:pStyle w:val="Compact"/>
        <w:numPr>
          <w:ilvl w:val="0"/>
          <w:numId w:val="1009"/>
        </w:numPr>
      </w:pPr>
      <w:r>
        <w:t xml:space="preserve">Rosenthal R et al. Nature 2019 (HLA-LOH and immune escape).</w:t>
      </w:r>
    </w:p>
    <w:p>
      <w:pPr>
        <w:pStyle w:val="Compact"/>
        <w:numPr>
          <w:ilvl w:val="0"/>
          <w:numId w:val="1009"/>
        </w:numPr>
      </w:pPr>
      <w:r>
        <w:t xml:space="preserve">Garrido F et al. Trends Immunol 2010 (HLA class I loss).</w:t>
      </w:r>
    </w:p>
    <w:p>
      <w:pPr>
        <w:pStyle w:val="Compact"/>
        <w:numPr>
          <w:ilvl w:val="0"/>
          <w:numId w:val="1009"/>
        </w:numPr>
      </w:pPr>
      <w:r>
        <w:t xml:space="preserve">Chowell D et al. Science 2018 (HLA heterozygosity and ICB).</w:t>
      </w:r>
    </w:p>
    <w:p>
      <w:pPr>
        <w:pStyle w:val="Compact"/>
        <w:numPr>
          <w:ilvl w:val="0"/>
          <w:numId w:val="1009"/>
        </w:numPr>
      </w:pPr>
      <w:r>
        <w:t xml:space="preserve">Le DT et al. N Engl J Med 2015 (MSI and PD-1).</w:t>
      </w:r>
    </w:p>
    <w:p>
      <w:pPr>
        <w:pStyle w:val="Compact"/>
        <w:numPr>
          <w:ilvl w:val="0"/>
          <w:numId w:val="1009"/>
        </w:numPr>
      </w:pPr>
      <w:r>
        <w:t xml:space="preserve">Overman MJ et al. Lancet Oncol 2017 (nivolumab MSI CRC).</w:t>
      </w:r>
    </w:p>
    <w:p>
      <w:pPr>
        <w:pStyle w:val="Compact"/>
        <w:numPr>
          <w:ilvl w:val="0"/>
          <w:numId w:val="1009"/>
        </w:numPr>
      </w:pPr>
      <w:r>
        <w:t xml:space="preserve">Andre T et al. N Engl J Med 2020 (pembrolizumab first-line MSI CRC).</w:t>
      </w:r>
    </w:p>
    <w:p>
      <w:pPr>
        <w:pStyle w:val="Compact"/>
        <w:numPr>
          <w:ilvl w:val="0"/>
          <w:numId w:val="1009"/>
        </w:numPr>
      </w:pPr>
      <w:r>
        <w:t xml:space="preserve">van Gijn W et al. Lancet Oncol 2011 (Dutch TME long-term).</w:t>
      </w:r>
    </w:p>
    <w:p>
      <w:pPr>
        <w:pStyle w:val="Compact"/>
        <w:numPr>
          <w:ilvl w:val="0"/>
          <w:numId w:val="1009"/>
        </w:numPr>
      </w:pPr>
      <w:r>
        <w:t xml:space="preserve">Sauer R et al. N Engl J Med 2004 (CAO/ARO 94).</w:t>
      </w:r>
    </w:p>
    <w:p>
      <w:pPr>
        <w:pStyle w:val="Compact"/>
        <w:numPr>
          <w:ilvl w:val="0"/>
          <w:numId w:val="1009"/>
        </w:numPr>
      </w:pPr>
      <w:r>
        <w:t xml:space="preserve">Ruppert R et al. Ann Surg 2018 (German CAO/ARO nCRT outcomes).</w:t>
      </w:r>
    </w:p>
    <w:p>
      <w:pPr>
        <w:pStyle w:val="Compact"/>
        <w:numPr>
          <w:ilvl w:val="0"/>
          <w:numId w:val="1009"/>
        </w:numPr>
      </w:pPr>
      <w:r>
        <w:t xml:space="preserve">Maas M et al. JCO 2011 (wait-and-see).</w:t>
      </w:r>
    </w:p>
    <w:p>
      <w:pPr>
        <w:pStyle w:val="Compact"/>
        <w:numPr>
          <w:ilvl w:val="0"/>
          <w:numId w:val="1009"/>
        </w:numPr>
      </w:pPr>
      <w:r>
        <w:t xml:space="preserve">Appelt AL et al. Lancet Oncol 2015 (organ preservation modern).</w:t>
      </w:r>
    </w:p>
    <w:p>
      <w:pPr>
        <w:pStyle w:val="Compact"/>
        <w:numPr>
          <w:ilvl w:val="0"/>
          <w:numId w:val="1009"/>
        </w:numPr>
      </w:pPr>
      <w:r>
        <w:t xml:space="preserve">Habr-Gama A et al. Clin Oncol 2014 (watch-and-wait Brazilian experience).</w:t>
      </w:r>
    </w:p>
    <w:p>
      <w:pPr>
        <w:pStyle w:val="Compact"/>
        <w:numPr>
          <w:ilvl w:val="0"/>
          <w:numId w:val="1009"/>
        </w:numPr>
      </w:pPr>
      <w:r>
        <w:t xml:space="preserve">Renehan AG et al. Lancet Oncol 2016 (organ-preserving strategies).</w:t>
      </w:r>
    </w:p>
    <w:p>
      <w:pPr>
        <w:pStyle w:val="Compact"/>
        <w:numPr>
          <w:ilvl w:val="0"/>
          <w:numId w:val="1009"/>
        </w:numPr>
      </w:pPr>
      <w:r>
        <w:t xml:space="preserve">Bai X et al. Oncotarget 2016 (EMT as CRT resistance).</w:t>
      </w:r>
    </w:p>
    <w:p>
      <w:pPr>
        <w:pStyle w:val="Compact"/>
        <w:numPr>
          <w:ilvl w:val="0"/>
          <w:numId w:val="1009"/>
        </w:numPr>
      </w:pPr>
      <w:r>
        <w:t xml:space="preserve">Thiery JP. Nat Rev Cancer 2002 (EMT).</w:t>
      </w:r>
    </w:p>
    <w:p>
      <w:pPr>
        <w:pStyle w:val="Compact"/>
        <w:numPr>
          <w:ilvl w:val="0"/>
          <w:numId w:val="1009"/>
        </w:numPr>
      </w:pPr>
      <w:r>
        <w:t xml:space="preserve">Ye X, Weinberg RA. Trends Cell Biol 2015 (EMT plasticity).</w:t>
      </w:r>
    </w:p>
    <w:p>
      <w:pPr>
        <w:pStyle w:val="Compact"/>
        <w:numPr>
          <w:ilvl w:val="0"/>
          <w:numId w:val="1009"/>
        </w:numPr>
      </w:pPr>
      <w:r>
        <w:t xml:space="preserve">Ganesh K et al. Cancer Cell 2022 (rectal cancer organoids and response).</w:t>
      </w:r>
    </w:p>
    <w:p>
      <w:pPr>
        <w:pStyle w:val="Compact"/>
        <w:numPr>
          <w:ilvl w:val="0"/>
          <w:numId w:val="1009"/>
        </w:numPr>
      </w:pPr>
      <w:r>
        <w:t xml:space="preserve">Yaeger R et al. Cancer Cell 2018 (CRC mutation actionability).</w:t>
      </w:r>
    </w:p>
    <w:p>
      <w:pPr>
        <w:pStyle w:val="Compact"/>
        <w:numPr>
          <w:ilvl w:val="0"/>
          <w:numId w:val="1009"/>
        </w:numPr>
      </w:pPr>
      <w:r>
        <w:t xml:space="preserve">Taieb J et al. Ann Oncol 2022 (rectal cancer biomarkers review).</w:t>
      </w:r>
    </w:p>
    <w:p>
      <w:pPr>
        <w:pStyle w:val="Compact"/>
        <w:numPr>
          <w:ilvl w:val="0"/>
          <w:numId w:val="1009"/>
        </w:numPr>
      </w:pPr>
      <w:r>
        <w:t xml:space="preserve">Barresi V et al. Virchows Arch 2017 (TRG Dworak intrarater).</w:t>
      </w:r>
    </w:p>
    <w:p>
      <w:pPr>
        <w:pStyle w:val="Compact"/>
        <w:numPr>
          <w:ilvl w:val="0"/>
          <w:numId w:val="1009"/>
        </w:numPr>
      </w:pPr>
      <w:r>
        <w:t xml:space="preserve">Chetty R et al. Virchows Arch 2012 (TRG reproducibility).</w:t>
      </w:r>
    </w:p>
    <w:p>
      <w:pPr>
        <w:pStyle w:val="Compact"/>
        <w:numPr>
          <w:ilvl w:val="0"/>
          <w:numId w:val="1009"/>
        </w:numPr>
      </w:pPr>
      <w:r>
        <w:t xml:space="preserve">Ryan R et al. Histopathology 2005 (TRG Ryan system).</w:t>
      </w:r>
    </w:p>
    <w:p>
      <w:pPr>
        <w:pStyle w:val="Compact"/>
        <w:numPr>
          <w:ilvl w:val="0"/>
          <w:numId w:val="1009"/>
        </w:numPr>
      </w:pPr>
      <w:r>
        <w:t xml:space="preserve">Mandard AM et al. Cancer 1994 (original Mandard TRG).</w:t>
      </w:r>
    </w:p>
    <w:p>
      <w:pPr>
        <w:pStyle w:val="Compact"/>
        <w:numPr>
          <w:ilvl w:val="0"/>
          <w:numId w:val="1009"/>
        </w:numPr>
      </w:pPr>
      <w:r>
        <w:t xml:space="preserve">Dworak O et al. Int J Colorectal Dis 1997 (Dworak TRG).</w:t>
      </w:r>
    </w:p>
    <w:p>
      <w:pPr>
        <w:pStyle w:val="Compact"/>
        <w:numPr>
          <w:ilvl w:val="0"/>
          <w:numId w:val="1009"/>
        </w:numPr>
      </w:pPr>
      <w:r>
        <w:t xml:space="preserve">Rödel C et al. JCO 2005 (Rödel TRG rectal).</w:t>
      </w:r>
    </w:p>
    <w:p>
      <w:pPr>
        <w:pStyle w:val="Compact"/>
        <w:numPr>
          <w:ilvl w:val="0"/>
          <w:numId w:val="1009"/>
        </w:numPr>
      </w:pPr>
      <w:r>
        <w:t xml:space="preserve">Akiyoshi T et al. JAMA Netw Open 2023; GSE216616 — Transcriptomic analyses of pretreatment tumor biopsy samples, response to neoadjuvant chemoradiotherapy, and survival in advanced rectal cancer (n = 298; cytotoxic lymphocyte score OR 3.81 [1.82, 7.97]; GZMA × PRF1 cytolytic activity P = 0.005; IFN-γ Hallmark enriched in responders).</w:t>
      </w:r>
    </w:p>
    <w:p>
      <w:pPr>
        <w:pStyle w:val="Compact"/>
        <w:numPr>
          <w:ilvl w:val="0"/>
          <w:numId w:val="1009"/>
        </w:numPr>
      </w:pPr>
      <w:r>
        <w:t xml:space="preserve">Gao Q, Ling F et al. Cancer Cell 2025; 43(12); doi 10.1016/j.ccell.2025.10.008; GSE254249 — Remodeling of T and endothelial cells during total neoadjuvant therapy in rectal cancer. 26 LARC patients across nCT / nRT / nRCT arms; scRNA-seq + scTCR + spatial transcriptomics + bulk RNA-seq (11 TNT-arm samples, SC-RT 5 × 5 Gy + 6–8 cycles FOLFOXIRI). PMID 41202810. The only publicly accessible SC-RT-TNT bulk RNA-seq dataset with response labels at time of writing.</w:t>
      </w:r>
    </w:p>
    <w:p>
      <w:pPr>
        <w:pStyle w:val="Compact"/>
        <w:numPr>
          <w:ilvl w:val="0"/>
          <w:numId w:val="1009"/>
        </w:numPr>
      </w:pPr>
      <w:r>
        <w:t xml:space="preserve">Ayers M, Lunceford J, Nebozhyn M et al. JCI 2017; 127(8): 2930–2940. IFN-γ-related mRNA profile predicts clinical response to PD-1 blockade. Tumor Inflammation Signature (TIS, 18 genes) as Keytruda / pembrolizumab companion diagnostic.</w:t>
      </w:r>
    </w:p>
    <w:p>
      <w:pPr>
        <w:pStyle w:val="Compact"/>
        <w:numPr>
          <w:ilvl w:val="0"/>
          <w:numId w:val="1009"/>
        </w:numPr>
      </w:pPr>
      <w:r>
        <w:t xml:space="preserve">Ayers M, Lunceford J, Nebozhyn M et al. JCI 2017 (same publication as [63]). IFN-γ 6-gene (IFNG, STAT1, CXCL9, CXCL10, GZMB, HLA-A) and 10-gene expanded IFN-γ signatures as anti-PD-1 response predictors.</w:t>
      </w:r>
    </w:p>
    <w:p>
      <w:pPr>
        <w:pStyle w:val="Compact"/>
        <w:numPr>
          <w:ilvl w:val="0"/>
          <w:numId w:val="1009"/>
        </w:numPr>
      </w:pPr>
      <w:r>
        <w:t xml:space="preserve">Auslander N, Zhang G, Lee JS et al. Nat Med 2018; 24(10): 1545–1549. Robust prediction of response to immune checkpoint blockade therapy in metastatic melanoma. IMPRES (Immune-Predictive Score) — 15 paired-gene expression feature comparisons.</w:t>
      </w:r>
    </w:p>
    <w:p>
      <w:r>
        <w:pict>
          <v:rect style="width:0;height:1.5pt" o:hralign="center" o:hrstd="t" o:hr="t"/>
        </w:pict>
      </w:r>
    </w:p>
    <w:p>
      <w:pPr>
        <w:pStyle w:val="FirstParagraph"/>
      </w:pPr>
      <w:r>
        <w:rPr>
          <w:i/>
          <w:iCs/>
        </w:rPr>
        <w:t xml:space="preserve">End of manuscript v0.7.7 — Genome Medicine submission — 2026-04-24.</w:t>
      </w:r>
    </w:p>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github.com/Soonlab/TNT" TargetMode="External" /><Relationship Type="http://schemas.openxmlformats.org/officeDocument/2006/relationships/hyperlink" Id="rId9" Target="mailto:mario2437@gmail.com" TargetMode="External" /></Relationships>
</file>

<file path=word/_rels/footnotes.xml.rels><?xml version="1.0" encoding="UTF-8"?><Relationships xmlns="http://schemas.openxmlformats.org/package/2006/relationships"><Relationship Type="http://schemas.openxmlformats.org/officeDocument/2006/relationships/hyperlink" Id="rId22" Target="https://github.com/Soonlab/TNT" TargetMode="External" /><Relationship Type="http://schemas.openxmlformats.org/officeDocument/2006/relationships/hyperlink" Id="rId9" Target="mailto:mario2437@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2026-04-24T05:52:35Z</dcterms:created>
  <dcterms:modified xsi:type="dcterms:W3CDTF">2026-04-24T05:52:35Z</dcterms:modified>
</cp:coreProperties>
</file>

<file path=docProps/custom.xml><?xml version="1.0" encoding="utf-8"?>
<Properties xmlns="http://schemas.openxmlformats.org/officeDocument/2006/custom-properties" xmlns:vt="http://schemas.openxmlformats.org/officeDocument/2006/docPropsVTypes"/>
</file>