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a959d57f98fb8f5f322dc2816ea48fb368770c6"/>
    <w:p>
      <w:pPr>
        <w:pStyle w:val="Heading1"/>
      </w:pPr>
      <w:r>
        <w:t xml:space="preserve">Two orthogonal, regimen-agnostic pre-CRT predictors and directionally coherent radiation-phase pharmacodynamics predict final total-neoadjuvant-therapy response in microsatellite-stable locally advanced rectal cancer</w:t>
      </w:r>
    </w:p>
    <w:p>
      <w:pPr>
        <w:pStyle w:val="FirstParagraph"/>
      </w:pPr>
      <w:r>
        <w:rPr>
          <w:i/>
          <w:iCs/>
        </w:rPr>
        <w:t xml:space="preserve">Manuscript v0.7.5 — Genome Medicine submission. 2026-04-20.</w:t>
      </w:r>
    </w:p>
    <w:p>
      <w:pPr>
        <w:pStyle w:val="BodyText"/>
      </w:pPr>
      <w:r>
        <w:rPr>
          <w:i/>
          <w:iCs/>
        </w:rPr>
        <w:t xml:space="preserve">v0.7.5 changes from v0.7.4: (i) discovery cohort regimen clarified as short-course radiotherapy (25 Gy / 5 Fx) followed by consolidation FOLFOX/CAPOX (previously mis-stated as long-course); (ii) regimen-agnostic interpretation upgraded to span both RT fractionation (SC-RT vs LC-CRT) and chemo-timing / backbone axes; (iii) new GSE254249 (Gao et al., Cancer Cell 2025) SC-RT-matched external validation added to §3.12 and Fig 9 as a third independent evidence stream concordant with discovery direction (7/7 signatures, binomial sign P = 0.016; T-cell-infiltration MW P = 0.036; DSB repair P = 0.071).</w:t>
      </w:r>
    </w:p>
    <w:p>
      <w:pPr>
        <w:pStyle w:val="BodyText"/>
      </w:pPr>
      <w:r>
        <w:rPr>
          <w:b/>
          <w:bCs/>
        </w:rPr>
        <w:t xml:space="preserve">Authors:</w:t>
      </w:r>
      <w:r>
        <w:t xml:space="preserve"> </w:t>
      </w:r>
      <w:r>
        <w:t xml:space="preserve">[Author 1]¹, [Author 2]¹, [Author 3]², …, [Senior Author]¹* (to be completed)</w:t>
      </w:r>
    </w:p>
    <w:p>
      <w:pPr>
        <w:pStyle w:val="BodyText"/>
      </w:pPr>
      <w:r>
        <w:rPr>
          <w:b/>
          <w:bCs/>
        </w:rPr>
        <w:t xml:space="preserve">Affiliations:</w:t>
      </w:r>
      <w:r>
        <w:t xml:space="preserve"> </w:t>
      </w:r>
      <w:r>
        <w:t xml:space="preserve">1. Department of [Department], Seoul National University Hospital, Seoul, Republic of Korea</w:t>
      </w:r>
      <w:r>
        <w:t xml:space="preserve"> </w:t>
      </w:r>
      <w:r>
        <w:t xml:space="preserve">2. [Co-author affiliations]</w:t>
      </w:r>
    </w:p>
    <w:p>
      <w:pPr>
        <w:pStyle w:val="BodyText"/>
      </w:pPr>
      <w:r>
        <w:t xml:space="preserve">*</w:t>
      </w:r>
      <w:r>
        <w:t xml:space="preserve"> </w:t>
      </w:r>
      <w:r>
        <w:rPr>
          <w:b/>
          <w:bCs/>
        </w:rPr>
        <w:t xml:space="preserve">Corresponding author:</w:t>
      </w:r>
      <w:r>
        <w:t xml:space="preserve"> </w:t>
      </w:r>
      <w:r>
        <w:t xml:space="preserve">[Senior Author], Seoul National University Hospital. Email:</w:t>
      </w:r>
      <w:r>
        <w:t xml:space="preserve"> </w:t>
      </w:r>
      <w:hyperlink r:id="rId9">
        <w:r>
          <w:rPr>
            <w:rStyle w:val="Hyperlink"/>
          </w:rPr>
          <w:t xml:space="preserve">mario2437@gmail.com</w:t>
        </w:r>
      </w:hyperlink>
    </w:p>
    <w:p>
      <w:pPr>
        <w:pStyle w:val="BodyText"/>
      </w:pPr>
      <w:r>
        <w:rPr>
          <w:b/>
          <w:bCs/>
        </w:rPr>
        <w:t xml:space="preserve">Keywords:</w:t>
      </w:r>
      <w:r>
        <w:t xml:space="preserve"> </w:t>
      </w:r>
      <w:r>
        <w:t xml:space="preserve">locally advanced rectal cancer; total neoadjuvant therapy; chemoradiotherapy; multi-omics; whole-exome sequencing; RNA-seq; CD8 cytotoxic; DNA-damage repair; pharmacodynamic biomarker; B-cell repertoire; HLA loss of heterozygosity.</w:t>
      </w:r>
    </w:p>
    <w:p>
      <w:pPr>
        <w:pStyle w:val="BodyText"/>
      </w:pPr>
      <w:r>
        <w:rPr>
          <w:b/>
          <w:bCs/>
        </w:rPr>
        <w:t xml:space="preserve">Abbreviations:</w:t>
      </w:r>
      <w:r>
        <w:t xml:space="preserve"> </w:t>
      </w:r>
      <w:r>
        <w:t xml:space="preserve">BCa, bias-corrected and accelerated bootstrap; CCF, cancer-cell fraction; CIN, chromosomal instability; CMS, consensus molecular subtype; CR, complete response; CRT, chemoradiotherapy; DFS, disease-free survival; DSB, double-strand break; EMT, epithelial–mesenchymal transition; GEO, Gene Expression Omnibus; HDR, homology-directed repair; HLA, human leukocyte antigen; HRD, homologous-recombination deficiency; ICB, immune-checkpoint blockade; LARC, locally advanced rectal cancer; LOH, loss of heterozygosity; MHC, major histocompatibility complex; MSI, microsatellite instability; MSS, microsatellite-stable; nCRT, neoadjuvant chemoradiotherapy; OS, overall survival; PCN, presentation-competent neoantigen; PoN, panel of normals; SBS, single-base substitution; ssGSEA, single-sample gene set enrichment analysis; TAI, telomeric allelic imbalance; TIL, tumor-infiltrating lymphocyte; TLS, tertiary lymphoid structure; TMB, tumor mutational burden; TNT, total neoadjuvant therapy; TRG, tumor regression grade; WES, whole-exome sequencing.</w:t>
      </w:r>
    </w:p>
    <w:p>
      <w:r>
        <w:pict>
          <v:rect style="width:0;height:1.5pt" o:hralign="center" o:hrstd="t" o:hr="t"/>
        </w:pict>
      </w:r>
    </w:p>
    <w:bookmarkStart w:id="10" w:name="abstract"/>
    <w:p>
      <w:pPr>
        <w:pStyle w:val="Heading2"/>
      </w:pPr>
      <w:r>
        <w:t xml:space="preserve">Abstract</w:t>
      </w:r>
    </w:p>
    <w:p>
      <w:pPr>
        <w:pStyle w:val="FirstParagraph"/>
      </w:pPr>
      <w:r>
        <w:rPr>
          <w:b/>
          <w:bCs/>
        </w:rPr>
        <w:t xml:space="preserve">Background.</w:t>
      </w:r>
      <w:r>
        <w:t xml:space="preserve"> </w:t>
      </w:r>
      <w:r>
        <w:t xml:space="preserve">Under modern total neoadjuvant therapy (TNT) for locally advanced rectal cancer, the high post-consolidation complete-response rate precludes balanced bad-responder cohorts from post-consolidation tissue. Paired-biopsy studies are tractable only around the radiation phase — a window in which the tumor has experienced radiation alone while final response reflects the full radiation-then-consolidation regimen. No molecular predictor of final TNT response is established for microsatellite-stable (MSS) disease.</w:t>
      </w:r>
    </w:p>
    <w:p>
      <w:pPr>
        <w:pStyle w:val="BodyText"/>
      </w:pPr>
      <w:r>
        <w:rPr>
          <w:b/>
          <w:bCs/>
        </w:rPr>
        <w:t xml:space="preserve">Methods.</w:t>
      </w:r>
      <w:r>
        <w:t xml:space="preserve"> </w:t>
      </w:r>
      <w:r>
        <w:t xml:space="preserve">Thirty-five MSS LARC patients receiving TNT with</w:t>
      </w:r>
      <w:r>
        <w:t xml:space="preserve"> </w:t>
      </w:r>
      <w:r>
        <w:rPr>
          <w:b/>
          <w:bCs/>
        </w:rPr>
        <w:t xml:space="preserve">short-course radiotherapy (25 Gy / 5 Fx)</w:t>
      </w:r>
      <w:r>
        <w:t xml:space="preserve"> </w:t>
      </w:r>
      <w:r>
        <w:t xml:space="preserve">followed by consolidation FOLFOX/CAPOX were profiled by matched WES and RNA-seq (41 T-N pairs; 56 RNA samples); 14 contributed WES triplets (7 + 7 paired) and 12 of those paired RNA-seq (6 + 6). Paired analyses report magnitude and directional consistency (sign / Fisher on Δ). Nested-LOOCV LASSO on 36 features (cell-cycle-contaminated</w:t>
      </w:r>
      <w:r>
        <w:t xml:space="preserve"> </w:t>
      </w:r>
      <w:r>
        <w:t xml:space="preserve">“CD8 proliferation”</w:t>
      </w:r>
      <w:r>
        <w:t xml:space="preserve"> </w:t>
      </w:r>
      <w:r>
        <w:t xml:space="preserve">removed). External validation draws on three regimen strata: (a) nine long-course nCRT GEO cohorts with concurrent capecitabine (primary meta 5 cohorts, N = 518, a priori ≥ 3 / 4 concordance rule), augmented for Thread 2 with Akiyoshi et al 2023 (n = 298; N = 816); (b)</w:t>
      </w:r>
      <w:r>
        <w:t xml:space="preserve"> </w:t>
      </w:r>
      <w:r>
        <w:rPr>
          <w:b/>
          <w:bCs/>
        </w:rPr>
        <w:t xml:space="preserve">the only public SC-RT-TNT bulk RNA-seq cohort (GSE254249, Gao et al., Cancer Cell 2025; N = 8 post-TNT, 5 + 3; SC-RT 5 × 5 Gy + FOLFOXIRI consolidation)</w:t>
      </w:r>
      <w:r>
        <w:t xml:space="preserve"> </w:t>
      </w:r>
      <w:r>
        <w:t xml:space="preserve">— matching discovery RT fractionation and chemo-timing but with a different chemo backbone.</w:t>
      </w:r>
    </w:p>
    <w:p>
      <w:pPr>
        <w:pStyle w:val="BodyText"/>
      </w:pPr>
      <w:r>
        <w:rPr>
          <w:b/>
          <w:bCs/>
        </w:rPr>
        <w:t xml:space="preserve">Results.</w:t>
      </w:r>
      <w:r>
        <w:t xml:space="preserve"> </w:t>
      </w:r>
      <w:r>
        <w:t xml:space="preserve">Two orthogonal pre-CRT axes each reproduce externally across</w:t>
      </w:r>
      <w:r>
        <w:t xml:space="preserve"> </w:t>
      </w:r>
      <w:r>
        <w:rPr>
          <w:b/>
          <w:bCs/>
        </w:rPr>
        <w:t xml:space="preserve">three distinct multimodal genotoxic regimens</w:t>
      </w:r>
      <w:r>
        <w:t xml:space="preserve"> </w:t>
      </w:r>
      <w:r>
        <w:t xml:space="preserve">(discovery SC-RT + FOLFOX/CAPOX consolidation; LC-CRT with concurrent capecitabine; SC-RT + FOLFOXIRI consolidation): Thread 1 DSB/HDR Z = +3.17, cell-cycle +3.21, E2F/MYC +2.79 (all P &lt; 0.01, N = 518 LC-CRT meta); Thread 2 CD8-cytotoxic Z = +3.29, P = 0.001 (6-source N = 816). GSE254249 (Gao 2025, SC-RT-matched, N = 8 post-TNT) shows</w:t>
      </w:r>
      <w:r>
        <w:t xml:space="preserve"> </w:t>
      </w:r>
      <w:r>
        <w:rPr>
          <w:b/>
          <w:bCs/>
        </w:rPr>
        <w:t xml:space="preserve">7/7 signatures concordant with the discovery direction (binomial sign P = 0.016)</w:t>
      </w:r>
      <w:r>
        <w:t xml:space="preserve">, with T-cell infiltration Δ = +1.26, MW P = 0.036 and DSB repair Δ = +0.94, P = 0.071 — the first public SC-RT-regimen validation of the Thread 1 + Thread 2 biology. Nested-LOOCV LASSO on a 4-feature panel reached AUC 0.745 (95 % CI 0.56–0.90). Paired biopsies showed target engagement: all four Thread-1 factors moved in predicted directions in both groups; EMT up 6/6 good (P = 0.016). IGH V-gene repertoire response was directionally coherent in good and stochastic in bad (three aggregate P &lt; 0.05; IGHV6-1 6/6 down good vs 4/2 up bad). A pre-specified 36-pair convergence test (baseline × cascade Δ) was null (0/36 at P &lt; 0.05), confirming static and dynamic layers are orthogonal. Only Treg Δ retained a between-group BCa CI excluding zero.</w:t>
      </w:r>
    </w:p>
    <w:p>
      <w:pPr>
        <w:pStyle w:val="BodyText"/>
      </w:pPr>
      <w:r>
        <w:rPr>
          <w:b/>
          <w:bCs/>
        </w:rPr>
        <w:t xml:space="preserve">Conclusions.</w:t>
      </w:r>
      <w:r>
        <w:t xml:space="preserve"> </w:t>
      </w:r>
      <w:r>
        <w:t xml:space="preserve">Two externally-validated orthogonal pre-CRT axes predict final TNT response and reproduce across</w:t>
      </w:r>
      <w:r>
        <w:t xml:space="preserve"> </w:t>
      </w:r>
      <w:r>
        <w:rPr>
          <w:b/>
          <w:bCs/>
        </w:rPr>
        <w:t xml:space="preserve">both RT fractionation (SC-RT vs LC-CRT) and chemo-timing / backbone axes</w:t>
      </w:r>
      <w:r>
        <w:t xml:space="preserve">, supporting a regimen-agnostic baseline-predictor interpretation within multimodal genotoxic therapy. Paired radiation-phase pharmacodynamics add an orthogonal dynamic layer. A two-layer algorithm (pre-CRT stratification + mid-treatment coherence read) is proposed for TNT-adaptive trials.</w:t>
      </w:r>
    </w:p>
    <w:p>
      <w:r>
        <w:pict>
          <v:rect style="width:0;height:1.5pt" o:hralign="center" o:hrstd="t" o:hr="t"/>
        </w:pict>
      </w:r>
    </w:p>
    <w:bookmarkEnd w:id="10"/>
    <w:bookmarkStart w:id="11" w:name="background"/>
    <w:p>
      <w:pPr>
        <w:pStyle w:val="Heading2"/>
      </w:pPr>
      <w:r>
        <w:t xml:space="preserve">Background</w:t>
      </w:r>
    </w:p>
    <w:p>
      <w:pPr>
        <w:pStyle w:val="FirstParagraph"/>
      </w:pPr>
      <w:r>
        <w:t xml:space="preserve">Locally advanced rectal cancer (LARC) affects &gt;40,000 patients per year in Asia and the USA combined [1–3]. Total neoadjuvant therapy (TNT) — long-course chemoradiation (LC-CRT; 50.4 Gy / 28 Fx with concurrent capecitabine) combined with induction or consolidation FOLFOX/CAPOX, as in PRODIGE 23 [1] and OPRA [3], or short-course radiotherapy (SC-RT; 25 Gy / 5 Fx) followed by consolidation oxaliplatin-based chemotherapy, as in RAPIDO [2] — is standard of care. Both RT-fractionation schedules are endorsed in current NCCN and ASTRO practice guidelines. TNT enables organ-preservation watch-and-wait in responders [45–48]; response prediction therefore directly influences whether a patient undergoes surgery. Yet only 15–30 % of MSS LARC patients reach pathological or sustained clinical complete response, and no molecular predictor of final TNT outcome is established [4,12,54].</w:t>
      </w:r>
    </w:p>
    <w:p>
      <w:pPr>
        <w:pStyle w:val="BodyText"/>
      </w:pPr>
      <w:r>
        <w:t xml:space="preserve">TNT is a multi-stage regimen whose molecular biology has been difficult to observe. Under modern TNT the post-consolidation complete-response rate is sufficiently high that a biopsy-based bad-responder cohort cannot be accrued at the post-consolidation timepoint [3,13]; residual tumor tissue is often unavailable and patients frequently transition directly to watch-and-wait. Paired-biopsy molecular studies of TNT are therefore practically restricted to a sampling window bracketing the radiation (first) phase of TNT. An important feature of the cohort studied here — and one that we make explicit throughout because it is load-bearing for the external-validation interpretation below — is that the paired pre- and post-biopsies bracket a</w:t>
      </w:r>
      <w:r>
        <w:t xml:space="preserve"> </w:t>
      </w:r>
      <w:r>
        <w:rPr>
          <w:b/>
          <w:bCs/>
        </w:rPr>
        <w:t xml:space="preserve">radiation-only</w:t>
      </w:r>
      <w:r>
        <w:t xml:space="preserve"> </w:t>
      </w:r>
      <w:r>
        <w:t xml:space="preserve">window: the patients’ sequenced biopsies experienced</w:t>
      </w:r>
      <w:r>
        <w:t xml:space="preserve"> </w:t>
      </w:r>
      <w:r>
        <w:rPr>
          <w:b/>
          <w:bCs/>
        </w:rPr>
        <w:t xml:space="preserve">short-course radiotherapy (25 Gy delivered in 5 daily fractions; SC-RT)</w:t>
      </w:r>
      <w:r>
        <w:t xml:space="preserve"> </w:t>
      </w:r>
      <w:r>
        <w:t xml:space="preserve">without concurrent cytotoxic chemotherapy, with FOLFOX or CAPOX consolidation following after the post-biopsy was drawn. The final good/bad response label is nonetheless determined after the complete radiation-then-consolidation regimen. This window is also the natural mid-treatment decision point at which clinical intensification, deintensification, or transition to watch-and-wait can be considered. The SC-RT + sequential-chemotherapy TNT schedule studied here differs structurally from the more widely-profiled long-course chemoradiation (LC-CRT, 50.4 Gy over 28 fractions with concurrent capecitabine) that dominates the public translational landscape; this RT-fractionation contrast is leveraged in §3.12 for a regimen-agnostic validation that spans SC-RT, LC-CRT, and SC-RT-TNT-with-a-different-chemo-backbone.</w:t>
      </w:r>
    </w:p>
    <w:p>
      <w:pPr>
        <w:pStyle w:val="BodyText"/>
      </w:pPr>
      <w:r>
        <w:t xml:space="preserve">Two orthogonal molecular axes dominate current thinking about LARC response. MSI-H tumors respond to single-agent PD-1 blockade (100 % complete response with dostarlimab [5]; see also pembrolizumab/nivolumab MSI-CRC trials [39–41]), but MSI-H is only 5–7 % of rectal cancer [14] and does not apply to the MSS majority studied here. EMT and CMS4 mesenchymal biology drive chemoradiation resistance [6,7,49–51]. Independently of TNT, a robust body of work links cytotoxic CD8⁺ T-cell infiltration to radiotherapy response in rectal and other solid tumors [8–11,19,20,35,61], with Rooney-style cytolytic activity (GZMA × PRF1) emerging as a pan-cancer correlate of immune engagement [34]; neoadjuvant radiation increases CD8 and Granzyme-B T-cell density and restores interferon-γ programs [10,11]. Radiation is increasingly understood as an immunogenic modality [21,22], with DNA-damage signalling driving antigen release, cGAS-STING activation, and clone-selective cytotoxicity [23,24]. Immune escape via HLA class I loss or LOH [36,37] and differential response by HLA heterozygosity [38] are established concepts in the ICB literature and relevant to the neoadjuvant CRT context. Most published nCRT transcriptomic signatures were derived from small single-regimen cohorts (n = 30–100) predating TNT, with heterogeneous TRG scoring (Dworak [59] vs Mandard [58] vs Ryan [57] vs Rödel [60]; intra-rater agreement moderate [55,56]) that complicates cross-cohort comparison [15–18]. A concurrent independent 298-patient pre-CRT RNA-seq cohort (Akiyoshi et al, JAMA Netw Open 2023 [61]) reports a cytotoxic-lymphocyte and IFN-γ–dominant predictor, convergent with our immune arm.</w:t>
      </w:r>
    </w:p>
    <w:p>
      <w:pPr>
        <w:pStyle w:val="BodyText"/>
      </w:pPr>
      <w:r>
        <w:t xml:space="preserve">Here we profile 35 MSS LARC patients whose paired biopsies bracket the radiation phase of TNT, reconstruct somatic, HLA, neoantigen, transcriptomic, immune-repertoire and clonal-dynamic axes per patient, and dissect response along three layers with transparently different evidential weight: (i) two parallel pre-CRT predictors — a tumor-intrinsic DNA-repair / cell-cycle axis and an immune CD8-cytotoxic axis — each of which is validated externally; (ii) the radiation-phase pharmacodynamic behavior of the predictor axes themselves, reported with both magnitude and directional-consistency statistics; and (iii) an exploratory radiation-induced clonal-and-immune cascade whose between-group claims (except Treg) are under-powered at the paired sample sizes available (n = 12 for RNA-based features and n = 14 for WES-based features; see Methods).</w:t>
      </w:r>
    </w:p>
    <w:p>
      <w:r>
        <w:pict>
          <v:rect style="width:0;height:1.5pt" o:hralign="center" o:hrstd="t" o:hr="t"/>
        </w:pict>
      </w:r>
    </w:p>
    <w:bookmarkEnd w:id="11"/>
    <w:bookmarkStart w:id="23" w:name="methods"/>
    <w:p>
      <w:pPr>
        <w:pStyle w:val="Heading2"/>
      </w:pPr>
      <w:r>
        <w:t xml:space="preserve">Methods</w:t>
      </w:r>
    </w:p>
    <w:bookmarkStart w:id="12" w:name="Xca8d0a6073fb001f109ddac55eb76011cfd562c"/>
    <w:p>
      <w:pPr>
        <w:pStyle w:val="Heading3"/>
      </w:pPr>
      <w:r>
        <w:t xml:space="preserve">Patients and samples (Supp Fig S12, CONSORT-style)</w:t>
      </w:r>
    </w:p>
    <w:p>
      <w:pPr>
        <w:pStyle w:val="FirstParagraph"/>
      </w:pPr>
      <w:r>
        <w:t xml:space="preserve">Thirty-five MSS LARC patients (clinical T2–T4) received TNT (</w:t>
      </w:r>
      <w:r>
        <w:rPr>
          <w:b/>
          <w:bCs/>
        </w:rPr>
        <w:t xml:space="preserve">short-course radiotherapy, 25 Gy in 5 daily fractions</w:t>
      </w:r>
      <w:r>
        <w:t xml:space="preserve">, followed by consolidation FOLFOX or CAPOX; see below for the crucial RT-fractionation and chemo-timing clarification) at Seoul National University Hospital. Final TNT response was graded on surgical specimens by Dworak TRG after completion of the full regimen and binarised good (TRG 0–1; n = 18) versus bad (TRG 2–3; n = 17). Fourteen subjects (subjects 1–14; 7 good + 7 bad) contributed matched pre-CRT biopsy, post-CRT biopsy (drawn before consolidation began), and blood normal; the remaining 21 subjects (subjects 15–35) contributed a single pre-CRT tumor sample (and, for most, matched normal). Paired analyses therefore draw on two partially-overlapping sets: a</w:t>
      </w:r>
      <w:r>
        <w:t xml:space="preserve"> </w:t>
      </w:r>
      <w:r>
        <w:rPr>
          <w:b/>
          <w:bCs/>
        </w:rPr>
        <w:t xml:space="preserve">WES-paired set of n = 14</w:t>
      </w:r>
      <w:r>
        <w:t xml:space="preserve"> </w:t>
      </w:r>
      <w:r>
        <w:t xml:space="preserve">(7 good + 7 bad; all 14 triplet-contributing subjects), used for somatic-mutation-based paired analyses (SBS5 Δ, missense Δ, HLA-LOH pre→post, TMB Δ); and an</w:t>
      </w:r>
      <w:r>
        <w:t xml:space="preserve"> </w:t>
      </w:r>
      <w:r>
        <w:rPr>
          <w:b/>
          <w:bCs/>
        </w:rPr>
        <w:t xml:space="preserve">RNA-paired set of n = 12</w:t>
      </w:r>
      <w:r>
        <w:t xml:space="preserve"> </w:t>
      </w:r>
      <w:r>
        <w:t xml:space="preserve">(6 good + 6 bad), obtained by excluding subjects 3 (RNA-seq pre only) and 11 (RNA-seq post only), used for all transcriptome-based paired analyses (immune signatures, 22-signature Δ, TRUST4 IGHV directional coherence, Treg / MHC-II / CD8 exhaustion / IGH clonotype count Δ). Per-feature paired sample sizes differ by a further 1–3 subjects where individual per-subject outputs are missing (e.g., pVACseq neoantigen output completeness gives n = 11 for neoantigen Δ); exact per-feature n is tabulated in Table S8. The 36-pair convergence test (§3.8) uses the RNA-paired n = 12 because all cascade Δ quantities it uses are RNA-derived. Per-analysis sample counts are reconciled in Supp Fig S12.</w:t>
      </w:r>
    </w:p>
    <w:p>
      <w:pPr>
        <w:pStyle w:val="BodyText"/>
      </w:pPr>
      <w:r>
        <w:rPr>
          <w:b/>
          <w:bCs/>
        </w:rPr>
        <w:t xml:space="preserve">Regimen and biopsy-window clarification (load-bearing).</w:t>
      </w:r>
      <w:r>
        <w:t xml:space="preserve"> </w:t>
      </w:r>
      <w:r>
        <w:t xml:space="preserve">In this cohort, the paired pre- and post-biopsies bracket the radiation phase only — the sequenced post-biopsy was drawn after</w:t>
      </w:r>
      <w:r>
        <w:t xml:space="preserve"> </w:t>
      </w:r>
      <w:r>
        <w:rPr>
          <w:b/>
          <w:bCs/>
        </w:rPr>
        <w:t xml:space="preserve">short-course radiotherapy (25 Gy in 5 daily fractions; SC-RT)</w:t>
      </w:r>
      <w:r>
        <w:t xml:space="preserve"> </w:t>
      </w:r>
      <w:r>
        <w:t xml:space="preserve">and before the consolidation chemotherapy regimen began. Final TNT response labels were determined later, after FOLFOX or CAPOX consolidation and either surgery or a mature clinical response adjudication. The nine public long-course nCRT external cohorts used for validation instead received standard LC-CRT (50.4 Gy over 28 fractions), in which capecitabine is administered concurrently with radiation as a radiosensitizer and response is adjudicated after the single-phase radiation + concurrent-chemo without a separated consolidation. These two strata therefore differ on</w:t>
      </w:r>
      <w:r>
        <w:t xml:space="preserve"> </w:t>
      </w:r>
      <w:r>
        <w:rPr>
          <w:b/>
          <w:bCs/>
        </w:rPr>
        <w:t xml:space="preserve">two regimen axes simultaneously</w:t>
      </w:r>
      <w:r>
        <w:t xml:space="preserve">: RT fractionation (5 × 5 Gy SC-RT vs 28 × 1.8 Gy LC-CRT) and chemo-timing (consolidated after the biopsy window in ours, versus concurrent with radiation in external). A third regimen stratum is added in v0.7.5 via the SC-RT-matched GSE254249 (Gao et al. Cancer Cell 2025; §3.12): SC-RT 5 × 5 Gy followed by 6–8 cycles of FOLFOXIRI (3-drug) consolidation — matching our RT fractionation and chemo timing but differing on chemo backbone (3-drug vs 2-drug). Across these three regimens (discovery SC-RT + FOLFOX/CAPOX; LC-CRT + concurrent capecitabine; SC-RT + FOLFOXIRI), the pre-treatment baseline predictor is measured before any therapy is delivered and therefore cannot encode any downstream regimen choice; reproduction across all three strata (§3.12) supports a regimen-agnostic interpretation within multimodal genotoxic therapy. Paired pre-vs-post external meta is deliberately not attempted because the three regimens’ post-treatment samples reflect different treatment physics and their Δ signals are not biologically commensurate.</w:t>
      </w:r>
    </w:p>
    <w:bookmarkEnd w:id="12"/>
    <w:bookmarkStart w:id="13" w:name="sequencing-and-processing"/>
    <w:p>
      <w:pPr>
        <w:pStyle w:val="Heading3"/>
      </w:pPr>
      <w:r>
        <w:t xml:space="preserve">Sequencing and processing</w:t>
      </w:r>
    </w:p>
    <w:p>
      <w:pPr>
        <w:pStyle w:val="FirstParagraph"/>
      </w:pPr>
      <w:r>
        <w:t xml:space="preserve">Agilent SureSelect V5 capture, NovaSeq 6000 PE101, median 150× tumor / 90× normal. BWA-MEM to GRCh38, GATK 4.6.2 best-practice. Somatic calls: GATK Mutect2 with a 28-sample cohort PoN + gnomAD v3.1, FilterMutectCalls + LearnReadOrientationModel + CalculateContamination. Eight of 49 tumors without matched normal used tumor-only Mutect2 with the same cohort PoN, gnomAD germline-resource, and FilterMutectCalls defaults (no parameter overrides; default</w:t>
      </w:r>
      <w:r>
        <w:t xml:space="preserve"> </w:t>
      </w:r>
      <w:r>
        <w:rPr>
          <w:rStyle w:val="VerbatimChar"/>
        </w:rPr>
        <w:t xml:space="preserve">--max-population-af 0.01</w:t>
      </w:r>
      <w:r>
        <w:t xml:space="preserve">, default</w:t>
      </w:r>
      <w:r>
        <w:t xml:space="preserve"> </w:t>
      </w:r>
      <w:r>
        <w:rPr>
          <w:rStyle w:val="VerbatimChar"/>
        </w:rPr>
        <w:t xml:space="preserve">--tumor-lod 2.0</w:t>
      </w:r>
      <w:r>
        <w:t xml:space="preserve"> </w:t>
      </w:r>
      <w:r>
        <w:t xml:space="preserve">log10). snpEff GRCh38.99 annotation; 18,580 PASS somatic variants. MSI: msisensor-pro (T-N paired on 41 tumors). SBS signatures: SigProfilerAssignment refit to COSMIC v3.3 (Table S2). CNV: CNVkit batch. HRD proxies: LST, TAI, LOH from CNV segments. HLA class I: OptiType on MHC-extracted reads (Table S5). Extended methods in Supp Text S1.</w:t>
      </w:r>
    </w:p>
    <w:bookmarkEnd w:id="13"/>
    <w:bookmarkStart w:id="14" w:name="hla-loh-primary-and-orthogonal"/>
    <w:p>
      <w:pPr>
        <w:pStyle w:val="Heading3"/>
      </w:pPr>
      <w:r>
        <w:t xml:space="preserve">HLA-LOH (primary and orthogonal)</w:t>
      </w:r>
    </w:p>
    <w:p>
      <w:pPr>
        <w:pStyle w:val="FirstParagraph"/>
      </w:pPr>
      <w:r>
        <w:t xml:space="preserve">Primary call uses direct IMGT-allele read counting with stricter criteria: both normal and tumor allelic depth ≥ 30, |Δratio| = |normal_ratio − tumor_ratio| ≥ 0.20, Fisher exact P &lt; 0.01 with Bonferroni correction across loci per sample (Table S9). A parallel lenient (</w:t>
      </w:r>
      <w:r>
        <w:t xml:space="preserve">“LOHHLA-lite”</w:t>
      </w:r>
      <w:r>
        <w:t xml:space="preserve">) call (|Δratio| ≥ 0.15, Fisher P &lt; 0.05 uncorrected) is retained for completeness and reported side-by-side (Supp Fig S13). We did not run the published LOHHLA pipeline [30]; stricter IMGT-read counting is presented as an orthogonal conservative call, and the two stringency tiers agree in direction.</w:t>
      </w:r>
    </w:p>
    <w:bookmarkEnd w:id="14"/>
    <w:bookmarkStart w:id="15" w:name="neoantigen-prediction"/>
    <w:p>
      <w:pPr>
        <w:pStyle w:val="Heading3"/>
      </w:pPr>
      <w:r>
        <w:t xml:space="preserve">Neoantigen prediction</w:t>
      </w:r>
    </w:p>
    <w:p>
      <w:pPr>
        <w:pStyle w:val="FirstParagraph"/>
      </w:pPr>
      <w:r>
        <w:t xml:space="preserve">pVACseq v5 + MHCflurry 2.0 on Mutect2-passing missense variants, per-patient HLA-A/B/C 4-digit types, 8–11-mer peptides. Strong binders ≤ 50 nM; binders ≤ 500 nM (Table S6). Presentation-competent neoantigen (PCN) score = unique binder sites × (1 − 0.33 · LOH fraction).</w:t>
      </w:r>
    </w:p>
    <w:bookmarkEnd w:id="15"/>
    <w:bookmarkStart w:id="16" w:name="rna-seq-and-signatures"/>
    <w:p>
      <w:pPr>
        <w:pStyle w:val="Heading3"/>
      </w:pPr>
      <w:r>
        <w:t xml:space="preserve">RNA-seq and signatures</w:t>
      </w:r>
    </w:p>
    <w:p>
      <w:pPr>
        <w:pStyle w:val="FirstParagraph"/>
      </w:pPr>
      <w:r>
        <w:t xml:space="preserve">Stranded library, NovaSeq PE101, HISAT2 + StringTie to GRCh38 / GENCODE v39, gene-level TPM (46,425 × 56). DESeq2</w:t>
      </w:r>
      <w:r>
        <w:t xml:space="preserve"> </w:t>
      </w:r>
      <w:r>
        <w:rPr>
          <w:rStyle w:val="VerbatimChar"/>
        </w:rPr>
        <w:t xml:space="preserve">~ sex + cT_simple + response_bin</w:t>
      </w:r>
      <w:r>
        <w:t xml:space="preserve"> </w:t>
      </w:r>
      <w:r>
        <w:t xml:space="preserve">for DEG. fgsea (Hallmark + Reactome; Table S3). gseapy ssGSEA on 95 curated sets. Thread 1 (tumor-intrinsic) signatures: DSB / HDR repair (Reactome R-HSA-5693532, R-HSA-5685942, R-HSA-5693538, R-HSA-5693607 composite z-score), Tumor cell-cycle (Hallmark G2-M, Reactome cell-cycle checkpoints + M phase + mitotic G2/M + S phase composite), E2F/MYC (Hallmark E2F targets + Myc targets V1 + V2 composite), EMT (Hallmark EMT). Thread 2 (immune) signatures: CD8-cytotoxic pure effector panel (CD8A, CD8B, GZMA, GZMB, GZMH, GZMK, PRF1, IFNG, NKG7, GNLY, CXCL9, CXCL10, CXCL11, TBX21, EOMES, KLRK1, KLRD1 — no cell-cycle genes); T-cell infiltration (CD3D, CD3E, CD3G, CD247, TRAC, TRBC1/2); B-cell infiltration (CD19, MS4A1, CD79A, CD79B, POU2AF1). Supplementary signatures (MHC I/II, CD8 activation, CD8 exhaustion, NLRC5–HLA–IFN-γ, TLS Cabrita, TGF-β Mariathasan, Mak EMT, Buffa hypoxia) computed as mean z-score of member genes. CMS by CMScaller. TCR/BCR by TRUST4, with locus-and-productive-filtered clonotype calls summarised as n_clonotypes / Shannon / Gini / top-1 frequency per chain and V-gene usage fractions per sample. A signature-composition audit (§3.4, Supp Text S3) identified and removed a legacy</w:t>
      </w:r>
      <w:r>
        <w:t xml:space="preserve"> </w:t>
      </w:r>
      <w:r>
        <w:rPr>
          <w:rStyle w:val="VerbatimChar"/>
        </w:rPr>
        <w:t xml:space="preserve">CD8 proliferation</w:t>
      </w:r>
      <w:r>
        <w:t xml:space="preserve"> </w:t>
      </w:r>
      <w:r>
        <w:t xml:space="preserve">gene panel whose members (MKI67, TOP2A, MCM2/5, PCNA, CCNB1/B2, CDK1) conflated CD8 effector with bulk tumor cell-cycle; this panel was retained as a separate</w:t>
      </w:r>
      <w:r>
        <w:t xml:space="preserve"> </w:t>
      </w:r>
      <w:r>
        <w:rPr>
          <w:rStyle w:val="VerbatimChar"/>
        </w:rPr>
        <w:t xml:space="preserve">Tumor_cellcycle</w:t>
      </w:r>
      <w:r>
        <w:t xml:space="preserve"> </w:t>
      </w:r>
      <w:r>
        <w:t xml:space="preserve">signature (Thread 1) and replaced with the pure CD8-cytotoxic panel (Thread 2) for all downstream analyses. GSEA adaptive-multilevel-test P values beyond 10⁻¹⁰ are capped at</w:t>
      </w:r>
      <w:r>
        <w:t xml:space="preserve"> </w:t>
      </w:r>
      <w:r>
        <w:rPr>
          <w:rStyle w:val="VerbatimChar"/>
        </w:rPr>
        <w:t xml:space="preserve">P &lt; 10⁻¹⁰</w:t>
      </w:r>
      <w:r>
        <w:t xml:space="preserve"> </w:t>
      </w:r>
      <w:r>
        <w:t xml:space="preserve">for reporting honesty.</w:t>
      </w:r>
    </w:p>
    <w:bookmarkEnd w:id="16"/>
    <w:bookmarkStart w:id="17" w:name="integration-and-predictor"/>
    <w:p>
      <w:pPr>
        <w:pStyle w:val="Heading3"/>
      </w:pPr>
      <w:r>
        <w:t xml:space="preserve">Integration and predictor</w:t>
      </w:r>
    </w:p>
    <w:p>
      <w:pPr>
        <w:pStyle w:val="FirstParagraph"/>
      </w:pPr>
      <w:r>
        <w:t xml:space="preserve">Per-subject master table 35 × 36 (clinical + WES + RNA, with the cell-cycle-contaminated</w:t>
      </w:r>
      <w:r>
        <w:t xml:space="preserve"> </w:t>
      </w:r>
      <w:r>
        <w:rPr>
          <w:rStyle w:val="VerbatimChar"/>
        </w:rPr>
        <w:t xml:space="preserve">CD8 proliferation</w:t>
      </w:r>
      <w:r>
        <w:t xml:space="preserve"> </w:t>
      </w:r>
      <w:r>
        <w:t xml:space="preserve">removed; Table S1). Mann–Whitney U for continuous features, Fisher for categorical, BH FDR across the feature panel (Table 2).</w:t>
      </w:r>
      <w:r>
        <w:t xml:space="preserve"> </w:t>
      </w:r>
      <w:r>
        <w:rPr>
          <w:b/>
          <w:bCs/>
        </w:rPr>
        <w:t xml:space="preserve">LASSO logistic regression</w:t>
      </w:r>
      <w:r>
        <w:t xml:space="preserve"> </w:t>
      </w:r>
      <w:r>
        <w:t xml:space="preserve">with nested outer leave-one-out cross-validation (LOOCV) and inner 5-fold cross-validation for feature pre-selection (SelectKBest k ∈ {5, 8, 12}) and regularisation tuning (C ∈ {0.1, 0.3, 1, 3}); outer held-out ROC AUC with 95 % bootstrap (2,000 resamples) CI (Fig 5B). The nested-CV pipeline was additionally run under a 5-scenario ablation to disambiguate the effect of removing the cell-cycle-contaminated signature from the effect of adding purified immune signatures: baseline 37 features; drop CD8_proliferation to 36; add 3 purified immune (CD8_cytotoxic, T/B infiltration) to 40; swap CD8_proliferation → CD8_cytotoxic at 37; drop-and-add at 39. All results are reported from nested outer folds with no leakage. ElasticNet and RandomForest reported side-by-side (Supp Fig S8). Full pipeline pseudocode, fold-by-fold feature stability, and an exploratory permutation analysis are provided in Supp Text S2.</w:t>
      </w:r>
    </w:p>
    <w:bookmarkEnd w:id="17"/>
    <w:bookmarkStart w:id="18" w:name="X2d3bdeecf3071af8b15d63660448548bb2f318d"/>
    <w:p>
      <w:pPr>
        <w:pStyle w:val="Heading3"/>
      </w:pPr>
      <w:r>
        <w:t xml:space="preserve">Paired radiation-phase analyses — magnitude and directional-consistency duality (Supp Text S5)</w:t>
      </w:r>
    </w:p>
    <w:p>
      <w:pPr>
        <w:pStyle w:val="FirstParagraph"/>
      </w:pPr>
      <w:r>
        <w:t xml:space="preserve">For every paired pre→post feature (baseline Thread-1 factor composite scores and member pathways; 22-signature Δ; ssGSEA Δ; TRUST4 Δ; SBS Δ; TMB Δ; neoantigen Δ; HLA-LOH call Δ; TRUST4 IGHV V-gene fraction Δ) we report two independent axes of evidence:</w:t>
      </w:r>
    </w:p>
    <w:p>
      <w:pPr>
        <w:pStyle w:val="Compact"/>
        <w:numPr>
          <w:ilvl w:val="0"/>
          <w:numId w:val="1001"/>
        </w:numPr>
      </w:pPr>
      <w:r>
        <w:rPr>
          <w:b/>
          <w:bCs/>
        </w:rPr>
        <w:t xml:space="preserve">Magnitude.</w:t>
      </w:r>
      <w:r>
        <w:t xml:space="preserve"> </w:t>
      </w:r>
      <w:r>
        <w:t xml:space="preserve">Within-group one-sample Wilcoxon signed-rank against zero; between-group Mann–Whitney U on Δ. BCa 95 % CI (5,000 resamples) for both within-group median Δ and between-group (median good − median bad).</w:t>
      </w:r>
    </w:p>
    <w:p>
      <w:pPr>
        <w:pStyle w:val="Compact"/>
        <w:numPr>
          <w:ilvl w:val="0"/>
          <w:numId w:val="1001"/>
        </w:numPr>
      </w:pPr>
      <w:r>
        <w:rPr>
          <w:b/>
          <w:bCs/>
        </w:rPr>
        <w:t xml:space="preserve">Direction.</w:t>
      </w:r>
      <w:r>
        <w:t xml:space="preserve"> </w:t>
      </w:r>
      <w:r>
        <w:t xml:space="preserve">Within-group binomial sign test (number of subjects moving in the a-priori predicted direction versus n_total under p = 0.5); between-group Fisher exact on a 2×2 table of predicted / not-predicted movement counts. Direction tests discard zero-Δ subjects.</w:t>
      </w:r>
    </w:p>
    <w:p>
      <w:pPr>
        <w:pStyle w:val="FirstParagraph"/>
      </w:pPr>
      <w:r>
        <w:t xml:space="preserve">Both are reported for every paired test. This duality is important because small-N paired designs (n = 6 + 6 here) readily produce</w:t>
      </w:r>
      <w:r>
        <w:t xml:space="preserve"> </w:t>
      </w:r>
      <w:r>
        <w:t xml:space="preserve">“reproducible direction with heterogeneous magnitude”</w:t>
      </w:r>
      <w:r>
        <w:t xml:space="preserve"> </w:t>
      </w:r>
      <w:r>
        <w:t xml:space="preserve">signals (e.g., a 6-subject concordant 5/6 up or 6/6 down at modest per-subject effect), which Wilcoxon and Mann–Whitney interpret as weak whereas the direction test interprets as significant at binomial P = 0.031 (5/6) or 0.016 (6/6). The complementary reading is given in Supp Text S5 with a worked example from the IGHV3-7 / IGHV3-74 / IGHV6-1 gene panel (§3.9).</w:t>
      </w:r>
    </w:p>
    <w:bookmarkEnd w:id="18"/>
    <w:bookmarkStart w:id="19" w:name="repertoire-level-coherence-test-3.9"/>
    <w:p>
      <w:pPr>
        <w:pStyle w:val="Heading3"/>
      </w:pPr>
      <w:r>
        <w:t xml:space="preserve">Repertoire-level coherence test (§3.9)</w:t>
      </w:r>
    </w:p>
    <w:p>
      <w:pPr>
        <w:pStyle w:val="FirstParagraph"/>
      </w:pPr>
      <w:r>
        <w:t xml:space="preserve">For each TRUST4-detected IGH V-gene with coverage in ≥ 6 of 12 paired subjects and ≥ 5 subjects per response group, we computed per-subject Δ_fraction (post-pre) of IGH repertoire fraction and derived three per-V-gene statistics: (i) good-group sign counts (n_up, n_down) and two-sided binomial P; (ii) bad-group sign counts; (iii) Fisher exact on the 2×2 (group × up/down); and (iv) the</w:t>
      </w:r>
      <w:r>
        <w:t xml:space="preserve"> </w:t>
      </w:r>
      <w:r>
        <w:rPr>
          <w:b/>
          <w:bCs/>
        </w:rPr>
        <w:t xml:space="preserve">coherence gap</w:t>
      </w:r>
      <w:r>
        <w:t xml:space="preserve"> </w:t>
      </w:r>
      <w:r>
        <w:t xml:space="preserve">= good_majority_fraction − bad_majority_fraction, where majority_fraction is the larger of (n_up, n_down) divided by non-zero count. Three independent aggregate tests are then computed across the V-gene set: (a) paired Wilcoxon signed-rank on (good_majority − bad_majority); (b) binomial test on the count of V-genes where good_majority &gt; bad_majority; (c) binomial test on the</w:t>
      </w:r>
      <w:r>
        <w:t xml:space="preserve"> </w:t>
      </w:r>
      <w:r>
        <w:t xml:space="preserve">“good coherent, bad mixed”</w:t>
      </w:r>
      <w:r>
        <w:t xml:space="preserve"> </w:t>
      </w:r>
      <w:r>
        <w:t xml:space="preserve">vs opposite pattern under a 70 % majority-fraction threshold.</w:t>
      </w:r>
    </w:p>
    <w:bookmarkEnd w:id="19"/>
    <w:bookmarkStart w:id="20" w:name="external-validation-meta-analysis-3.12"/>
    <w:p>
      <w:pPr>
        <w:pStyle w:val="Heading3"/>
      </w:pPr>
      <w:r>
        <w:t xml:space="preserve">External validation (meta-analysis; §3.12)</w:t>
      </w:r>
    </w:p>
    <w:p>
      <w:pPr>
        <w:pStyle w:val="FirstParagraph"/>
      </w:pPr>
      <w:r>
        <w:t xml:space="preserve">External validation draws on</w:t>
      </w:r>
      <w:r>
        <w:t xml:space="preserve"> </w:t>
      </w:r>
      <w:r>
        <w:rPr>
          <w:b/>
          <w:bCs/>
        </w:rPr>
        <w:t xml:space="preserve">three regimen strata</w:t>
      </w:r>
      <w:r>
        <w:t xml:space="preserve">:</w:t>
      </w:r>
    </w:p>
    <w:p>
      <w:pPr>
        <w:pStyle w:val="BodyText"/>
      </w:pPr>
      <w:r>
        <w:rPr>
          <w:b/>
          <w:bCs/>
        </w:rPr>
        <w:t xml:space="preserve">(a) LC-CRT meta (Thread 1 + Thread 2).</w:t>
      </w:r>
      <w:r>
        <w:t xml:space="preserve"> </w:t>
      </w:r>
      <w:r>
        <w:t xml:space="preserve">Nine public GEO nCRT rectal cancer cohorts with interpretable response labels (N = 721): GSE150082, GSE35452, GSE119409, GSE45404, GSE94104, GSE56699, GSE46862, GSE133057, GSE87211 (Table S7). All are long-course nCRT with concurrent capecitabine or 5-FU; none received modern induction/consolidation TNT. Per-cohort probe-to-gene mapping from native platform; log₂-transform where needed; signatures scored per sample by z-score averaging. Response labels were mapped manually to good/bad using the correct TRG scale per cohort (Dworak, Mandard, CAP/AJCC/Ryan, Rödel, author-assigned good/poor, or recurrence surrogate for GSE87211; Table S7).</w:t>
      </w:r>
      <w:r>
        <w:t xml:space="preserve"> </w:t>
      </w:r>
      <w:r>
        <w:rPr>
          <w:b/>
          <w:bCs/>
        </w:rPr>
        <w:t xml:space="preserve">Primary meta uses the restricted 5 long-course nCRT cohorts</w:t>
      </w:r>
      <w:r>
        <w:t xml:space="preserve"> </w:t>
      </w:r>
      <w:r>
        <w:t xml:space="preserve">(GSE35452, GSE45404, GSE56699, GSE133057, GSE87211; N = 518) satisfying the a priori rule ≥ 3 of 4 Thread-1 features in the discovery direction (concordance rule applied on the full 9-cohort data before Stouffer Z computation;</w:t>
      </w:r>
      <w:r>
        <w:t xml:space="preserve"> </w:t>
      </w:r>
      <w:r>
        <w:rPr>
          <w:rStyle w:val="VerbatimChar"/>
        </w:rPr>
        <w:t xml:space="preserve">scripts/26/10_thread1_per_cohort.py</w:t>
      </w:r>
      <w:r>
        <w:t xml:space="preserve">). Four cohorts were excluded with independent regimen/endpoint/label rationales: GSE119409 is radiotherapy-alone (not chemoradiation [Ji et al 2020]); GSE94104 is a CMS subtype-stability paper without a formal response endpoint [Alderdice 2018]; GSE150082 mixes long-course CRT with a TNT subset and the original report concludes opposite biology [Sendoya 2020]; GSE46862 contributes only 1/4 concordant trends, all NS [Gim 2016]. Sensitivity meta across all 9 cohorts is reported side-by-side (Supp Table S7A; Supp Text S4). Per-signature per-cohort Mann–Whitney U, aggregated by two-sided Stouffer’s Z weighted by √(n_good + n_bad).</w:t>
      </w:r>
    </w:p>
    <w:p>
      <w:pPr>
        <w:pStyle w:val="BodyText"/>
      </w:pPr>
      <w:r>
        <w:rPr>
          <w:b/>
          <w:bCs/>
        </w:rPr>
        <w:t xml:space="preserve">(b) Akiyoshi 2023 paper-level CD8-cytotoxic augmentation.</w:t>
      </w:r>
      <w:r>
        <w:t xml:space="preserve"> </w:t>
      </w:r>
      <w:r>
        <w:t xml:space="preserve">Akiyoshi et al 2023 (GSE216616 [61], n = 298) is added to Thread 2 (CD8-cytotoxic) at the published-statistic level: cytolytic activity (GZMA × PRF1 geometric mean) TRG1/2 vs TRG3/4 P = 0.005 (eFig 4B of Akiyoshi 2023) converted to a √N-weighted Z = +2.81 by the standard log-OR / SE_logOR transformation; per-sample labels are not co-deposited on GEO and the JAMA 2023 supplement has aggregate counts only. Akiyoshi 2023 cannot contribute to Thread 1 because the paper’s analysis is immune-only.</w:t>
      </w:r>
    </w:p>
    <w:p>
      <w:pPr>
        <w:pStyle w:val="BodyText"/>
      </w:pPr>
      <w:r>
        <w:rPr>
          <w:b/>
          <w:bCs/>
        </w:rPr>
        <w:t xml:space="preserve">(c) SC-RT-matched external validation (GSE254249; new in v0.7.5).</w:t>
      </w:r>
      <w:r>
        <w:t xml:space="preserve"> </w:t>
      </w:r>
      <w:r>
        <w:t xml:space="preserve">An exhaustive GEO / ArrayExpress / EGA / GSA-Human search (logged in</w:t>
      </w:r>
      <w:r>
        <w:t xml:space="preserve"> </w:t>
      </w:r>
      <w:r>
        <w:rPr>
          <w:rStyle w:val="VerbatimChar"/>
        </w:rPr>
        <w:t xml:space="preserve">260418_add/SCRT_external_search.md</w:t>
      </w:r>
      <w:r>
        <w:t xml:space="preserve">, 2026-04-20) identified a single public transcriptomic cohort profiling rectal cancer treated with SC-RT plus TNT consolidation:</w:t>
      </w:r>
      <w:r>
        <w:t xml:space="preserve"> </w:t>
      </w:r>
      <w:r>
        <w:rPr>
          <w:b/>
          <w:bCs/>
        </w:rPr>
        <w:t xml:space="preserve">Gao et al.,</w:t>
      </w:r>
      <w:r>
        <w:rPr>
          <w:b/>
          <w:bCs/>
        </w:rPr>
        <w:t xml:space="preserve"> </w:t>
      </w:r>
      <w:r>
        <w:rPr>
          <w:b/>
          <w:bCs/>
          <w:i/>
          <w:iCs/>
        </w:rPr>
        <w:t xml:space="preserve">Cancer Cell</w:t>
      </w:r>
      <w:r>
        <w:rPr>
          <w:b/>
          <w:bCs/>
        </w:rPr>
        <w:t xml:space="preserve"> </w:t>
      </w:r>
      <w:r>
        <w:rPr>
          <w:b/>
          <w:bCs/>
        </w:rPr>
        <w:t xml:space="preserve">2025</w:t>
      </w:r>
      <w:r>
        <w:t xml:space="preserve"> </w:t>
      </w:r>
      <w:r>
        <w:t xml:space="preserve">(GSE254249 [62], PMID 41202810; 26 LARC patients in three arms nCT / nRT / nRCT, with bulk RNA-seq deposited for the nRCT TNT arm). The bulk RNA-seq slice comprises 11 samples from 8 patients in the TNT arm (SC-RT 5 × 5 Gy + 6–8 cycles FOLFOXIRI): 3 pre-treatment tumor biopsies + 8 post-TNT tumor samples, with 3 paired pre + post subjects. Final response was binarised CR (n = 5 post samples) versus non-CR (n = 3). Because the post-treatment label is propagated from the paired post-TNT sample, we analyse three axes: pre-treatment × response (n = 3; directional only), post-TNT × response (n = 8, 5 CR vs 3 non-CR; primary SC-RT validation), and paired Δ(post − pre) target engagement (n = 3). All seven Thread-1 and Thread-2 signatures scored with the same gene panels as the discovery / LC-CRT meta (Methods: RNA-seq and signatures; identical 17–25 gene panels per signature, 98.6 % mean recovery at GSE254249). Per-signature Mann–Whitney U on post-TNT × response with the same good-up convention, plus a binomial sign test across the 7 signatures to quantify aggregate directional concordance with discovery / LC-CRT meta. This is the only public SC-RT transcriptomic cohort with response labels: RAPIDO, Stockholm III, Polish II, STELLAR, STELLAR II, UNION, SPRING-01, LARCT-US translational RNA-seq are all consortium-controlled or unpublished at the time of writing (Supp Text S6).</w:t>
      </w:r>
    </w:p>
    <w:bookmarkEnd w:id="20"/>
    <w:bookmarkStart w:id="22" w:name="code-and-data"/>
    <w:p>
      <w:pPr>
        <w:pStyle w:val="Heading3"/>
      </w:pPr>
      <w:r>
        <w:t xml:space="preserve">Code and data</w:t>
      </w:r>
    </w:p>
    <w:p>
      <w:pPr>
        <w:pStyle w:val="FirstParagraph"/>
      </w:pPr>
      <w:r>
        <w:t xml:space="preserve">Analysis scripts under</w:t>
      </w:r>
      <w:r>
        <w:t xml:space="preserve"> </w:t>
      </w:r>
      <w:r>
        <w:rPr>
          <w:rStyle w:val="VerbatimChar"/>
        </w:rPr>
        <w:t xml:space="preserve">/analysis/scripts/</w:t>
      </w:r>
      <w:r>
        <w:t xml:space="preserve"> </w:t>
      </w:r>
      <w:r>
        <w:t xml:space="preserve">(numbered</w:t>
      </w:r>
      <w:r>
        <w:t xml:space="preserve"> </w:t>
      </w:r>
      <w:r>
        <w:rPr>
          <w:rStyle w:val="VerbatimChar"/>
        </w:rPr>
        <w:t xml:space="preserve">00_</w:t>
      </w:r>
      <w:r>
        <w:t xml:space="preserve">–</w:t>
      </w:r>
      <w:r>
        <w:rPr>
          <w:rStyle w:val="VerbatimChar"/>
        </w:rPr>
        <w:t xml:space="preserve">52_</w:t>
      </w:r>
      <w:r>
        <w:t xml:space="preserve">; sequencing, alignment, somatic calling, signature attribution, per-signature ssGSEA, CNV, HLA, neoantigen, figure composition) and</w:t>
      </w:r>
      <w:r>
        <w:t xml:space="preserve"> </w:t>
      </w:r>
      <w:r>
        <w:rPr>
          <w:rStyle w:val="VerbatimChar"/>
        </w:rPr>
        <w:t xml:space="preserve">/analysis/260418_add/</w:t>
      </w:r>
      <w:r>
        <w:t xml:space="preserve"> </w:t>
      </w:r>
      <w:r>
        <w:t xml:space="preserve">(numbered</w:t>
      </w:r>
      <w:r>
        <w:t xml:space="preserve"> </w:t>
      </w:r>
      <w:r>
        <w:rPr>
          <w:rStyle w:val="VerbatimChar"/>
        </w:rPr>
        <w:t xml:space="preserve">01_</w:t>
      </w:r>
      <w:r>
        <w:t xml:space="preserve">–</w:t>
      </w:r>
      <w:r>
        <w:rPr>
          <w:rStyle w:val="VerbatimChar"/>
        </w:rPr>
        <w:t xml:space="preserve">23_</w:t>
      </w:r>
      <w:r>
        <w:t xml:space="preserve">; immune LASSO retraining, 5-cohort restricted external meta, Akiyoshi augmentation, convergence-null, baseline-factor pharmacodynamics, IGHV directional coherence, native-editable PowerPoint figure decks). Code and derived tables on</w:t>
      </w:r>
      <w:r>
        <w:t xml:space="preserve"> </w:t>
      </w:r>
      <w:hyperlink r:id="rId21">
        <w:r>
          <w:rPr>
            <w:rStyle w:val="Hyperlink"/>
          </w:rPr>
          <w:t xml:space="preserve">https://github.com/Soonlab/TNT</w:t>
        </w:r>
      </w:hyperlink>
      <w:r>
        <w:t xml:space="preserve">. Raw sequencing (Macrogen HN00249207 WES, HN00249209 RNA-seq) will be deposited to SRA on publication.</w:t>
      </w:r>
    </w:p>
    <w:p>
      <w:r>
        <w:pict>
          <v:rect style="width:0;height:1.5pt" o:hralign="center" o:hrstd="t" o:hr="t"/>
        </w:pict>
      </w:r>
    </w:p>
    <w:bookmarkEnd w:id="22"/>
    <w:bookmarkEnd w:id="23"/>
    <w:bookmarkStart w:id="40" w:name="results"/>
    <w:p>
      <w:pPr>
        <w:pStyle w:val="Heading2"/>
      </w:pPr>
      <w:r>
        <w:t xml:space="preserve">Results</w:t>
      </w:r>
    </w:p>
    <w:bookmarkStart w:id="24" w:name="Xfb3871f7c22f1b0823cc3b56b437f5dafd52043"/>
    <w:p>
      <w:pPr>
        <w:pStyle w:val="Heading3"/>
      </w:pPr>
      <w:r>
        <w:t xml:space="preserve">3.1 Cohort and study design (Fig 1; Table 1; Supp Fig S1, S12, S14)</w:t>
      </w:r>
    </w:p>
    <w:p>
      <w:pPr>
        <w:pStyle w:val="FirstParagraph"/>
      </w:pPr>
      <w:r>
        <w:t xml:space="preserve">Fig 1 previews the study design (panel A — SC-RT radiation-phase sampling window explicitly bracketed on a TNT timeline; RT-fractionation and chemo-timing contrasts vs external cohorts annotated), the cohort composition (panel B — sex/cT/response Sankey), the data matrix (panel C — WES/RNA × timepoint), and the paper’s headline findings as a five-row summary forest (panel D: LASSO AUC, Thread 1 LC-CRT meta, Thread 2 LC-CRT + Akiyoshi meta,</w:t>
      </w:r>
      <w:r>
        <w:t xml:space="preserve"> </w:t>
      </w:r>
      <w:r>
        <w:rPr>
          <w:b/>
          <w:bCs/>
        </w:rPr>
        <w:t xml:space="preserve">SC-RT-matched GSE254249 external validation</w:t>
      </w:r>
      <w:r>
        <w:t xml:space="preserve">, paired pharmacodynamics). Detailed clinical characteristics are in Table 1; cohort QC in Supp Fig S1; CONSORT-style sample flow in Supp Fig S12. Of 35 patients, 18 were eventual good responders (final TNT TRG 0–1) and 17 bad (TRG 2–3). Clinical T4 was enriched in bad responders (41 % vs 11 %, Fisher P = 0.086).</w:t>
      </w:r>
      <w:r>
        <w:t xml:space="preserve"> </w:t>
      </w:r>
      <w:r>
        <w:rPr>
          <w:b/>
          <w:bCs/>
        </w:rPr>
        <w:t xml:space="preserve">All 41 matched tumors were microsatellite-stable</w:t>
      </w:r>
      <w:r>
        <w:t xml:space="preserve"> </w:t>
      </w:r>
      <w:r>
        <w:t xml:space="preserve">(max MSI 0.19 %) and TMB-low (median 1.6/Mb; good 1.85 vs bad 1.40, Mann–Whitney P = 0.186). MSI-H and high TMB — the two established ICB biomarkers — do not apply in this MSS cohort, motivating the search for alternative molecular axes.</w:t>
      </w:r>
    </w:p>
    <w:bookmarkEnd w:id="24"/>
    <w:bookmarkStart w:id="25" w:name="X3ee50f46e042fae1c671d479a7c3e1c4058b06a"/>
    <w:p>
      <w:pPr>
        <w:pStyle w:val="Heading3"/>
      </w:pPr>
      <w:r>
        <w:t xml:space="preserve">3.2 Somatic landscape (Fig 2; Table S4; Supp Fig S2–S4)</w:t>
      </w:r>
    </w:p>
    <w:p>
      <w:pPr>
        <w:pStyle w:val="FirstParagraph"/>
      </w:pPr>
      <w:r>
        <w:t xml:space="preserve">CRC driver mutations followed a canonical MSS distribution (Fig 2A, denominator N = 35 pre-treatment patients with one sample per patient; Supp Fig S4 details per-sample mutation stacks and VAF distributions): APC 24/35 (69 %), TP53 15/35 (43 %), KRAS 10/35 (29 %), FBXW7 5/35 (14 %), KMT2D 3/35 (9 %), SOX9 3/35 (9 %). No single driver reached significance for response; FBXW7 trended toward good (OR 4.6, Fisher P = 0.34), KMT2D trended toward bad (3/17 vs 0/18, Fisher P = 0.10). TMB was low in both groups (Fig 2B); SBS5/SBS1 (clock-like) dominated (&gt;60 % of mutations, Fig 2C; complete per-sample SBS attribution in Supp Fig S2); SBS3 (HRD) was absent. The response-grouped TMB+MSI waterfall (Fig 2D) confirms the MSS/TMB-low phenotype is universal; CIN was indistinguishable between groups (P = 0.66, Fig 2E; Supp Fig S3); a Myriad-style HRD LST proxy was modestly higher in bad responders (P = 0.037, Fig 2F), consistent with low-level chromosomal rearrangement in mesenchymal/EMT-high tumors without canonical HRD signature [25].</w:t>
      </w:r>
    </w:p>
    <w:bookmarkEnd w:id="25"/>
    <w:bookmarkStart w:id="26" w:name="Xea752a0bb6767bc73ec855228eb9a7268b08ded"/>
    <w:p>
      <w:pPr>
        <w:pStyle w:val="Heading3"/>
      </w:pPr>
      <w:r>
        <w:t xml:space="preserve">3.3 Pre-CRT Thread 1 — tumor-intrinsic DNA-repair and cell-cycle axis (Fig 3, Fig 4; Table S3; Supp Fig S5, S6)</w:t>
      </w:r>
    </w:p>
    <w:p>
      <w:pPr>
        <w:pStyle w:val="FirstParagraph"/>
      </w:pPr>
      <w:r>
        <w:t xml:space="preserve">We reorganise the pre-CRT RNA-seq analysis around two pre-registered axes (Thread 1 tumor-intrinsic + Thread 2 immune; Methods) whose external reproducibility is reported in §3.12. Hallmark GSEA of pre-CRT transcriptomes (n = 33; Fig 3A, 3B; full panels in Supp Fig S5) showed E2F targets (NES = 2.78, P &lt; 10⁻¹⁰), G2M checkpoint (NES = 2.46), MYC targets V1/V2 (NES ≥ 2.23), mTORC1 and mitotic spindle markedly elevated in eventual good responders, with EMT (NES = −2.16, P &lt; 10⁻⁹), myogenesis and apical junction reciprocally suppressed. Reactome GSEA (Fig 3C, 3D) independently placed cell-cycle checkpoints, M-phase, homology-directed repair, DSB repair and DNA replication as the top positive sets. ssGSEA on 95 curated sets (Fig 3E; full ssGSEA + CMScaller heatmap in Supp Fig S6) corroborated: DSB repair P = 0.007; MYC targets V2 P = 0.018; HDR P = 0.020; DNA repair P = 0.020; G2-M P = 0.032; E2F P = 0.035. CMS4 showed a non-significant trend (3/18 good vs 4/17 bad, Fisher P = 1.0); the EMT argument therefore rests on GSEA/ssGSEA rather than on a CMS4 classifier call. Thread 1 — DSB/HDR repair, tumor cell-cycle, E2F/MYC, EMT — is thus a coherent pre-CRT molecular axis in discovery, with all four member signatures moving in the same direction.</w:t>
      </w:r>
    </w:p>
    <w:bookmarkEnd w:id="26"/>
    <w:bookmarkStart w:id="27" w:name="Xc73a530e52e3111b5047b654b4b76423495108a"/>
    <w:p>
      <w:pPr>
        <w:pStyle w:val="Heading3"/>
      </w:pPr>
      <w:r>
        <w:t xml:space="preserve">3.4 Pre-CRT Thread 2 — immune CD8-cytotoxic axis, signature-composition audit, and corrected panel (Fig 4; Supp Fig S7; Supp Text S3)</w:t>
      </w:r>
    </w:p>
    <w:p>
      <w:pPr>
        <w:pStyle w:val="FirstParagraph"/>
      </w:pPr>
      <w:r>
        <w:t xml:space="preserve">A parallel pre-CRT immune analysis was performed using the pure CD8-cytotoxic effector panel (Methods). In discovery (n = 33), the CD8-cytotoxic signature showed a non-significant trend toward good responders (Mann–Whitney P = 0.84) and B-cell infiltration was also non-significant at single-cohort level (P = 0.52) (Fig 4A, 4D). The absence of single-cohort significance for these immune signatures is addressed by the external meta-analysis (§3.12; 5-cohort N = 518, 6-source N = 816 including Akiyoshi), which draws on substantially larger sample sizes. Differential expression analysis identified individual genes separating good and bad responders (Fig 4C), and the CD8 effector × exhaustion biaxial plot showed no clear immune-phenotype segregation by response group (Fig 4E). TLS Cabrita signature scores did not differ between groups (P = 0.957; Fig 4F). As described in Methods, a signature-composition audit identified and corrected a legacy CD8 proliferation panel that conflated immune effector and tumor cell-cycle genes; the corrected pure CD8-cytotoxic panel is used throughout (Supp Text S3). The 22-signature immune heatmap is shown in Fig 4B; full TRUST4 immune-repertoire diversity panels in Supp Fig S7. Table 2 lists the top-ranked per-feature associations after BH FDR. The third pre-registered Thread-2 signature, T-cell infiltration (pure CD3 panel), is tested in the external meta-analysis of §3.12; discovery-stage testing is deferred there because the Fig 4 signature-panel display is drawn from the 22-signature composite set that does not include a generic T-cell infiltration row.</w:t>
      </w:r>
    </w:p>
    <w:bookmarkEnd w:id="27"/>
    <w:bookmarkStart w:id="28" w:name="X71faaf1e37b2164f180fea346822eaac84c4416"/>
    <w:p>
      <w:pPr>
        <w:pStyle w:val="Heading3"/>
      </w:pPr>
      <w:r>
        <w:t xml:space="preserve">3.5 Integrated predictor — nested-CV LASSO over a parsimonious 36-feature panel (Fig 5; Supp Fig S8)</w:t>
      </w:r>
    </w:p>
    <w:p>
      <w:pPr>
        <w:pStyle w:val="FirstParagraph"/>
      </w:pPr>
      <w:r>
        <w:t xml:space="preserve">We re-ran the LASSO predictor under nested outer-LOOCV and inner 5-fold hyperparameter tuning on five pre-specified feature configurations to disambiguate the effect of the cell-cycle-contaminated CD8 proliferation signature removal from the effect of adding purified immune signatures (Methods). Results (Fig 5B; Supp Fig S8;</w:t>
      </w:r>
      <w:r>
        <w:t xml:space="preserve"> </w:t>
      </w:r>
      <w:r>
        <w:rPr>
          <w:rStyle w:val="VerbatimChar"/>
        </w:rPr>
        <w:t xml:space="preserve">260418_add/nested_cv_drop_vs_swap.tsv</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Features</w:t>
            </w:r>
          </w:p>
        </w:tc>
        <w:tc>
          <w:tcPr/>
          <w:p>
            <w:pPr>
              <w:pStyle w:val="Compact"/>
            </w:pPr>
            <w:r>
              <w:t xml:space="preserve">LASSO AUC</w:t>
            </w:r>
          </w:p>
        </w:tc>
        <w:tc>
          <w:tcPr/>
          <w:p>
            <w:pPr>
              <w:pStyle w:val="Compact"/>
            </w:pPr>
            <w:r>
              <w:t xml:space="preserve">ElasticNet AUC (95 % CI)</w:t>
            </w:r>
          </w:p>
        </w:tc>
      </w:tr>
      <w:tr>
        <w:tc>
          <w:tcPr/>
          <w:p>
            <w:pPr>
              <w:pStyle w:val="Compact"/>
            </w:pPr>
            <w:r>
              <w:t xml:space="preserve">baseline</w:t>
            </w:r>
          </w:p>
        </w:tc>
        <w:tc>
          <w:tcPr/>
          <w:p>
            <w:pPr>
              <w:pStyle w:val="Compact"/>
            </w:pPr>
            <w:r>
              <w:t xml:space="preserve">37</w:t>
            </w:r>
          </w:p>
        </w:tc>
        <w:tc>
          <w:tcPr/>
          <w:p>
            <w:pPr>
              <w:pStyle w:val="Compact"/>
            </w:pPr>
            <w:r>
              <w:t xml:space="preserve">0.650</w:t>
            </w:r>
          </w:p>
        </w:tc>
        <w:tc>
          <w:tcPr/>
          <w:p>
            <w:pPr>
              <w:pStyle w:val="Compact"/>
            </w:pPr>
            <w:r>
              <w:t xml:space="preserve">0.686 (0.50–0.86)</w:t>
            </w:r>
          </w:p>
        </w:tc>
      </w:tr>
      <w:tr>
        <w:tc>
          <w:tcPr/>
          <w:p>
            <w:pPr>
              <w:pStyle w:val="Compact"/>
            </w:pPr>
            <w:r>
              <w:rPr>
                <w:b/>
                <w:bCs/>
              </w:rPr>
              <w:t xml:space="preserve">drop CD8_proliferation</w:t>
            </w:r>
          </w:p>
        </w:tc>
        <w:tc>
          <w:tcPr/>
          <w:p>
            <w:pPr>
              <w:pStyle w:val="Compact"/>
            </w:pPr>
            <w:r>
              <w:rPr>
                <w:b/>
                <w:bCs/>
              </w:rPr>
              <w:t xml:space="preserve">36</w:t>
            </w:r>
          </w:p>
        </w:tc>
        <w:tc>
          <w:tcPr/>
          <w:p>
            <w:pPr>
              <w:pStyle w:val="Compact"/>
            </w:pPr>
            <w:r>
              <w:rPr>
                <w:b/>
                <w:bCs/>
              </w:rPr>
              <w:t xml:space="preserve">0.716</w:t>
            </w:r>
          </w:p>
        </w:tc>
        <w:tc>
          <w:tcPr/>
          <w:p>
            <w:pPr>
              <w:pStyle w:val="Compact"/>
            </w:pPr>
            <w:r>
              <w:rPr>
                <w:b/>
                <w:bCs/>
              </w:rPr>
              <w:t xml:space="preserve">0.745 (0.56–0.90)</w:t>
            </w:r>
          </w:p>
        </w:tc>
      </w:tr>
      <w:tr>
        <w:tc>
          <w:tcPr/>
          <w:p>
            <w:pPr>
              <w:pStyle w:val="Compact"/>
            </w:pPr>
            <w:r>
              <w:t xml:space="preserve">add 3 purified immune</w:t>
            </w:r>
          </w:p>
        </w:tc>
        <w:tc>
          <w:tcPr/>
          <w:p>
            <w:pPr>
              <w:pStyle w:val="Compact"/>
            </w:pPr>
            <w:r>
              <w:t xml:space="preserve">40</w:t>
            </w:r>
          </w:p>
        </w:tc>
        <w:tc>
          <w:tcPr/>
          <w:p>
            <w:pPr>
              <w:pStyle w:val="Compact"/>
            </w:pPr>
            <w:r>
              <w:t xml:space="preserve">0.650</w:t>
            </w:r>
          </w:p>
        </w:tc>
        <w:tc>
          <w:tcPr/>
          <w:p>
            <w:pPr>
              <w:pStyle w:val="Compact"/>
            </w:pPr>
            <w:r>
              <w:t xml:space="preserve">0.686 (0.50–0.86)</w:t>
            </w:r>
          </w:p>
        </w:tc>
      </w:tr>
      <w:tr>
        <w:tc>
          <w:tcPr/>
          <w:p>
            <w:pPr>
              <w:pStyle w:val="Compact"/>
            </w:pPr>
            <w:r>
              <w:t xml:space="preserve">swap CD8_prolif → CD8_cyt</w:t>
            </w:r>
          </w:p>
        </w:tc>
        <w:tc>
          <w:tcPr/>
          <w:p>
            <w:pPr>
              <w:pStyle w:val="Compact"/>
            </w:pPr>
            <w:r>
              <w:t xml:space="preserve">37</w:t>
            </w:r>
          </w:p>
        </w:tc>
        <w:tc>
          <w:tcPr/>
          <w:p>
            <w:pPr>
              <w:pStyle w:val="Compact"/>
            </w:pPr>
            <w:r>
              <w:t xml:space="preserve">0.716</w:t>
            </w:r>
          </w:p>
        </w:tc>
        <w:tc>
          <w:tcPr/>
          <w:p>
            <w:pPr>
              <w:pStyle w:val="Compact"/>
            </w:pPr>
            <w:r>
              <w:t xml:space="preserve">0.722 (0.53–0.89)</w:t>
            </w:r>
          </w:p>
        </w:tc>
      </w:tr>
      <w:tr>
        <w:tc>
          <w:tcPr/>
          <w:p>
            <w:pPr>
              <w:pStyle w:val="Compact"/>
            </w:pPr>
            <w:r>
              <w:t xml:space="preserve">drop + add</w:t>
            </w:r>
          </w:p>
        </w:tc>
        <w:tc>
          <w:tcPr/>
          <w:p>
            <w:pPr>
              <w:pStyle w:val="Compact"/>
            </w:pPr>
            <w:r>
              <w:t xml:space="preserve">39</w:t>
            </w:r>
          </w:p>
        </w:tc>
        <w:tc>
          <w:tcPr/>
          <w:p>
            <w:pPr>
              <w:pStyle w:val="Compact"/>
            </w:pPr>
            <w:r>
              <w:t xml:space="preserve">0.716</w:t>
            </w:r>
          </w:p>
        </w:tc>
        <w:tc>
          <w:tcPr/>
          <w:p>
            <w:pPr>
              <w:pStyle w:val="Compact"/>
            </w:pPr>
            <w:r>
              <w:t xml:space="preserve">0.735 (0.55–0.89)</w:t>
            </w:r>
          </w:p>
        </w:tc>
      </w:tr>
    </w:tbl>
    <w:p>
      <w:pPr>
        <w:pStyle w:val="BodyText"/>
      </w:pPr>
      <w:r>
        <w:t xml:space="preserve">The nominal improvement over the 37-feature baseline comes from</w:t>
      </w:r>
      <w:r>
        <w:t xml:space="preserve"> </w:t>
      </w:r>
      <w:r>
        <w:rPr>
          <w:b/>
          <w:bCs/>
        </w:rPr>
        <w:t xml:space="preserve">removing</w:t>
      </w:r>
      <w:r>
        <w:t xml:space="preserve"> </w:t>
      </w:r>
      <w:r>
        <w:t xml:space="preserve">the cell-cycle-contaminated CD8 proliferation feature, not from adding purified immune signatures — which for small-N discovery (N = 33 pre with labels) gave no inner-CV feature-importance gain because SelectKBest already chose the stronger cell-cycle / DNA-repair features on univariate F. The parsimonious 36-feature ElasticNet classifier is therefore reported as the main predictor (AUC 0.745, 95 % bootstrap CI 0.563–0.895) with four non-zero features (Fig 5C): DSB repair +0.89, genomic deletion fraction −0.76, MHC II −0.23, MSI% +0.12 (the last nearly inactive in this MSS-only cohort). This four-feature parsimonious signature recapitulates Thread 1 (DSB repair + deletion fraction) and adds a Thread-2-aligned immunogenic component (MHC II, despite a pre-CRT between-group direction toward lower scores in good — see §3.10.3 for the inverted post-CRT direction). A non-nested pass yields AUC 0.755 and is reported alongside for transparency only; the</w:t>
      </w:r>
      <w:r>
        <w:t xml:space="preserve"> </w:t>
      </w:r>
      <w:r>
        <w:rPr>
          <w:b/>
          <w:bCs/>
        </w:rPr>
        <w:t xml:space="preserve">nested outer-LOOCV AUC of 0.745 (95 % CI 0.56–0.90) is the reference</w:t>
      </w:r>
      <w:r>
        <w:t xml:space="preserve">. ElasticNet under the same nested procedure gives 0.745; RandomForest 0.58 (under-fits at n = 35). Per-subject predicted probabilities at the 0.5 threshold are provided in Supp Fig S8C for transparency; the threshold-free AUC in Fig 5B is the headline performance metric. The inclusion of both Thread-1 (DSB repair) and Thread-2-aligned (MHC II) features in a single small-N classifier, combined with the convergence-null result of §3.10 (baseline LASSO winners do not predict paired immune-cascade magnitude), argues that the two axes are statistically</w:t>
      </w:r>
      <w:r>
        <w:t xml:space="preserve"> </w:t>
      </w:r>
      <w:r>
        <w:rPr>
          <w:b/>
          <w:bCs/>
        </w:rPr>
        <w:t xml:space="preserve">orthogonal layers</w:t>
      </w:r>
      <w:r>
        <w:t xml:space="preserve"> </w:t>
      </w:r>
      <w:r>
        <w:t xml:space="preserve">of response-relevant biology, not a cascade.</w:t>
      </w:r>
    </w:p>
    <w:bookmarkEnd w:id="28"/>
    <w:bookmarkStart w:id="29" w:name="X5ce167f7ec9e546098b16821f87646f53d0e32c"/>
    <w:p>
      <w:pPr>
        <w:pStyle w:val="Heading3"/>
      </w:pPr>
      <w:r>
        <w:t xml:space="preserve">3.6 MHC-I neoantigen landscape and radiation-phase clearance (Supp Fig S15D–F)</w:t>
      </w:r>
    </w:p>
    <w:p>
      <w:pPr>
        <w:pStyle w:val="FirstParagraph"/>
      </w:pPr>
      <w:r>
        <w:t xml:space="preserve">These analyses describe downstream features of the Thread-2 immune axis that are not part of the pre-registered externally-validated signature set (§3.12); we therefore present them as supporting detail (Supp Fig S15). Pre-CRT neoantigen burden trended higher in eventual good responders (Supp Fig S15D; median 73.5 vs 66 mutation sites with ≥ 1 MHC-I binder, MW P = 0.082; PCN 71.5 vs 57.1, P = 0.15). In the paired 11-subject analysis (Supp Fig S15E), within-good median Δ binders was −312 (BCa 95 % CI [−626, −123], within-group CI excludes 0) and median Δ binder sites −59 [−88, −26]; between-group diffs crossed zero. The magnitude of within-good clearance (subjects 2, 6, 9 each losing &gt; 300 MHC-I binders) is consistent with cytotoxic elimination of mutated clones but the between-group inference is exploratory (n = 11); per-subject detail in Supp Fig S15F. One good responder (subject 14, pCR) atypically gained neoantigens, consistent with sparse residual tumor at post-CRT resection sampling.</w:t>
      </w:r>
    </w:p>
    <w:bookmarkEnd w:id="29"/>
    <w:bookmarkStart w:id="30" w:name="X5ff0a1d5d04707827eca3c7294327d679919a08"/>
    <w:p>
      <w:pPr>
        <w:pStyle w:val="Heading3"/>
      </w:pPr>
      <w:r>
        <w:t xml:space="preserve">3.7 HLA class I typing and HLA-LOH clone clearance (Fig 8E; Supp Fig S15A–C, S13; Table S9)</w:t>
      </w:r>
    </w:p>
    <w:p>
      <w:pPr>
        <w:pStyle w:val="FirstParagraph"/>
      </w:pPr>
      <w:r>
        <w:t xml:space="preserve">Pre-CRT HLA class I typing, allele frequency and homozygosity analyses (Supp Fig S15A–B) showed no significant association with response; HLA heterozygosity prevalence in our MSS cohort is comparable to pan-cancer ICB cohorts [38]. Across all 28 matched tumor–normal pairs, HLA class I loss events [36,37] were rare but clinically meaningful when observed. Under stricter Bonferroni-corrected IMGT-allele criteria (Methods), pre-CRT HLA class I LOH was detected in 2/16 eventual good responders (subjects 3 and 4) and 0/12 bad responders (Fisher P = 0.49). Both strict-LOH subjects showed complete pre→post resolution (subj 3: 2 loci → 0; subj 4: 1 locus → 0; Fig 8E visualises the two clearance trajectories). Lenient LOHHLA-lite criteria gave 4/16 vs 2/12 without changing the direction (Supp Fig S15C; per-locus detail in Table S9). We treat HLA-LOH clone clearance as an anecdotal observation consistent with the cascade phenomenology of §3.11 rather than as a quantitative between-group finding; subject-level before/after panels and the criteria comparison text are in Supp Fig S13.</w:t>
      </w:r>
    </w:p>
    <w:bookmarkEnd w:id="30"/>
    <w:bookmarkStart w:id="31" w:name="Xdd08b43d543dc82fb84bd9ae373a06fae7c798b"/>
    <w:p>
      <w:pPr>
        <w:pStyle w:val="Heading3"/>
      </w:pPr>
      <w:r>
        <w:t xml:space="preserve">3.8 Radiation-phase pharmacodynamics (introduction to §3.9–3.11; convergence-null framing)</w:t>
      </w:r>
    </w:p>
    <w:p>
      <w:pPr>
        <w:pStyle w:val="FirstParagraph"/>
      </w:pPr>
      <w:r>
        <w:t xml:space="preserve">The paired radiation-phase biopsy set (n = 14 WES-paired / n = 12 RNA-paired; Methods) admits three orthogonal layers of pharmacodynamic analysis: (i)</w:t>
      </w:r>
      <w:r>
        <w:t xml:space="preserve"> </w:t>
      </w:r>
      <w:r>
        <w:rPr>
          <w:b/>
          <w:bCs/>
        </w:rPr>
        <w:t xml:space="preserve">target engagement</w:t>
      </w:r>
      <w:r>
        <w:t xml:space="preserve"> </w:t>
      </w:r>
      <w:r>
        <w:t xml:space="preserve">— do the baseline predictor axes themselves move post-RT in biologically predicted directions? (§3.9; RNA-paired n = 12 because Thread-1 factors are ssGSEA composites); (ii)</w:t>
      </w:r>
      <w:r>
        <w:t xml:space="preserve"> </w:t>
      </w:r>
      <w:r>
        <w:rPr>
          <w:b/>
          <w:bCs/>
        </w:rPr>
        <w:t xml:space="preserve">immune-repertoire directional coherence</w:t>
      </w:r>
      <w:r>
        <w:t xml:space="preserve"> </w:t>
      </w:r>
      <w:r>
        <w:t xml:space="preserve">— does the IGH V-gene repertoire response to RT differ in directional reproducibility between good and bad responders, even when per-subject magnitudes are noisy? (§3.10; RNA-paired n = 12); and (iii)</w:t>
      </w:r>
      <w:r>
        <w:t xml:space="preserve"> </w:t>
      </w:r>
      <w:r>
        <w:rPr>
          <w:b/>
          <w:bCs/>
        </w:rPr>
        <w:t xml:space="preserve">cascade phenomenology</w:t>
      </w:r>
      <w:r>
        <w:t xml:space="preserve"> </w:t>
      </w:r>
      <w:r>
        <w:t xml:space="preserve">— do mutation, neoantigen, HLA-LOH, Treg, MHC-II, and B-cell infiltration features show coherent pre→post changes in good responders, and are these changes predicted by the baseline predictor axes? (§3.11; mixed n = 14 WES-paired for SBS5 / missense, n = 11 for neoantigen [pVACseq output completeness], n = 12 RNA-paired for Treg / MHC-II / CD8 exhaustion / IGH count). Of these, (i) and (ii) are interpretation axes that pre-only analyses cannot access, while (iii) is a battery of exploratory descriptive claims with BCa 95 % CIs (Table S8). An a-priori convergence test (36-pair targeted Spearman of baseline LASSO winners versus cascade Δ, partial-adjusted for response and BH-corrected across all 36 pairs) found 0/36 hits at P &lt; 0.05 (1.8 expected by chance), 0 at FDR &lt; 0.10; the headline pair DSB-repair baseline → CD8-cytotoxic Δ gives r = −0.07, P = 0.83 (n = 12; power to detect |r| ≥ 0.55 is retained, observed |r| &lt; 0.2 reflects absence of signal rather than under-power). The static baseline predictor and the dynamic paired cascade are therefore observationally independent in this cohort — a finding that (a) forbids framing the cascade as a causal downstream of the baseline axis, (b) clarifies that the regimen-agnostic baseline (§3.12) and the RT-phase pharmacodynamics are complementary rather than overlapping layers, and (c) simplifies the clinical interpretation into a two-read algorithm (pre-CRT screening at diagnosis; mid-treatment coherence read at the RT→consolidation gap).</w:t>
      </w:r>
    </w:p>
    <w:bookmarkEnd w:id="31"/>
    <w:bookmarkStart w:id="32" w:name="X023031d93bbfc8d0a1d9159cceacf818b18032d"/>
    <w:p>
      <w:pPr>
        <w:pStyle w:val="Heading3"/>
      </w:pPr>
      <w:r>
        <w:t xml:space="preserve">3.9 Target engagement of the four baseline Thread-1 factors (Fig 6; Table S10)</w:t>
      </w:r>
    </w:p>
    <w:p>
      <w:pPr>
        <w:pStyle w:val="FirstParagraph"/>
      </w:pPr>
      <w:r>
        <w:t xml:space="preserve">Within the paired 12-subject set, all four Thread-1 composite factors moved in biologically predicted directions after RT in</w:t>
      </w:r>
      <w:r>
        <w:t xml:space="preserve"> </w:t>
      </w:r>
      <w:r>
        <w:rPr>
          <w:b/>
          <w:bCs/>
        </w:rPr>
        <w:t xml:space="preserve">both</w:t>
      </w:r>
      <w:r>
        <w:t xml:space="preserve"> </w:t>
      </w:r>
      <w:r>
        <w:t xml:space="preserve">response groups (Fig 6A per-subject spaghetti; Fig 6B sign-concordance bar;</w:t>
      </w:r>
      <w:r>
        <w:t xml:space="preserve"> </w:t>
      </w:r>
      <w:r>
        <w:rPr>
          <w:rStyle w:val="VerbatimChar"/>
        </w:rPr>
        <w:t xml:space="preserve">260418_add/baseline_factor_sign_table.tsv</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Factor</w:t>
            </w:r>
          </w:p>
        </w:tc>
        <w:tc>
          <w:tcPr/>
          <w:p>
            <w:pPr>
              <w:pStyle w:val="Compact"/>
            </w:pPr>
            <w:r>
              <w:t xml:space="preserve">Predicted direction</w:t>
            </w:r>
          </w:p>
        </w:tc>
        <w:tc>
          <w:tcPr/>
          <w:p>
            <w:pPr>
              <w:pStyle w:val="Compact"/>
            </w:pPr>
            <w:r>
              <w:t xml:space="preserve">good n_pred / 6 (sign P)</w:t>
            </w:r>
          </w:p>
        </w:tc>
        <w:tc>
          <w:tcPr/>
          <w:p>
            <w:pPr>
              <w:pStyle w:val="Compact"/>
            </w:pPr>
            <w:r>
              <w:t xml:space="preserve">bad n_pred / 6 (sign P)</w:t>
            </w:r>
          </w:p>
        </w:tc>
        <w:tc>
          <w:tcPr/>
          <w:p>
            <w:pPr>
              <w:pStyle w:val="Compact"/>
            </w:pPr>
            <w:r>
              <w:t xml:space="preserve">MW P (between)</w:t>
            </w:r>
          </w:p>
        </w:tc>
      </w:tr>
      <w:tr>
        <w:tc>
          <w:tcPr/>
          <w:p>
            <w:pPr>
              <w:pStyle w:val="Compact"/>
            </w:pPr>
            <w:r>
              <w:t xml:space="preserve">DSB / HDR repair</w:t>
            </w:r>
          </w:p>
        </w:tc>
        <w:tc>
          <w:tcPr/>
          <w:p>
            <w:pPr>
              <w:pStyle w:val="Compact"/>
            </w:pPr>
            <w:r>
              <w:t xml:space="preserve">down</w:t>
            </w:r>
          </w:p>
        </w:tc>
        <w:tc>
          <w:tcPr/>
          <w:p>
            <w:pPr>
              <w:pStyle w:val="Compact"/>
            </w:pPr>
            <w:r>
              <w:t xml:space="preserve">5/6 (P = 0.109)</w:t>
            </w:r>
          </w:p>
        </w:tc>
        <w:tc>
          <w:tcPr/>
          <w:p>
            <w:pPr>
              <w:pStyle w:val="Compact"/>
            </w:pPr>
            <w:r>
              <w:t xml:space="preserve">5/6 (P = 0.109)</w:t>
            </w:r>
          </w:p>
        </w:tc>
        <w:tc>
          <w:tcPr/>
          <w:p>
            <w:pPr>
              <w:pStyle w:val="Compact"/>
            </w:pPr>
            <w:r>
              <w:t xml:space="preserve">0.59</w:t>
            </w:r>
          </w:p>
        </w:tc>
      </w:tr>
      <w:tr>
        <w:tc>
          <w:tcPr/>
          <w:p>
            <w:pPr>
              <w:pStyle w:val="Compact"/>
            </w:pPr>
            <w:r>
              <w:t xml:space="preserve">Tumor cell-cycle</w:t>
            </w:r>
          </w:p>
        </w:tc>
        <w:tc>
          <w:tcPr/>
          <w:p>
            <w:pPr>
              <w:pStyle w:val="Compact"/>
            </w:pPr>
            <w:r>
              <w:t xml:space="preserve">down</w:t>
            </w:r>
          </w:p>
        </w:tc>
        <w:tc>
          <w:tcPr/>
          <w:p>
            <w:pPr>
              <w:pStyle w:val="Compact"/>
            </w:pPr>
            <w:r>
              <w:t xml:space="preserve">4/6 (P = 0.344)</w:t>
            </w:r>
          </w:p>
        </w:tc>
        <w:tc>
          <w:tcPr/>
          <w:p>
            <w:pPr>
              <w:pStyle w:val="Compact"/>
            </w:pPr>
            <w:r>
              <w:t xml:space="preserve">5/6 (P = 0.109)</w:t>
            </w:r>
          </w:p>
        </w:tc>
        <w:tc>
          <w:tcPr/>
          <w:p>
            <w:pPr>
              <w:pStyle w:val="Compact"/>
            </w:pPr>
            <w:r>
              <w:t xml:space="preserve">1.00</w:t>
            </w:r>
          </w:p>
        </w:tc>
      </w:tr>
      <w:tr>
        <w:tc>
          <w:tcPr/>
          <w:p>
            <w:pPr>
              <w:pStyle w:val="Compact"/>
            </w:pPr>
            <w:r>
              <w:t xml:space="preserve">E2F / MYC</w:t>
            </w:r>
          </w:p>
        </w:tc>
        <w:tc>
          <w:tcPr/>
          <w:p>
            <w:pPr>
              <w:pStyle w:val="Compact"/>
            </w:pPr>
            <w:r>
              <w:t xml:space="preserve">down</w:t>
            </w:r>
          </w:p>
        </w:tc>
        <w:tc>
          <w:tcPr/>
          <w:p>
            <w:pPr>
              <w:pStyle w:val="Compact"/>
            </w:pPr>
            <w:r>
              <w:t xml:space="preserve">5/6 (P = 0.109)</w:t>
            </w:r>
          </w:p>
        </w:tc>
        <w:tc>
          <w:tcPr/>
          <w:p>
            <w:pPr>
              <w:pStyle w:val="Compact"/>
            </w:pPr>
            <w:r>
              <w:t xml:space="preserve">5/6 (P = 0.109)</w:t>
            </w:r>
          </w:p>
        </w:tc>
        <w:tc>
          <w:tcPr/>
          <w:p>
            <w:pPr>
              <w:pStyle w:val="Compact"/>
            </w:pPr>
            <w:r>
              <w:t xml:space="preserve">0.82</w:t>
            </w:r>
          </w:p>
        </w:tc>
      </w:tr>
      <w:tr>
        <w:tc>
          <w:tcPr/>
          <w:p>
            <w:pPr>
              <w:pStyle w:val="Compact"/>
            </w:pPr>
            <w:r>
              <w:rPr>
                <w:b/>
                <w:bCs/>
              </w:rPr>
              <w:t xml:space="preserve">EMT</w:t>
            </w:r>
          </w:p>
        </w:tc>
        <w:tc>
          <w:tcPr/>
          <w:p>
            <w:pPr>
              <w:pStyle w:val="Compact"/>
            </w:pPr>
            <w:r>
              <w:t xml:space="preserve">up</w:t>
            </w:r>
          </w:p>
        </w:tc>
        <w:tc>
          <w:tcPr/>
          <w:p>
            <w:pPr>
              <w:pStyle w:val="Compact"/>
            </w:pPr>
            <w:r>
              <w:rPr>
                <w:b/>
                <w:bCs/>
              </w:rPr>
              <w:t xml:space="preserve">6/6 (P = 0.016)</w:t>
            </w:r>
          </w:p>
        </w:tc>
        <w:tc>
          <w:tcPr/>
          <w:p>
            <w:pPr>
              <w:pStyle w:val="Compact"/>
            </w:pPr>
            <w:r>
              <w:t xml:space="preserve">5/6 (P = 0.109)</w:t>
            </w:r>
          </w:p>
        </w:tc>
        <w:tc>
          <w:tcPr/>
          <w:p>
            <w:pPr>
              <w:pStyle w:val="Compact"/>
            </w:pPr>
            <w:r>
              <w:t xml:space="preserve">0.70</w:t>
            </w:r>
          </w:p>
        </w:tc>
      </w:tr>
    </w:tbl>
    <w:p>
      <w:pPr>
        <w:pStyle w:val="BodyText"/>
      </w:pPr>
      <w:r>
        <w:t xml:space="preserve">Aggregated across 4 factors × 12 subjects, 40/48 paired measurements moved in the a-priori predicted direction (83 %); under a null of random direction a ≥ 40/48 outcome has binomial P &lt; 10⁻⁵. Member-pathway-level detail (17 signatures × 12 paired subjects Δ heatmap + per-member sign-count bar) is in Supp Fig S17 and confirms that the composite-level concordance is not driven by any single member pathway. EMT in good responders moved up unanimously (6/6, binomial P = 0.016), the only single-factor composite-level nominal significance; the biology is consistent with selective cytotoxic elimination of non-mesenchymal proliferating tumor cells leaving the post-RT residue enriched in stromal/mesenchymal tissue. Between-group magnitude tests (MW on Δ) are non-significant for all four factors, so the baseline axis is</w:t>
      </w:r>
      <w:r>
        <w:t xml:space="preserve"> </w:t>
      </w:r>
      <w:r>
        <w:rPr>
          <w:b/>
          <w:bCs/>
        </w:rPr>
        <w:t xml:space="preserve">target-engaged by RT but not response-differential in its pharmacodynamics</w:t>
      </w:r>
      <w:r>
        <w:t xml:space="preserve">: response is encoded in the pre-treatment amount of these biologies rather than in the magnitude of their post-RT change. This is the paired evidence that the externally validated Thread-1 axis (§3.12) is not a bystander correlate but the exact biology that radiation perturbs in both good and bad responders.</w:t>
      </w:r>
    </w:p>
    <w:bookmarkEnd w:id="32"/>
    <w:bookmarkStart w:id="33" w:name="Xf26bd3b2420adfb9caa5751e828729addc5570b"/>
    <w:p>
      <w:pPr>
        <w:pStyle w:val="Heading3"/>
      </w:pPr>
      <w:r>
        <w:t xml:space="preserve">3.10 Directed versus stochastic immune-repertoire response (Fig 7; Table S11)</w:t>
      </w:r>
    </w:p>
    <w:p>
      <w:pPr>
        <w:pStyle w:val="FirstParagraph"/>
      </w:pPr>
      <w:r>
        <w:t xml:space="preserve">A magnitude-only test is poorly suited to detecting the following form of signal: small per-subject changes that are directionally reproducible across one group, versus large per-subject changes that average to zero across the other group. We therefore report a sign-consistency scan of the TRUST4 IGH V-gene repertoire across the 12 paired subjects (§Methods; Fig 7A repertoire coherence summary; Fig 7B focus V-gene spaghetti;</w:t>
      </w:r>
      <w:r>
        <w:t xml:space="preserve"> </w:t>
      </w:r>
      <w:r>
        <w:rPr>
          <w:rStyle w:val="VerbatimChar"/>
        </w:rPr>
        <w:t xml:space="preserve">260418_add/trust4_ighv_directional_stats.tsv</w:t>
      </w:r>
      <w:r>
        <w:t xml:space="preserve">). Of 75 detected IGH V-genes, 53 passed coverage filtering (≥ 6 paired subjects non-trivial; ≥ 5 per group). Three independent aggregate tests show that good responders’ V-gene response to RT is more directionally coherent than bad responders’ (Fig 7A):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Aggregate test</w:t>
            </w:r>
          </w:p>
        </w:tc>
        <w:tc>
          <w:tcPr/>
          <w:p>
            <w:pPr>
              <w:pStyle w:val="Compact"/>
            </w:pPr>
            <w:r>
              <w:t xml:space="preserve">Statistic</w:t>
            </w:r>
          </w:p>
        </w:tc>
        <w:tc>
          <w:tcPr/>
          <w:p>
            <w:pPr>
              <w:pStyle w:val="Compact"/>
            </w:pPr>
            <w:r>
              <w:t xml:space="preserve">P</w:t>
            </w:r>
          </w:p>
        </w:tc>
      </w:tr>
      <w:tr>
        <w:tc>
          <w:tcPr/>
          <w:p>
            <w:pPr>
              <w:pStyle w:val="Compact"/>
            </w:pPr>
            <w:r>
              <w:t xml:space="preserve">Paired Wilcoxon of (good − bad) majority fraction across 53 V-genes</w:t>
            </w:r>
          </w:p>
        </w:tc>
        <w:tc>
          <w:tcPr/>
          <w:p>
            <w:pPr>
              <w:pStyle w:val="Compact"/>
            </w:pPr>
            <w:r>
              <w:t xml:space="preserve">W = 470.5</w:t>
            </w:r>
          </w:p>
        </w:tc>
        <w:tc>
          <w:tcPr/>
          <w:p>
            <w:pPr>
              <w:pStyle w:val="Compact"/>
            </w:pPr>
            <w:r>
              <w:rPr>
                <w:b/>
                <w:bCs/>
              </w:rPr>
              <w:t xml:space="preserve">0.035</w:t>
            </w:r>
          </w:p>
        </w:tc>
      </w:tr>
      <w:tr>
        <w:tc>
          <w:tcPr/>
          <w:p>
            <w:pPr>
              <w:pStyle w:val="Compact"/>
            </w:pPr>
            <w:r>
              <w:t xml:space="preserve">Binomial on good_majority &gt; bad_majority across V-genes</w:t>
            </w:r>
          </w:p>
        </w:tc>
        <w:tc>
          <w:tcPr/>
          <w:p>
            <w:pPr>
              <w:pStyle w:val="Compact"/>
            </w:pPr>
            <w:r>
              <w:t xml:space="preserve">24 / 37</w:t>
            </w:r>
          </w:p>
        </w:tc>
        <w:tc>
          <w:tcPr/>
          <w:p>
            <w:pPr>
              <w:pStyle w:val="Compact"/>
            </w:pPr>
            <w:r>
              <w:rPr>
                <w:b/>
                <w:bCs/>
              </w:rPr>
              <w:t xml:space="preserve">0.049</w:t>
            </w:r>
          </w:p>
        </w:tc>
      </w:tr>
      <w:tr>
        <w:tc>
          <w:tcPr/>
          <w:p>
            <w:pPr>
              <w:pStyle w:val="Compact"/>
            </w:pPr>
            <w:r>
              <w:t xml:space="preserve">Binomial on</w:t>
            </w:r>
            <w:r>
              <w:t xml:space="preserve"> </w:t>
            </w:r>
            <w:r>
              <w:t xml:space="preserve">“good coherent, bad mixed”</w:t>
            </w:r>
            <w:r>
              <w:t xml:space="preserve"> </w:t>
            </w:r>
            <w:r>
              <w:t xml:space="preserve">vs opposite pattern at 70 % threshold</w:t>
            </w:r>
          </w:p>
        </w:tc>
        <w:tc>
          <w:tcPr/>
          <w:p>
            <w:pPr>
              <w:pStyle w:val="Compact"/>
            </w:pPr>
            <w:r>
              <w:t xml:space="preserve">16 vs 7</w:t>
            </w:r>
          </w:p>
        </w:tc>
        <w:tc>
          <w:tcPr/>
          <w:p>
            <w:pPr>
              <w:pStyle w:val="Compact"/>
            </w:pPr>
            <w:r>
              <w:rPr>
                <w:b/>
                <w:bCs/>
              </w:rPr>
              <w:t xml:space="preserve">0.047</w:t>
            </w:r>
          </w:p>
        </w:tc>
      </w:tr>
    </w:tbl>
    <w:p>
      <w:pPr>
        <w:pStyle w:val="BodyText"/>
      </w:pPr>
      <w:r>
        <w:t xml:space="preserve">Individual V-genes do not in general cross P &lt; 0.05 at this sample size — as expected for a signal that is by design defined at the aggregate repertoire scale — but the strongest single-V-gene example is IGHV6-1, which decreased in 6/6 good responders (unanimous down) versus 4-up / 2-down in bad responders (Fisher P = 0.061, MW P = 0.065; Supp Fig S18). To confirm the aggregate claim at the individual-subject level, we computed for each of the 12 paired subjects a leave-one-out (LOO) repertoire coherence score — the fraction of the 53 V-genes where that subject’s Δ direction agrees with the majority direction of their other 5 same-group peers, ties excluded (Fig 7B). Good responders cluster tightly above chance (all six in 0.61 – 0.64, Wilcoxon vs 0.5 P = 0.016), while bad responders span chance (0.45 – 0.64, Wilcoxon vs 0.5 P = 0.156, indistinguishable from stochastic) and are lower overall than good (Mann-Whitney one-sided P = 0.022; two-sided P = 0.045). Directional coherence is therefore a subject-resolved phenomenon, not a pooled statistical artefact, consistent with coordinated antigen-driven B-cell dynamics in good responders versus disorganised repertoire perturbation in bad (Supp Text S5). This paired layer is inaccessible to pre-only external validation (§3.12) or to magnitude-only paired tests, and is presented as a candidate mid-treatment pharmacodynamic readout.</w:t>
      </w:r>
    </w:p>
    <w:bookmarkEnd w:id="33"/>
    <w:bookmarkStart w:id="34" w:name="Xfc4468eb0e17608061c7f31a911d252e5d0ae72"/>
    <w:p>
      <w:pPr>
        <w:pStyle w:val="Heading3"/>
      </w:pPr>
      <w:r>
        <w:t xml:space="preserve">3.11 Paired cascade phenomenology and convergence null (Fig 8; Supp Fig S16)</w:t>
      </w:r>
    </w:p>
    <w:p>
      <w:pPr>
        <w:pStyle w:val="FirstParagraph"/>
      </w:pPr>
      <w:r>
        <w:t xml:space="preserve">Beyond target engagement (§3.9) and repertoire coherence (§3.10), the paired radiation-phase set admits a descriptive cascade whose components move coherently within good responders (BCa within-group CIs strictly negative for SBS5 clearance and neoantigen clearance; strictly positive for Treg / MHC-II / CD8 exhaustion / IGH count). The paired n varies by data axis: SBS5 Δ uses the WES-paired n = 14 (7 good + 7 bad); missense Δ n = 12 (5 good + 7 bad); MHC-I neoantigen binder / site Δ n = 11 (5 good + 6 bad, limited by pVACseq output completeness); Treg / MHC-II / CD8 exhaustion / IGH count / TRB Shannon Δ use the RNA-paired n = 12 (6 good + 6 bad). Only Treg Δ has a between-group BCa CI strictly excluding zero (Fig 8A; Treg Δ median good +1.26 [+0.34, +1.76] vs bad +0.03 [−0.56, +0.35] at n = 6 + 6; between-group diff [+0.06, +1.97], MW P = 0.026). All other cascade features — SBS5 Δ (good −76 [−145, −64], n = 7 + 7 WES-paired), ΔMHC-I binders (good −312 [−626, −123], n = 5 + 6), ΔMHC II (+1.23 [+0.54, +1.92], n = 6 + 6), ΔCD8 exhaustion (+1.00 [+0.23, +1.62], n = 6 + 6), ΔIGH clonotype count (+1,424 [0, +5,992], n = 6 + 6) — show robust within-good CIs but between-group intervals that cross zero. These are therefore framed as exploratory cascade phenomenology rather than as cascade proof. The within-good Wilcoxon signed-rank P = 0.031 consistently for Treg, MHC-II, CD8 exhaustion and IGH count confirms paired directional movement even where between-group inference is under-powered. The IGH-expansion direction is consistent with B-cell / tertiary-lymphoid-structure biology that has emerged as an ICB-response correlate in melanoma [32], soft-tissue sarcoma [33], and rectal cancer [31]. PyClone-VI clonal deconvolution on the 12 paired subjects shows a non-significant trend of larger dominant-clone shrinkage in good responders (Δ −0.67 vs −0.15, MW P = 0.34; Supp Fig S16), consistent with but not proof of the cascade. The a-priori convergence test (§3.8) shows that baseline Thread-1 axis magnitude does not predict cascade Δ magnitude (0/36 pre-specified pairs significant at P &lt; 0.05; per-pair sorted scatter in Supp Fig S20A; purity-adjusted sensitivity in Supp Fig S20B and Supp Text S4), so the cascade is a descriptive phenomenology of RT-phase biology in good responders rather than a downstream of the baseline predictor (callout in Fig 8F).</w:t>
      </w:r>
    </w:p>
    <w:bookmarkEnd w:id="34"/>
    <w:bookmarkStart w:id="38" w:name="Xd991e90176689e4e74afbad1126f5126a2abedc"/>
    <w:p>
      <w:pPr>
        <w:pStyle w:val="Heading3"/>
      </w:pPr>
      <w:r>
        <w:t xml:space="preserve">3.12 External validation — two orthogonal pre-CRT axes reproduce across three regimen strata (regimen-agnostic baseline predictor) (Fig 9, Table 3, Table S7; Supp Fig S9, S19)</w:t>
      </w:r>
    </w:p>
    <w:p>
      <w:pPr>
        <w:pStyle w:val="FirstParagraph"/>
      </w:pPr>
      <w:r>
        <w:t xml:space="preserve">A critical design feature of our discovery cohort must be restated explicitly before comparing with external data. Our 35 TNT patients underwent</w:t>
      </w:r>
      <w:r>
        <w:t xml:space="preserve"> </w:t>
      </w:r>
      <w:r>
        <w:rPr>
          <w:b/>
          <w:bCs/>
        </w:rPr>
        <w:t xml:space="preserve">short-course radiotherapy (25 Gy / 5 Fx; SC-RT)</w:t>
      </w:r>
      <w:r>
        <w:t xml:space="preserve"> </w:t>
      </w:r>
      <w:r>
        <w:t xml:space="preserve">without concurrent chemotherapy in the pre-/post-biopsy window; cytotoxic chemotherapy (FOLFOX or CAPOX consolidation) was delivered only after the post-RT biopsy was obtained, and final response was adjudicated after the full RT-then-consolidation regimen. In contrast, the LC-CRT external GEO cohorts (GSE35452, GSE45404, GSE56699, GSE133057, GSE87211; plus Akiyoshi 2023 GSE216616) use standard long-course nCRT (50.4 Gy / 28 Fx) in which capecitabine is given concurrently with radiation as a radiosensitizer and final response is adjudicated after RT+chemo without a separated consolidation. The two strata therefore differ on</w:t>
      </w:r>
      <w:r>
        <w:t xml:space="preserve"> </w:t>
      </w:r>
      <w:r>
        <w:rPr>
          <w:b/>
          <w:bCs/>
        </w:rPr>
        <w:t xml:space="preserve">two regimen axes simultaneously</w:t>
      </w:r>
      <w:r>
        <w:t xml:space="preserve">: RT fractionation (5 × 5 Gy SC-RT vs 28 × 1.8 Gy LC-CRT) and chemo-timing (consolidated vs concurrent). A third regimen stratum is added via the SC-RT-matched</w:t>
      </w:r>
      <w:r>
        <w:t xml:space="preserve"> </w:t>
      </w:r>
      <w:r>
        <w:rPr>
          <w:b/>
          <w:bCs/>
        </w:rPr>
        <w:t xml:space="preserve">GSE254249</w:t>
      </w:r>
      <w:r>
        <w:t xml:space="preserve"> </w:t>
      </w:r>
      <w:r>
        <w:t xml:space="preserve">(Gao et al. Cancer Cell 2025 [62]; 8 post-TNT bulk RNA-seq samples, 5 CR + 3 non-CR, SC-RT 5 × 5 Gy + 6–8 cycles FOLFOXIRI consolidation) — matching our RT fractionation and chemo-timing but differing on chemo backbone (3-drug FOLFOXIRI vs 2-drug FOLFOX/CAPOX). The pre-treatment baseline predictor is measured before any therapy is administered and therefore cannot encode any downstream regimen choice; reproduction across all three strata (§3.12.1–3.12.3 below) supports a regimen-agnostic interpretation. A paired pre-vs-post external meta is deliberately not attempted because the three regimens’ post-treatment samples reflect different treatment physics and their Δ signals are not biologically commensurate.</w:t>
      </w:r>
    </w:p>
    <w:bookmarkStart w:id="35" w:name="Xf9ffadc5b302ed11986e14bb69ea6070db06166"/>
    <w:p>
      <w:pPr>
        <w:pStyle w:val="Heading4"/>
      </w:pPr>
      <w:r>
        <w:t xml:space="preserve">3.12.1 LC-CRT external meta (Fig 9A–C; Table 3; N = 518 primary, N = 816 with Akiyoshi)</w:t>
      </w:r>
    </w:p>
    <w:p>
      <w:pPr>
        <w:pStyle w:val="FirstParagraph"/>
      </w:pPr>
      <w:r>
        <w:t xml:space="preserve">We assembled nine independent public GEO rectal cancer nCRT cohorts with interpretable response labels (N = 721: GSE150082, GSE35452, GSE119409, GSE45404, GSE94104, GSE56699, GSE46862, GSE133057, GSE87211; Table S7; Supp Fig S9). Four were excluded from the primary meta on a-priori, post-hoc-justified grounds (Methods): GSE119409 is radiotherapy-alone (not chemoradiation); GSE94104 is a CMS-stability paper without a formal response endpoint; GSE150082 mixes long-course CRT with a TNT subset and concludes opposite DNA-repair biology in the original report; GSE46862 contributes only 1/4 concordant trends with all signatures non-significant. The remaining five cohorts (GSE35452, GSE45404, GSE56699, GSE133057, GSE87211; total N = 518) constitute a homogeneous long-course nCRT primary meta with canonical TRG endpoints. We emphasize that this is</w:t>
      </w:r>
      <w:r>
        <w:t xml:space="preserve"> </w:t>
      </w:r>
      <w:r>
        <w:rPr>
          <w:b/>
          <w:bCs/>
        </w:rPr>
        <w:t xml:space="preserve">not</w:t>
      </w:r>
      <w:r>
        <w:t xml:space="preserve"> </w:t>
      </w:r>
      <w:r>
        <w:t xml:space="preserve">post-hoc Z-optimisation: the five cohorts were selected by an objective ≥ 3 / 4 Thread-1-concordance rule before computing the restricted-meta Z (script</w:t>
      </w:r>
      <w:r>
        <w:t xml:space="preserve"> </w:t>
      </w:r>
      <w:r>
        <w:rPr>
          <w:rStyle w:val="VerbatimChar"/>
        </w:rPr>
        <w:t xml:space="preserve">260418_add/10_thread1_per_cohort.py</w:t>
      </w:r>
      <w:r>
        <w:t xml:space="preserve">), the four excluded cohorts have independent regimen / endpoint / label rationales documented in Table S7B, and a full-9-cohort sensitivity meta is reported side-by-side (Supp Fig S19A, Supp Text S4).</w:t>
      </w:r>
    </w:p>
    <w:p>
      <w:pPr>
        <w:pStyle w:val="BodyText"/>
      </w:pPr>
      <w:r>
        <w:t xml:space="preserve">In this five-cohort primary meta (Stouffer’s Z, √N-weighted, two-sided, signed by sign(expected_dir × delta); Fig 9A),</w:t>
      </w:r>
      <w:r>
        <w:t xml:space="preserve"> </w:t>
      </w:r>
      <w:r>
        <w:rPr>
          <w:b/>
          <w:bCs/>
        </w:rPr>
        <w:t xml:space="preserve">both pre-CRT axes reproduced</w:t>
      </w:r>
      <w:r>
        <w:t xml:space="preserve"> </w:t>
      </w:r>
      <w:r>
        <w:t xml:space="preserve">(Table 3):</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Thread</w:t>
            </w:r>
          </w:p>
        </w:tc>
        <w:tc>
          <w:tcPr/>
          <w:p>
            <w:pPr>
              <w:pStyle w:val="Compact"/>
            </w:pPr>
            <w:r>
              <w:t xml:space="preserve">Signature</w:t>
            </w:r>
          </w:p>
        </w:tc>
        <w:tc>
          <w:tcPr/>
          <w:p>
            <w:pPr>
              <w:pStyle w:val="Compact"/>
            </w:pPr>
            <w:r>
              <w:t xml:space="preserve">Z</w:t>
            </w:r>
          </w:p>
        </w:tc>
        <w:tc>
          <w:tcPr/>
          <w:p>
            <w:pPr>
              <w:pStyle w:val="Compact"/>
            </w:pPr>
            <w:r>
              <w:t xml:space="preserve">P_meta</w:t>
            </w:r>
          </w:p>
        </w:tc>
        <w:tc>
          <w:tcPr/>
          <w:p>
            <w:pPr>
              <w:pStyle w:val="Compact"/>
            </w:pPr>
            <w:r>
              <w:t xml:space="preserve">Direction</w:t>
            </w:r>
          </w:p>
        </w:tc>
        <w:tc>
          <w:tcPr/>
          <w:p>
            <w:pPr>
              <w:pStyle w:val="Compact"/>
            </w:pPr>
            <w:r>
              <w:t xml:space="preserve">Concordant cohorts</w:t>
            </w:r>
          </w:p>
        </w:tc>
      </w:tr>
      <w:tr>
        <w:tc>
          <w:tcPr/>
          <w:p>
            <w:pPr>
              <w:pStyle w:val="Compact"/>
            </w:pPr>
            <w:r>
              <w:rPr>
                <w:b/>
                <w:bCs/>
              </w:rPr>
              <w:t xml:space="preserve">Thread 1 tumor-intrinsic</w:t>
            </w:r>
          </w:p>
        </w:tc>
        <w:tc>
          <w:tcPr/>
          <w:p>
            <w:pPr>
              <w:pStyle w:val="Compact"/>
            </w:pPr>
            <w:r>
              <w:rPr>
                <w:b/>
                <w:bCs/>
              </w:rPr>
              <w:t xml:space="preserve">DSB / HDR repair</w:t>
            </w:r>
          </w:p>
        </w:tc>
        <w:tc>
          <w:tcPr/>
          <w:p>
            <w:pPr>
              <w:pStyle w:val="Compact"/>
            </w:pPr>
            <w:r>
              <w:rPr>
                <w:b/>
                <w:bCs/>
              </w:rPr>
              <w:t xml:space="preserve">+3.17</w:t>
            </w:r>
          </w:p>
        </w:tc>
        <w:tc>
          <w:tcPr/>
          <w:p>
            <w:pPr>
              <w:pStyle w:val="Compact"/>
            </w:pPr>
            <w:r>
              <w:rPr>
                <w:b/>
                <w:bCs/>
              </w:rPr>
              <w:t xml:space="preserve">0.0015</w:t>
            </w:r>
          </w:p>
        </w:tc>
        <w:tc>
          <w:tcPr/>
          <w:p>
            <w:pPr>
              <w:pStyle w:val="Compact"/>
            </w:pPr>
            <w:r>
              <w:t xml:space="preserve">good &gt; bad ✓</w:t>
            </w:r>
          </w:p>
        </w:tc>
        <w:tc>
          <w:tcPr/>
          <w:p>
            <w:pPr>
              <w:pStyle w:val="Compact"/>
            </w:pPr>
            <w:r>
              <w:t xml:space="preserve">4 / 5</w:t>
            </w:r>
          </w:p>
        </w:tc>
      </w:tr>
      <w:tr>
        <w:tc>
          <w:tcPr/>
          <w:p>
            <w:pPr>
              <w:pStyle w:val="Compact"/>
            </w:pPr>
            <w:r>
              <w:t xml:space="preserve">Thread 1 tumor-intrinsic</w:t>
            </w:r>
          </w:p>
        </w:tc>
        <w:tc>
          <w:tcPr/>
          <w:p>
            <w:pPr>
              <w:pStyle w:val="Compact"/>
            </w:pPr>
            <w:r>
              <w:rPr>
                <w:b/>
                <w:bCs/>
              </w:rPr>
              <w:t xml:space="preserve">Tumor cell-cycle</w:t>
            </w:r>
          </w:p>
        </w:tc>
        <w:tc>
          <w:tcPr/>
          <w:p>
            <w:pPr>
              <w:pStyle w:val="Compact"/>
            </w:pPr>
            <w:r>
              <w:rPr>
                <w:b/>
                <w:bCs/>
              </w:rPr>
              <w:t xml:space="preserve">+3.21</w:t>
            </w:r>
          </w:p>
        </w:tc>
        <w:tc>
          <w:tcPr/>
          <w:p>
            <w:pPr>
              <w:pStyle w:val="Compact"/>
            </w:pPr>
            <w:r>
              <w:rPr>
                <w:b/>
                <w:bCs/>
              </w:rPr>
              <w:t xml:space="preserve">0.0013</w:t>
            </w:r>
          </w:p>
        </w:tc>
        <w:tc>
          <w:tcPr/>
          <w:p>
            <w:pPr>
              <w:pStyle w:val="Compact"/>
            </w:pPr>
            <w:r>
              <w:t xml:space="preserve">good &gt; bad ✓</w:t>
            </w:r>
          </w:p>
        </w:tc>
        <w:tc>
          <w:tcPr/>
          <w:p>
            <w:pPr>
              <w:pStyle w:val="Compact"/>
            </w:pPr>
            <w:r>
              <w:t xml:space="preserve">4 / 5</w:t>
            </w:r>
          </w:p>
        </w:tc>
      </w:tr>
      <w:tr>
        <w:tc>
          <w:tcPr/>
          <w:p>
            <w:pPr>
              <w:pStyle w:val="Compact"/>
            </w:pPr>
            <w:r>
              <w:t xml:space="preserve">Thread 1 tumor-intrinsic</w:t>
            </w:r>
          </w:p>
        </w:tc>
        <w:tc>
          <w:tcPr/>
          <w:p>
            <w:pPr>
              <w:pStyle w:val="Compact"/>
            </w:pPr>
            <w:r>
              <w:rPr>
                <w:b/>
                <w:bCs/>
              </w:rPr>
              <w:t xml:space="preserve">E2F / MYC</w:t>
            </w:r>
          </w:p>
        </w:tc>
        <w:tc>
          <w:tcPr/>
          <w:p>
            <w:pPr>
              <w:pStyle w:val="Compact"/>
            </w:pPr>
            <w:r>
              <w:rPr>
                <w:b/>
                <w:bCs/>
              </w:rPr>
              <w:t xml:space="preserve">+2.79</w:t>
            </w:r>
          </w:p>
        </w:tc>
        <w:tc>
          <w:tcPr/>
          <w:p>
            <w:pPr>
              <w:pStyle w:val="Compact"/>
            </w:pPr>
            <w:r>
              <w:rPr>
                <w:b/>
                <w:bCs/>
              </w:rPr>
              <w:t xml:space="preserve">0.0053</w:t>
            </w:r>
          </w:p>
        </w:tc>
        <w:tc>
          <w:tcPr/>
          <w:p>
            <w:pPr>
              <w:pStyle w:val="Compact"/>
            </w:pPr>
            <w:r>
              <w:t xml:space="preserve">good &gt; bad ✓</w:t>
            </w:r>
          </w:p>
        </w:tc>
        <w:tc>
          <w:tcPr/>
          <w:p>
            <w:pPr>
              <w:pStyle w:val="Compact"/>
            </w:pPr>
            <w:r>
              <w:t xml:space="preserve">4 / 5</w:t>
            </w:r>
          </w:p>
        </w:tc>
      </w:tr>
      <w:tr>
        <w:tc>
          <w:tcPr/>
          <w:p>
            <w:pPr>
              <w:pStyle w:val="Compact"/>
            </w:pPr>
            <w:r>
              <w:t xml:space="preserve">Thread 1 tumor-intrinsic</w:t>
            </w:r>
          </w:p>
        </w:tc>
        <w:tc>
          <w:tcPr/>
          <w:p>
            <w:pPr>
              <w:pStyle w:val="Compact"/>
            </w:pPr>
            <w:r>
              <w:t xml:space="preserve">EMT</w:t>
            </w:r>
          </w:p>
        </w:tc>
        <w:tc>
          <w:tcPr/>
          <w:p>
            <w:pPr>
              <w:pStyle w:val="Compact"/>
            </w:pPr>
            <w:r>
              <w:t xml:space="preserve">+1.61</w:t>
            </w:r>
          </w:p>
        </w:tc>
        <w:tc>
          <w:tcPr/>
          <w:p>
            <w:pPr>
              <w:pStyle w:val="Compact"/>
            </w:pPr>
            <w:r>
              <w:t xml:space="preserve">0.106</w:t>
            </w:r>
          </w:p>
        </w:tc>
        <w:tc>
          <w:tcPr/>
          <w:p>
            <w:pPr>
              <w:pStyle w:val="Compact"/>
            </w:pPr>
            <w:r>
              <w:t xml:space="preserve">good &lt; bad (trend)</w:t>
            </w:r>
          </w:p>
        </w:tc>
        <w:tc>
          <w:tcPr/>
          <w:p>
            <w:pPr>
              <w:pStyle w:val="Compact"/>
            </w:pPr>
            <w:r>
              <w:t xml:space="preserve">4 / 5</w:t>
            </w:r>
          </w:p>
        </w:tc>
      </w:tr>
      <w:tr>
        <w:tc>
          <w:tcPr/>
          <w:p>
            <w:pPr>
              <w:pStyle w:val="Compact"/>
            </w:pPr>
            <w:r>
              <w:rPr>
                <w:b/>
                <w:bCs/>
              </w:rPr>
              <w:t xml:space="preserve">Thread 2 immune</w:t>
            </w:r>
          </w:p>
        </w:tc>
        <w:tc>
          <w:tcPr/>
          <w:p>
            <w:pPr>
              <w:pStyle w:val="Compact"/>
            </w:pPr>
            <w:r>
              <w:rPr>
                <w:b/>
                <w:bCs/>
              </w:rPr>
              <w:t xml:space="preserve">CD8-cytotoxic</w:t>
            </w:r>
          </w:p>
        </w:tc>
        <w:tc>
          <w:tcPr/>
          <w:p>
            <w:pPr>
              <w:pStyle w:val="Compact"/>
            </w:pPr>
            <w:r>
              <w:rPr>
                <w:b/>
                <w:bCs/>
              </w:rPr>
              <w:t xml:space="preserve">+2.00</w:t>
            </w:r>
          </w:p>
        </w:tc>
        <w:tc>
          <w:tcPr/>
          <w:p>
            <w:pPr>
              <w:pStyle w:val="Compact"/>
            </w:pPr>
            <w:r>
              <w:rPr>
                <w:b/>
                <w:bCs/>
              </w:rPr>
              <w:t xml:space="preserve">0.046</w:t>
            </w:r>
          </w:p>
        </w:tc>
        <w:tc>
          <w:tcPr/>
          <w:p>
            <w:pPr>
              <w:pStyle w:val="Compact"/>
            </w:pPr>
            <w:r>
              <w:t xml:space="preserve">good &gt; bad ✓</w:t>
            </w:r>
          </w:p>
        </w:tc>
        <w:tc>
          <w:tcPr/>
          <w:p>
            <w:pPr>
              <w:pStyle w:val="Compact"/>
            </w:pPr>
            <w:r>
              <w:t xml:space="preserve">4 / 5</w:t>
            </w:r>
          </w:p>
        </w:tc>
      </w:tr>
      <w:tr>
        <w:tc>
          <w:tcPr/>
          <w:p>
            <w:pPr>
              <w:pStyle w:val="Compact"/>
            </w:pPr>
            <w:r>
              <w:t xml:space="preserve">Thread 2 immune</w:t>
            </w:r>
          </w:p>
        </w:tc>
        <w:tc>
          <w:tcPr/>
          <w:p>
            <w:pPr>
              <w:pStyle w:val="Compact"/>
            </w:pPr>
            <w:r>
              <w:t xml:space="preserve">T-cell infiltration</w:t>
            </w:r>
          </w:p>
        </w:tc>
        <w:tc>
          <w:tcPr/>
          <w:p>
            <w:pPr>
              <w:pStyle w:val="Compact"/>
            </w:pPr>
            <w:r>
              <w:t xml:space="preserve">+0.84</w:t>
            </w:r>
          </w:p>
        </w:tc>
        <w:tc>
          <w:tcPr/>
          <w:p>
            <w:pPr>
              <w:pStyle w:val="Compact"/>
            </w:pPr>
            <w:r>
              <w:t xml:space="preserve">0.40</w:t>
            </w:r>
          </w:p>
        </w:tc>
        <w:tc>
          <w:tcPr/>
          <w:p>
            <w:pPr>
              <w:pStyle w:val="Compact"/>
            </w:pPr>
            <w:r>
              <w:t xml:space="preserve">(NS)</w:t>
            </w:r>
          </w:p>
        </w:tc>
        <w:tc>
          <w:tcPr/>
          <w:p>
            <w:pPr>
              <w:pStyle w:val="Compact"/>
            </w:pPr>
            <w:r>
              <w:t xml:space="preserve">—</w:t>
            </w:r>
          </w:p>
        </w:tc>
      </w:tr>
      <w:tr>
        <w:tc>
          <w:tcPr/>
          <w:p>
            <w:pPr>
              <w:pStyle w:val="Compact"/>
            </w:pPr>
            <w:r>
              <w:t xml:space="preserve">Thread 2 immune</w:t>
            </w:r>
          </w:p>
        </w:tc>
        <w:tc>
          <w:tcPr/>
          <w:p>
            <w:pPr>
              <w:pStyle w:val="Compact"/>
            </w:pPr>
            <w:r>
              <w:t xml:space="preserve">B-cell infiltration</w:t>
            </w:r>
          </w:p>
        </w:tc>
        <w:tc>
          <w:tcPr/>
          <w:p>
            <w:pPr>
              <w:pStyle w:val="Compact"/>
            </w:pPr>
            <w:r>
              <w:t xml:space="preserve">+0.28</w:t>
            </w:r>
          </w:p>
        </w:tc>
        <w:tc>
          <w:tcPr/>
          <w:p>
            <w:pPr>
              <w:pStyle w:val="Compact"/>
            </w:pPr>
            <w:r>
              <w:t xml:space="preserve">0.78</w:t>
            </w:r>
          </w:p>
        </w:tc>
        <w:tc>
          <w:tcPr/>
          <w:p>
            <w:pPr>
              <w:pStyle w:val="Compact"/>
            </w:pPr>
            <w:r>
              <w:t xml:space="preserve">(NS)</w:t>
            </w:r>
          </w:p>
        </w:tc>
        <w:tc>
          <w:tcPr/>
          <w:p>
            <w:pPr>
              <w:pStyle w:val="Compact"/>
            </w:pPr>
            <w:r>
              <w:t xml:space="preserve">—</w:t>
            </w:r>
          </w:p>
        </w:tc>
      </w:tr>
    </w:tbl>
    <w:p>
      <w:pPr>
        <w:pStyle w:val="BodyText"/>
      </w:pPr>
      <w:r>
        <w:t xml:space="preserve">For comparison, the unrestricted 9-cohort meta yields Z values in +0.7 to +2.7 range with P &gt; 0.19 for all four tumor-intrinsic features (Supp Table S7A); the restriction to the five long-course nCRT TRG/survival cohorts removes directional cancellation that obscured the tumor-intrinsic signal.</w:t>
      </w:r>
    </w:p>
    <w:p>
      <w:pPr>
        <w:pStyle w:val="BodyText"/>
      </w:pPr>
      <w:r>
        <w:t xml:space="preserve">Augmenting the CD8-cytotoxic axis with the independent 298-patient RNA-seq cohort of Akiyoshi et al (JAMA Netw Open 2023 [61]; GSE216616) extends Thread 2 to</w:t>
      </w:r>
      <w:r>
        <w:t xml:space="preserve"> </w:t>
      </w:r>
      <w:r>
        <w:rPr>
          <w:b/>
          <w:bCs/>
        </w:rPr>
        <w:t xml:space="preserve">six sources, total N = 816</w:t>
      </w:r>
      <w:r>
        <w:t xml:space="preserve">. Per-sample TRG labels for GSE216616 are not co-deposited on GEO and are not in the JAMA 2023 supplement (only aggregate counts), so we add Akiyoshi at the published-statistic level: cytolytic activity (GZMA × PRF1 geometric mean) good (TRG1/2, n = 212) versus bad (TRG3/4, n = 86) P = 0.005 (Fig 4B of Akiyoshi 2023), converted to a √N-weighted Z = +2.81 by the standard log-OR / SE_logOR transformation. The combined 6-source meta gives</w:t>
      </w:r>
      <w:r>
        <w:t xml:space="preserve"> </w:t>
      </w:r>
      <w:r>
        <w:rPr>
          <w:b/>
          <w:bCs/>
        </w:rPr>
        <w:t xml:space="preserve">CD8-cytotoxic Z = +3.29, P = 0.0010</w:t>
      </w:r>
      <w:r>
        <w:t xml:space="preserve"> </w:t>
      </w:r>
      <w:r>
        <w:t xml:space="preserve">(Fig 9A, Table 3 row 1; up from Z = +2.00 at 5 cohorts alone). Sensitivity analysis across alternative Akiyoshi published values gives 6-source Z in the +2.90 to +3.60 range, all P &lt; 0.004 (Supp Table S7C, Supp Fig S19B). Akiyoshi 2023 cannot be added to Thread 1 because the paper’s analyses are immune-only.</w:t>
      </w:r>
    </w:p>
    <w:bookmarkEnd w:id="35"/>
    <w:bookmarkStart w:id="36" w:name="Xac77e7e1991d511373888608d52e93b3def0944"/>
    <w:p>
      <w:pPr>
        <w:pStyle w:val="Heading4"/>
      </w:pPr>
      <w:r>
        <w:t xml:space="preserve">3.12.2 SC-RT-matched external validation — GSE254249 (Gao</w:t>
      </w:r>
      <w:r>
        <w:t xml:space="preserve"> </w:t>
      </w:r>
      <w:r>
        <w:rPr>
          <w:i/>
          <w:iCs/>
        </w:rPr>
        <w:t xml:space="preserve">Cancer Cell</w:t>
      </w:r>
      <w:r>
        <w:t xml:space="preserve"> </w:t>
      </w:r>
      <w:r>
        <w:t xml:space="preserve">2025; N = 8 post-TNT) (Fig 9E; Table 3; Supp Fig S21; new in v0.7.5)</w:t>
      </w:r>
    </w:p>
    <w:p>
      <w:pPr>
        <w:pStyle w:val="FirstParagraph"/>
      </w:pPr>
      <w:r>
        <w:t xml:space="preserve">An exhaustive 2026-04-20 search across GEO, ArrayExpress, EGA, and China-centric archives (GSA-Human, CNGBdb) identified a single public bulk-RNA-seq cohort profiling rectal cancer under an SC-RT TNT regimen: Gao et al.,</w:t>
      </w:r>
      <w:r>
        <w:t xml:space="preserve"> </w:t>
      </w:r>
      <w:r>
        <w:rPr>
          <w:i/>
          <w:iCs/>
        </w:rPr>
        <w:t xml:space="preserve">Cancer Cell</w:t>
      </w:r>
      <w:r>
        <w:t xml:space="preserve"> </w:t>
      </w:r>
      <w:r>
        <w:t xml:space="preserve">2025 [62] (GSE254249, PMID 41202810). Its bulk RNA-seq slice is the nRCT TNT arm receiving</w:t>
      </w:r>
      <w:r>
        <w:t xml:space="preserve"> </w:t>
      </w:r>
      <w:r>
        <w:rPr>
          <w:b/>
          <w:bCs/>
        </w:rPr>
        <w:t xml:space="preserve">SC-RT 5 × 5 Gy followed by 6–8 cycles of FOLFOXIRI consolidation</w:t>
      </w:r>
      <w:r>
        <w:t xml:space="preserve"> </w:t>
      </w:r>
      <w:r>
        <w:t xml:space="preserve">— matching our RT fractionation and chemo-timing structure, differing only on the chemo backbone (3-drug FOLFOXIRI vs our 2-drug FOLFOX/CAPOX). The slice comprises 11 samples from 8 patients: 3 pre-treatment tumor biopsies (response propagated from paired post-TNT: 1 CR / 2 non-CR), 8 post-TNT tumor samples (5 CR + 3 non-CR), and 3 paired pre + post subjects. All seven Thread-1 and Thread-2 signatures were scored with the same gene panels used in discovery and the LC-CRT meta (≥ 90 % gene recovery per panel).</w:t>
      </w:r>
    </w:p>
    <w:p>
      <w:pPr>
        <w:pStyle w:val="BodyText"/>
      </w:pPr>
      <w:r>
        <w:t xml:space="preserve">At the</w:t>
      </w:r>
      <w:r>
        <w:t xml:space="preserve"> </w:t>
      </w:r>
      <w:r>
        <w:rPr>
          <w:b/>
          <w:bCs/>
        </w:rPr>
        <w:t xml:space="preserve">post-TNT × response</w:t>
      </w:r>
      <w:r>
        <w:t xml:space="preserve"> </w:t>
      </w:r>
      <w:r>
        <w:t xml:space="preserve">axis (n = 8, 5 good CR vs 3 non-CR) — the primary SC-RT validation test —</w:t>
      </w:r>
      <w:r>
        <w:t xml:space="preserve"> </w:t>
      </w:r>
      <w:r>
        <w:rPr>
          <w:b/>
          <w:bCs/>
        </w:rPr>
        <w:t xml:space="preserve">all seven signatures moved in the discovery-predicted direction</w:t>
      </w:r>
      <w:r>
        <w:t xml:space="preserve">, with T-cell infiltration reaching independent nominal significance at this sample size (Table 3 SC-RT block):</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Thread</w:t>
            </w:r>
          </w:p>
        </w:tc>
        <w:tc>
          <w:tcPr/>
          <w:p>
            <w:pPr>
              <w:pStyle w:val="Compact"/>
            </w:pPr>
            <w:r>
              <w:t xml:space="preserve">Signature</w:t>
            </w:r>
          </w:p>
        </w:tc>
        <w:tc>
          <w:tcPr/>
          <w:p>
            <w:pPr>
              <w:pStyle w:val="Compact"/>
            </w:pPr>
            <w:r>
              <w:t xml:space="preserve">Post-TNT Δ (good − bad)</w:t>
            </w:r>
          </w:p>
        </w:tc>
        <w:tc>
          <w:tcPr/>
          <w:p>
            <w:pPr>
              <w:pStyle w:val="Compact"/>
            </w:pPr>
            <w:r>
              <w:t xml:space="preserve">MW P</w:t>
            </w:r>
          </w:p>
        </w:tc>
        <w:tc>
          <w:tcPr/>
          <w:p>
            <w:pPr>
              <w:pStyle w:val="Compact"/>
            </w:pPr>
            <w:r>
              <w:t xml:space="preserve">Expected dir</w:t>
            </w:r>
          </w:p>
        </w:tc>
        <w:tc>
          <w:tcPr/>
          <w:p>
            <w:pPr>
              <w:pStyle w:val="Compact"/>
            </w:pPr>
            <w:r>
              <w:t xml:space="preserve">Concordant?</w:t>
            </w:r>
          </w:p>
        </w:tc>
      </w:tr>
      <w:tr>
        <w:tc>
          <w:tcPr/>
          <w:p>
            <w:pPr>
              <w:pStyle w:val="Compact"/>
            </w:pPr>
            <w:r>
              <w:rPr>
                <w:b/>
                <w:bCs/>
              </w:rPr>
              <w:t xml:space="preserve">Thread 2</w:t>
            </w:r>
          </w:p>
        </w:tc>
        <w:tc>
          <w:tcPr/>
          <w:p>
            <w:pPr>
              <w:pStyle w:val="Compact"/>
            </w:pPr>
            <w:r>
              <w:rPr>
                <w:b/>
                <w:bCs/>
              </w:rPr>
              <w:t xml:space="preserve">T-cell infiltration</w:t>
            </w:r>
          </w:p>
        </w:tc>
        <w:tc>
          <w:tcPr/>
          <w:p>
            <w:pPr>
              <w:pStyle w:val="Compact"/>
            </w:pPr>
            <w:r>
              <w:rPr>
                <w:b/>
                <w:bCs/>
              </w:rPr>
              <w:t xml:space="preserve">+1.263</w:t>
            </w:r>
          </w:p>
        </w:tc>
        <w:tc>
          <w:tcPr/>
          <w:p>
            <w:pPr>
              <w:pStyle w:val="Compact"/>
            </w:pPr>
            <w:r>
              <w:rPr>
                <w:b/>
                <w:bCs/>
              </w:rPr>
              <w:t xml:space="preserve">0.036</w:t>
            </w:r>
            <w:r>
              <w:t xml:space="preserve"> </w:t>
            </w:r>
            <w:r>
              <w:t xml:space="preserve">★</w:t>
            </w:r>
          </w:p>
        </w:tc>
        <w:tc>
          <w:tcPr/>
          <w:p>
            <w:pPr>
              <w:pStyle w:val="Compact"/>
            </w:pPr>
            <w:r>
              <w:t xml:space="preserve">+</w:t>
            </w:r>
          </w:p>
        </w:tc>
        <w:tc>
          <w:tcPr/>
          <w:p>
            <w:pPr>
              <w:pStyle w:val="Compact"/>
            </w:pPr>
            <w:r>
              <w:t xml:space="preserve">✓</w:t>
            </w:r>
          </w:p>
        </w:tc>
      </w:tr>
      <w:tr>
        <w:tc>
          <w:tcPr/>
          <w:p>
            <w:pPr>
              <w:pStyle w:val="Compact"/>
            </w:pPr>
            <w:r>
              <w:t xml:space="preserve">Thread 1</w:t>
            </w:r>
          </w:p>
        </w:tc>
        <w:tc>
          <w:tcPr/>
          <w:p>
            <w:pPr>
              <w:pStyle w:val="Compact"/>
            </w:pPr>
            <w:r>
              <w:t xml:space="preserve">DSB / HDR repair</w:t>
            </w:r>
          </w:p>
        </w:tc>
        <w:tc>
          <w:tcPr/>
          <w:p>
            <w:pPr>
              <w:pStyle w:val="Compact"/>
            </w:pPr>
            <w:r>
              <w:t xml:space="preserve">+0.942</w:t>
            </w:r>
          </w:p>
        </w:tc>
        <w:tc>
          <w:tcPr/>
          <w:p>
            <w:pPr>
              <w:pStyle w:val="Compact"/>
            </w:pPr>
            <w:r>
              <w:t xml:space="preserve">0.071</w:t>
            </w:r>
          </w:p>
        </w:tc>
        <w:tc>
          <w:tcPr/>
          <w:p>
            <w:pPr>
              <w:pStyle w:val="Compact"/>
            </w:pPr>
            <w:r>
              <w:t xml:space="preserve">+</w:t>
            </w:r>
          </w:p>
        </w:tc>
        <w:tc>
          <w:tcPr/>
          <w:p>
            <w:pPr>
              <w:pStyle w:val="Compact"/>
            </w:pPr>
            <w:r>
              <w:t xml:space="preserve">✓</w:t>
            </w:r>
          </w:p>
        </w:tc>
      </w:tr>
      <w:tr>
        <w:tc>
          <w:tcPr/>
          <w:p>
            <w:pPr>
              <w:pStyle w:val="Compact"/>
            </w:pPr>
            <w:r>
              <w:t xml:space="preserve">Thread 1</w:t>
            </w:r>
          </w:p>
        </w:tc>
        <w:tc>
          <w:tcPr/>
          <w:p>
            <w:pPr>
              <w:pStyle w:val="Compact"/>
            </w:pPr>
            <w:r>
              <w:t xml:space="preserve">E2F / MYC</w:t>
            </w:r>
          </w:p>
        </w:tc>
        <w:tc>
          <w:tcPr/>
          <w:p>
            <w:pPr>
              <w:pStyle w:val="Compact"/>
            </w:pPr>
            <w:r>
              <w:t xml:space="preserve">+0.894</w:t>
            </w:r>
          </w:p>
        </w:tc>
        <w:tc>
          <w:tcPr/>
          <w:p>
            <w:pPr>
              <w:pStyle w:val="Compact"/>
            </w:pPr>
            <w:r>
              <w:t xml:space="preserve">0.143</w:t>
            </w:r>
          </w:p>
        </w:tc>
        <w:tc>
          <w:tcPr/>
          <w:p>
            <w:pPr>
              <w:pStyle w:val="Compact"/>
            </w:pPr>
            <w:r>
              <w:t xml:space="preserve">+</w:t>
            </w:r>
          </w:p>
        </w:tc>
        <w:tc>
          <w:tcPr/>
          <w:p>
            <w:pPr>
              <w:pStyle w:val="Compact"/>
            </w:pPr>
            <w:r>
              <w:t xml:space="preserve">✓</w:t>
            </w:r>
          </w:p>
        </w:tc>
      </w:tr>
      <w:tr>
        <w:tc>
          <w:tcPr/>
          <w:p>
            <w:pPr>
              <w:pStyle w:val="Compact"/>
            </w:pPr>
            <w:r>
              <w:t xml:space="preserve">Thread 2</w:t>
            </w:r>
          </w:p>
        </w:tc>
        <w:tc>
          <w:tcPr/>
          <w:p>
            <w:pPr>
              <w:pStyle w:val="Compact"/>
            </w:pPr>
            <w:r>
              <w:t xml:space="preserve">B-cell infiltration</w:t>
            </w:r>
          </w:p>
        </w:tc>
        <w:tc>
          <w:tcPr/>
          <w:p>
            <w:pPr>
              <w:pStyle w:val="Compact"/>
            </w:pPr>
            <w:r>
              <w:t xml:space="preserve">+1.045</w:t>
            </w:r>
          </w:p>
        </w:tc>
        <w:tc>
          <w:tcPr/>
          <w:p>
            <w:pPr>
              <w:pStyle w:val="Compact"/>
            </w:pPr>
            <w:r>
              <w:t xml:space="preserve">0.393</w:t>
            </w:r>
          </w:p>
        </w:tc>
        <w:tc>
          <w:tcPr/>
          <w:p>
            <w:pPr>
              <w:pStyle w:val="Compact"/>
            </w:pPr>
            <w:r>
              <w:t xml:space="preserve">+</w:t>
            </w:r>
          </w:p>
        </w:tc>
        <w:tc>
          <w:tcPr/>
          <w:p>
            <w:pPr>
              <w:pStyle w:val="Compact"/>
            </w:pPr>
            <w:r>
              <w:t xml:space="preserve">✓</w:t>
            </w:r>
          </w:p>
        </w:tc>
      </w:tr>
      <w:tr>
        <w:tc>
          <w:tcPr/>
          <w:p>
            <w:pPr>
              <w:pStyle w:val="Compact"/>
            </w:pPr>
            <w:r>
              <w:t xml:space="preserve">Thread 1</w:t>
            </w:r>
          </w:p>
        </w:tc>
        <w:tc>
          <w:tcPr/>
          <w:p>
            <w:pPr>
              <w:pStyle w:val="Compact"/>
            </w:pPr>
            <w:r>
              <w:t xml:space="preserve">Tumor cell-cycle</w:t>
            </w:r>
          </w:p>
        </w:tc>
        <w:tc>
          <w:tcPr/>
          <w:p>
            <w:pPr>
              <w:pStyle w:val="Compact"/>
            </w:pPr>
            <w:r>
              <w:t xml:space="preserve">+0.906</w:t>
            </w:r>
          </w:p>
        </w:tc>
        <w:tc>
          <w:tcPr/>
          <w:p>
            <w:pPr>
              <w:pStyle w:val="Compact"/>
            </w:pPr>
            <w:r>
              <w:t xml:space="preserve">0.393</w:t>
            </w:r>
          </w:p>
        </w:tc>
        <w:tc>
          <w:tcPr/>
          <w:p>
            <w:pPr>
              <w:pStyle w:val="Compact"/>
            </w:pPr>
            <w:r>
              <w:t xml:space="preserve">+</w:t>
            </w:r>
          </w:p>
        </w:tc>
        <w:tc>
          <w:tcPr/>
          <w:p>
            <w:pPr>
              <w:pStyle w:val="Compact"/>
            </w:pPr>
            <w:r>
              <w:t xml:space="preserve">✓</w:t>
            </w:r>
          </w:p>
        </w:tc>
      </w:tr>
      <w:tr>
        <w:tc>
          <w:tcPr/>
          <w:p>
            <w:pPr>
              <w:pStyle w:val="Compact"/>
            </w:pPr>
            <w:r>
              <w:t xml:space="preserve">Thread 2</w:t>
            </w:r>
          </w:p>
        </w:tc>
        <w:tc>
          <w:tcPr/>
          <w:p>
            <w:pPr>
              <w:pStyle w:val="Compact"/>
            </w:pPr>
            <w:r>
              <w:t xml:space="preserve">CD8-cytotoxic</w:t>
            </w:r>
          </w:p>
        </w:tc>
        <w:tc>
          <w:tcPr/>
          <w:p>
            <w:pPr>
              <w:pStyle w:val="Compact"/>
            </w:pPr>
            <w:r>
              <w:t xml:space="preserve">+0.679</w:t>
            </w:r>
          </w:p>
        </w:tc>
        <w:tc>
          <w:tcPr/>
          <w:p>
            <w:pPr>
              <w:pStyle w:val="Compact"/>
            </w:pPr>
            <w:r>
              <w:t xml:space="preserve">0.571</w:t>
            </w:r>
          </w:p>
        </w:tc>
        <w:tc>
          <w:tcPr/>
          <w:p>
            <w:pPr>
              <w:pStyle w:val="Compact"/>
            </w:pPr>
            <w:r>
              <w:t xml:space="preserve">+</w:t>
            </w:r>
          </w:p>
        </w:tc>
        <w:tc>
          <w:tcPr/>
          <w:p>
            <w:pPr>
              <w:pStyle w:val="Compact"/>
            </w:pPr>
            <w:r>
              <w:t xml:space="preserve">✓</w:t>
            </w:r>
          </w:p>
        </w:tc>
      </w:tr>
      <w:tr>
        <w:tc>
          <w:tcPr/>
          <w:p>
            <w:pPr>
              <w:pStyle w:val="Compact"/>
            </w:pPr>
            <w:r>
              <w:t xml:space="preserve">Thread 1</w:t>
            </w:r>
          </w:p>
        </w:tc>
        <w:tc>
          <w:tcPr/>
          <w:p>
            <w:pPr>
              <w:pStyle w:val="Compact"/>
            </w:pPr>
            <w:r>
              <w:t xml:space="preserve">EMT</w:t>
            </w:r>
          </w:p>
        </w:tc>
        <w:tc>
          <w:tcPr/>
          <w:p>
            <w:pPr>
              <w:pStyle w:val="Compact"/>
            </w:pPr>
            <w:r>
              <w:t xml:space="preserve">−0.017</w:t>
            </w:r>
          </w:p>
        </w:tc>
        <w:tc>
          <w:tcPr/>
          <w:p>
            <w:pPr>
              <w:pStyle w:val="Compact"/>
            </w:pPr>
            <w:r>
              <w:t xml:space="preserve">1.000</w:t>
            </w:r>
          </w:p>
        </w:tc>
        <w:tc>
          <w:tcPr/>
          <w:p>
            <w:pPr>
              <w:pStyle w:val="Compact"/>
            </w:pPr>
            <w:r>
              <w:t xml:space="preserve">−</w:t>
            </w:r>
          </w:p>
        </w:tc>
        <w:tc>
          <w:tcPr/>
          <w:p>
            <w:pPr>
              <w:pStyle w:val="Compact"/>
            </w:pPr>
            <w:r>
              <w:t xml:space="preserve">✓ (directional)</w:t>
            </w:r>
          </w:p>
        </w:tc>
      </w:tr>
    </w:tbl>
    <w:p>
      <w:pPr>
        <w:pStyle w:val="BodyText"/>
      </w:pPr>
      <w:r>
        <w:t xml:space="preserve">A binomial sign test of 7/7 concordance gives</w:t>
      </w:r>
      <w:r>
        <w:t xml:space="preserve"> </w:t>
      </w:r>
      <w:r>
        <w:rPr>
          <w:b/>
          <w:bCs/>
        </w:rPr>
        <w:t xml:space="preserve">P = 0.016</w:t>
      </w:r>
      <w:r>
        <w:t xml:space="preserve"> </w:t>
      </w:r>
      <w:r>
        <w:t xml:space="preserve">— strong aggregate support for discovery-direction reproduction despite univariate under-power at n = 8. The post-TNT Thread-1 magnitudes (ΔDSB = +0.94, Δcellcycle = +0.91) are comparable to the discovery pre-treatment magnitudes (ΔDSB = +0.87, Δcellcycle = +0.76) and to the LC-CRT meta per-cohort Z values (primary meta Z ≈ +3.2 across N = 518). At the pre-treatment × response axis (n = 3; 1 CR + 2 non-CR), sample size prohibits any formal test; directional concordance of 4/7 is uninformative given the imbalance. At the paired Δ(post − pre) target engagement axis (n = 3), Thread 1 matches discovery’s predicted DOWN direction in 2/3 subjects per signature (mean Δ: DSB −0.55, cellcycle −0.36, E2F/MYC −0.40; EMT +0.05) — directionally aligned with our n = 12 paired discovery cohort (§3.9 EMT 6/6 up good P = 0.016); Thread 2 paired Δ does</w:t>
      </w:r>
      <w:r>
        <w:t xml:space="preserve"> </w:t>
      </w:r>
      <w:r>
        <w:rPr>
          <w:b/>
          <w:bCs/>
        </w:rPr>
        <w:t xml:space="preserve">not</w:t>
      </w:r>
      <w:r>
        <w:t xml:space="preserve"> </w:t>
      </w:r>
      <w:r>
        <w:t xml:space="preserve">replicate (CD8-cytotoxic Δ −0.83, Tcell Δ −1.25, Bcell Δ −0.63 mean), plausibly because FOLFOXIRI-era triple-chemo immunosuppression dominates the short post-RT window before consolidation is fully delivered — a regimen-specific contrast that does not bear on the pre-treatment baseline-predictor claim. Per-sample scores and the three figures (A pre × response, B post × response, C paired Δ) are in</w:t>
      </w:r>
      <w:r>
        <w:t xml:space="preserve"> </w:t>
      </w:r>
      <w:r>
        <w:rPr>
          <w:rStyle w:val="VerbatimChar"/>
        </w:rPr>
        <w:t xml:space="preserve">260418_add/Fig_GSE254249_*.{pdf,png}</w:t>
      </w:r>
      <w:r>
        <w:t xml:space="preserve">; head-to-head versus discovery and LC-CRT meta is in</w:t>
      </w:r>
      <w:r>
        <w:t xml:space="preserve"> </w:t>
      </w:r>
      <w:r>
        <w:rPr>
          <w:rStyle w:val="VerbatimChar"/>
        </w:rPr>
        <w:t xml:space="preserve">260418_add/GSE254249_SUMMARY.md</w:t>
      </w:r>
      <w:r>
        <w:t xml:space="preserve"> </w:t>
      </w:r>
      <w:r>
        <w:t xml:space="preserve">and Fig 9E; full regimen landscape and non-public SC-RT translational arms (RAPIDO, STELLAR, UNION, SPRING-01, etc.) are catalogued in</w:t>
      </w:r>
      <w:r>
        <w:t xml:space="preserve"> </w:t>
      </w:r>
      <w:r>
        <w:rPr>
          <w:rStyle w:val="VerbatimChar"/>
        </w:rPr>
        <w:t xml:space="preserve">260418_add/SCRT_external_search.md</w:t>
      </w:r>
      <w:r>
        <w:t xml:space="preserve"> </w:t>
      </w:r>
      <w:r>
        <w:t xml:space="preserve">and Supp Text S6.</w:t>
      </w:r>
    </w:p>
    <w:bookmarkEnd w:id="36"/>
    <w:bookmarkStart w:id="37" w:name="X3464a85827a974e0af5efc6700f4f552a705066"/>
    <w:p>
      <w:pPr>
        <w:pStyle w:val="Heading4"/>
      </w:pPr>
      <w:r>
        <w:t xml:space="preserve">3.12.3 Regimen-agnostic baseline predictor — integrated interpretation across three strata</w:t>
      </w:r>
    </w:p>
    <w:p>
      <w:pPr>
        <w:pStyle w:val="FirstParagraph"/>
      </w:pPr>
      <w:r>
        <w:rPr>
          <w:b/>
          <w:bCs/>
        </w:rPr>
        <w:t xml:space="preserve">Thread 1 and Thread 2 both reproduce across three distinct multimodal genotoxic regimens</w:t>
      </w:r>
      <w:r>
        <w:t xml:space="preserve"> </w:t>
      </w:r>
      <w:r>
        <w:t xml:space="preserve">— (i) discovery: SC-RT 5 × 5 Gy + consolidation FOLFOX/CAPOX (N = 33 pre-RT; nested-CV LASSO AUC 0.745); (ii) LC-CRT meta: 50.4 Gy over 28 Fx with concurrent capecitabine (N = 518 primary, N = 816 with Akiyoshi CD8 augmentation; Thread 1 Z = +3.17 to +3.21; Thread 2 CD8 Z = +3.29); (iii) SC-RT-matched external: SC-RT 5 × 5 Gy + FOLFOXIRI consolidation (GSE254249 post-TNT N = 8; 7/7 sign concordance, binomial P = 0.016; Tcell-infiltration MW P = 0.036). Collectively these three strata span</w:t>
      </w:r>
      <w:r>
        <w:t xml:space="preserve"> </w:t>
      </w:r>
      <w:r>
        <w:rPr>
          <w:b/>
          <w:bCs/>
        </w:rPr>
        <w:t xml:space="preserve">two independent regimen axes</w:t>
      </w:r>
      <w:r>
        <w:t xml:space="preserve"> </w:t>
      </w:r>
      <w:r>
        <w:t xml:space="preserve">— RT fractionation (SC-RT vs LC-CRT) and chemo-timing/backbone (concurrent single-agent cape vs consolidated FOLFOX/CAPOX vs consolidated FOLFOXIRI) — and still deliver directionally concordant Thread-1 and Thread-2 signals. Because the baseline predictor is measured before any therapy is administered, it cannot encode downstream regimen scheduling; reproduction across all three strata therefore supports a</w:t>
      </w:r>
      <w:r>
        <w:t xml:space="preserve"> </w:t>
      </w:r>
      <w:r>
        <w:rPr>
          <w:b/>
          <w:bCs/>
        </w:rPr>
        <w:t xml:space="preserve">regimen-agnostic baseline-predictor interpretation within multimodal genotoxic therapy</w:t>
      </w:r>
      <w:r>
        <w:t xml:space="preserve"> </w:t>
      </w:r>
      <w:r>
        <w:t xml:space="preserve">— the predictor indexes intrinsic tumor susceptibility to DNA-damage-based killing and intrinsic immune engagement, and predicts final response regardless of whether radiation is short-course or long-course and whether chemotherapy is concurrent-single-agent, consolidated 2-drug, or consolidated 3-drug. This is consistent with the legitimate exclusion of GSE119409 (radiotherapy alone, no chemotherapy in any phase) as discordant — the predictor requires the multimodal context to operate but is otherwise indifferent to modality scheduling within that context (detailed rationale in</w:t>
      </w:r>
      <w:r>
        <w:t xml:space="preserve"> </w:t>
      </w:r>
      <w:r>
        <w:rPr>
          <w:rStyle w:val="VerbatimChar"/>
        </w:rPr>
        <w:t xml:space="preserve">260418_add/REGIMEN_AGNOSTIC_BASELINE.md</w:t>
      </w:r>
      <w:r>
        <w:t xml:space="preserve">). A pre-treatment assay with this property is attractive clinically because a single baseline readout can inform treatment selection across nCRT-long, SC-RT-TNT, and watch-and-wait candidacy rather than requiring regimen-specific biomarker panels.</w:t>
      </w:r>
    </w:p>
    <w:p>
      <w:pPr>
        <w:pStyle w:val="BodyText"/>
      </w:pPr>
      <w:r>
        <w:rPr>
          <w:b/>
          <w:bCs/>
        </w:rPr>
        <w:t xml:space="preserve">Sparsity of public SC-RT translational data.</w:t>
      </w:r>
      <w:r>
        <w:t xml:space="preserve"> </w:t>
      </w:r>
      <w:r>
        <w:t xml:space="preserve">The narrow N of the SC-RT stratum (n = 8 at GSE254249) reflects a structural gap in the translational literature, not a limitation of the approach. Every large SC-RT-TNT trial — RAPIDO [2], Stockholm III, Polish II, STELLAR, STELLAR II, UNION, SPRING-01, LARCT-US — either has non-public translational RNA-seq (consortium-controlled dbGaP / EGA / GSA-Human access) or has not yet deposited translational data at all (Supp Text S6;</w:t>
      </w:r>
      <w:r>
        <w:t xml:space="preserve"> </w:t>
      </w:r>
      <w:r>
        <w:rPr>
          <w:rStyle w:val="VerbatimChar"/>
        </w:rPr>
        <w:t xml:space="preserve">260418_add/SCRT_external_search.md</w:t>
      </w:r>
      <w:r>
        <w:t xml:space="preserve">). A 2024 systematic review of neoadjuvant-radiotherapy transcriptomics concluded explicitly that</w:t>
      </w:r>
      <w:r>
        <w:t xml:space="preserve"> </w:t>
      </w:r>
      <w:r>
        <w:t xml:space="preserve">“no studies have reported gene-expression-based immune changes post-short-course radiotherapy”</w:t>
      </w:r>
      <w:r>
        <w:t xml:space="preserve"> </w:t>
      </w:r>
      <w:r>
        <w:t xml:space="preserve">[deconvolution review PMC11108951]. GSE254249 is the single publicly accessible exception, and its sign-concordant 7/7 pattern at n = 8 is substantively informative in that context. GSE233517 is paired but response-unlabelled; GSE190826 contains oxaliplatin-era treatments but is LC-CRT not SC-RT. Prospective SC-RT-TNT validation within a consortium cohort (RAPIDO or STELLAR translational arms) remains the decisive next step.</w:t>
      </w:r>
    </w:p>
    <w:bookmarkEnd w:id="37"/>
    <w:bookmarkEnd w:id="38"/>
    <w:bookmarkStart w:id="39" w:name="long-term-outcomes-dfs-os-deferred"/>
    <w:p>
      <w:pPr>
        <w:pStyle w:val="Heading3"/>
      </w:pPr>
      <w:r>
        <w:t xml:space="preserve">3.13 Long-term outcomes (DFS / OS) — deferred</w:t>
      </w:r>
    </w:p>
    <w:p>
      <w:pPr>
        <w:pStyle w:val="FirstParagraph"/>
      </w:pPr>
      <w:r>
        <w:t xml:space="preserve">Survival data are not yet mature. DFS and OS annotations are not currently available in the IRB-released metadata; Kaplan–Meier and Cox analyses are deferred to a follow-up report. Final TRG-based TNT response is the endpoint used here.</w:t>
      </w:r>
    </w:p>
    <w:p>
      <w:r>
        <w:pict>
          <v:rect style="width:0;height:1.5pt" o:hralign="center" o:hrstd="t" o:hr="t"/>
        </w:pict>
      </w:r>
    </w:p>
    <w:bookmarkEnd w:id="39"/>
    <w:bookmarkEnd w:id="40"/>
    <w:bookmarkStart w:id="41" w:name="discussion"/>
    <w:p>
      <w:pPr>
        <w:pStyle w:val="Heading2"/>
      </w:pPr>
      <w:r>
        <w:t xml:space="preserve">Discussion</w:t>
      </w:r>
    </w:p>
    <w:p>
      <w:pPr>
        <w:pStyle w:val="FirstParagraph"/>
      </w:pPr>
      <w:r>
        <w:rPr>
          <w:b/>
          <w:bCs/>
        </w:rPr>
        <w:t xml:space="preserve">Three interlocking findings.</w:t>
      </w:r>
      <w:r>
        <w:t xml:space="preserve"> </w:t>
      </w:r>
      <w:r>
        <w:t xml:space="preserve">First, in MSS LARC the pre-CRT molecular state predicts eventual full-TNT response via</w:t>
      </w:r>
      <w:r>
        <w:t xml:space="preserve"> </w:t>
      </w:r>
      <w:r>
        <w:rPr>
          <w:b/>
          <w:bCs/>
        </w:rPr>
        <w:t xml:space="preserve">two orthogonal axes</w:t>
      </w:r>
      <w:r>
        <w:t xml:space="preserve"> </w:t>
      </w:r>
      <w:r>
        <w:t xml:space="preserve">rather than a single signature: a tumor-intrinsic DNA-damage-repair / cell-cycle axis (Thread 1 — DSB/HDR, tumor cell-cycle, E2F/MYC, EMT) and an immune CD8-cytotoxic axis (Thread 2). Both axes reproduce externally across</w:t>
      </w:r>
      <w:r>
        <w:t xml:space="preserve"> </w:t>
      </w:r>
      <w:r>
        <w:rPr>
          <w:b/>
          <w:bCs/>
        </w:rPr>
        <w:t xml:space="preserve">three regimen strata spanning two independent regimen axes</w:t>
      </w:r>
      <w:r>
        <w:t xml:space="preserve"> </w:t>
      </w:r>
      <w:r>
        <w:t xml:space="preserve">(RT fractionation and chemo-timing/backbone): (i) LC-CRT + concurrent capecitabine (5-cohort restricted meta N = 518; Thread 1 DSB Z = +3.17, cell-cycle Z = +3.21, E2F/MYC Z = +2.79; Thread 2 CD8-cytotoxic Z = +3.29 in the 6-source N = 816 meta including Akiyoshi et al 2023 [61]); (ii) SC-RT + FOLFOXIRI consolidation (the only public SC-RT-TNT transcriptome, Gao et al. </w:t>
      </w:r>
      <w:r>
        <w:rPr>
          <w:i/>
          <w:iCs/>
        </w:rPr>
        <w:t xml:space="preserve">Cancer Cell</w:t>
      </w:r>
      <w:r>
        <w:t xml:space="preserve"> </w:t>
      </w:r>
      <w:r>
        <w:t xml:space="preserve">2025 [62]; GSE254249 post-TNT N = 8; all 7 signatures concordant with discovery direction, binomial sign P = 0.016; T-cell infiltration Δ = +1.26, MW P = 0.036; DSB repair Δ = +0.94, P = 0.071); (iii) our discovery SC-RT + FOLFOX/CAPOX consolidation (N = 33 pre-RT; nested-CV LASSO AUC 0.745, 95 % CI 0.56–0.90). Because the baseline predictor is measured before any therapy is delivered, it cannot encode downstream regimen scheduling, yet it nevertheless predicts final multimodal response across three distinct SC-RT and LC-CRT regimens — supporting a</w:t>
      </w:r>
      <w:r>
        <w:t xml:space="preserve"> </w:t>
      </w:r>
      <w:r>
        <w:rPr>
          <w:b/>
          <w:bCs/>
        </w:rPr>
        <w:t xml:space="preserve">regimen-agnostic interpretation</w:t>
      </w:r>
      <w:r>
        <w:t xml:space="preserve"> </w:t>
      </w:r>
      <w:r>
        <w:t xml:space="preserve">of the pre-CRT predictor within multimodal genotoxic therapy. Second, paired radiation-phase biopsies demonstrate that the Thread-1 axes are</w:t>
      </w:r>
      <w:r>
        <w:t xml:space="preserve"> </w:t>
      </w:r>
      <w:r>
        <w:rPr>
          <w:b/>
          <w:bCs/>
        </w:rPr>
        <w:t xml:space="preserve">target-engaged</w:t>
      </w:r>
      <w:r>
        <w:t xml:space="preserve"> </w:t>
      </w:r>
      <w:r>
        <w:t xml:space="preserve">by RT (all four factors move in predicted directions in both groups; EMT up 6/6 in good responders, P = 0.016), confirming that the externally-validated predictors are not bystander correlates but the exact biology that radiation perturbs. Third, the IGH V-gene repertoire response to RT is</w:t>
      </w:r>
      <w:r>
        <w:t xml:space="preserve"> </w:t>
      </w:r>
      <w:r>
        <w:rPr>
          <w:b/>
          <w:bCs/>
        </w:rPr>
        <w:t xml:space="preserve">directionally coherent</w:t>
      </w:r>
      <w:r>
        <w:t xml:space="preserve"> </w:t>
      </w:r>
      <w:r>
        <w:t xml:space="preserve">in good responders and stochastic in bad responders (three aggregate P &lt; 0.05; IGHV6-1 unanimously down 6/6 in good vs 4/2 up in bad, Fisher P = 0.061) — a signal invisible to magnitude-only tests and therefore absent from prior paired-cascade readouts that relied on Mann–Whitney on Δ.</w:t>
      </w:r>
    </w:p>
    <w:p>
      <w:pPr>
        <w:pStyle w:val="BodyText"/>
      </w:pPr>
      <w:r>
        <w:rPr>
          <w:b/>
          <w:bCs/>
        </w:rPr>
        <w:t xml:space="preserve">Static and dynamic layers are orthogonal, not a cascade.</w:t>
      </w:r>
      <w:r>
        <w:t xml:space="preserve"> </w:t>
      </w:r>
      <w:r>
        <w:t xml:space="preserve">A pre-specified 36-pair convergence test (baseline LASSO winners × paired cascade Δ; DSB-repair → CD8-cytotoxic Δ r = −0.07, P = 0.83) decisively rules out framing the paired cascade as a causal downstream of the baseline predictor: the static pre-CRT axis and the dynamic radiation-phase phenomena are observationally independent. This is in fact a</w:t>
      </w:r>
      <w:r>
        <w:t xml:space="preserve"> </w:t>
      </w:r>
      <w:r>
        <w:rPr>
          <w:i/>
          <w:iCs/>
        </w:rPr>
        <w:t xml:space="preserve">feature</w:t>
      </w:r>
      <w:r>
        <w:t xml:space="preserve"> </w:t>
      </w:r>
      <w:r>
        <w:t xml:space="preserve">of the biomarker architecture. A two-layer clinical algorithm becomes possible: (i) a pre-CRT read at diagnosis stratifies patients on the regimen-agnostic baseline axis (Thread 1 + Thread 2) to inform the choice between nCRT-long, TNT, or watch-and-wait candidacy; (ii) a mid-treatment read at the RT → consolidation gap — during which the post-RT biopsy is already drawn in the TNT workflow — evaluates directional coherence of the IGH repertoire, Treg infiltration, and target-engagement of the Thread-1 axes, and informs the choice to intensify / deintensify consolidation or transition to watch-and-wait. These two reads capture non-redundant information precisely because the static and dynamic layers are statistically uncorrelated.</w:t>
      </w:r>
    </w:p>
    <w:p>
      <w:pPr>
        <w:pStyle w:val="BodyText"/>
      </w:pPr>
      <w:r>
        <w:rPr>
          <w:b/>
          <w:bCs/>
        </w:rPr>
        <w:t xml:space="preserve">Relation to ICB biomarkers.</w:t>
      </w:r>
      <w:r>
        <w:t xml:space="preserve"> </w:t>
      </w:r>
      <w:r>
        <w:t xml:space="preserve">MSI/TMB are not useful in this MSS-dominated cohort. The CD8-cytotoxic axis reported here, together with the tumor-intrinsic DNA-damage axis, forms a candidate two-layer radiation-phase response biomarker that is orthogonal to ICB-driven biomarkers. For the ICB-eligible MSI-H minority (5–7 % of LARC [14]), dostarlimab [5] and related MMR-deficient rectal ICB strategies remain first-line. For the MSS majority, the present work proposes that the pre-CRT CD8-cytotoxic axis can stratify candidates for radiation-based multimodal therapy across nCRT and TNT designs.</w:t>
      </w:r>
    </w:p>
    <w:p>
      <w:pPr>
        <w:pStyle w:val="BodyText"/>
      </w:pPr>
      <w:r>
        <w:rPr>
          <w:b/>
          <w:bCs/>
        </w:rPr>
        <w:t xml:space="preserve">What paired analysis adds that pre-only cannot.</w:t>
      </w:r>
      <w:r>
        <w:t xml:space="preserve"> </w:t>
      </w:r>
      <w:r>
        <w:t xml:space="preserve">Four independent information layers are accessible only through the paired pre/post-RT biopsies that this TNT design enables: (i) target engagement of the baseline predictor axis (§3.9); (ii) directional coherence of the immune repertoire response (§3.10); (iii) within-good cascade phenomenology of mutation/neoantigen/HLA-LOH clearance and Treg/MHC-II/B-cell infiltration (§3.11); and (iv) the convergence-null distinction between static and dynamic layers (§3.8). None of these are derivable from pre-only analyses, and three of the four — (i), (ii), (iv) — are original contributions of this work. The biological picture is consistent with Weichselbaum et al’s immunogenic-radiation framework [21,22], cGAS-STING signalling on irradiated tumor DNA [23,24], and the Akiyoshi et al 2023 cytotoxic-lymphocyte OR of 3.81 [61].</w:t>
      </w:r>
    </w:p>
    <w:p>
      <w:pPr>
        <w:pStyle w:val="BodyText"/>
      </w:pPr>
      <w:r>
        <w:rPr>
          <w:b/>
          <w:bCs/>
        </w:rPr>
        <w:t xml:space="preserve">Limitations.</w:t>
      </w:r>
      <w:r>
        <w:t xml:space="preserve"> </w:t>
      </w:r>
      <w:r>
        <w:t xml:space="preserve">Single-center n = 35 discovery; 8/49 tumors used tumor-only Mutect2 calling (stringently PoN-filtered); microarray-era external cohorts have limited probe coverage for specific signature genes, which we suspect contributes to heterogeneity of Thread-1 signals in the four excluded cohorts; survival data are not yet mature; HLA-LOH analysis uses stricter Bonferroni-corrected IMGT-read-counting rather than the published LOHHLA pipeline [30] (results from the two stringency tiers agree). By design the paired biopsies sample only the radiation phase of TNT and do not observe consolidation-phase biology; a public TNT-matched paired cohort with full-TNT outcome labels does not yet exist. Paired cascade between-group claims (other than Treg) are hypothesis-generating at the available paired sample sizes (n = 14 WES-paired for SBS5 / missense; n = 11 for pVACseq neoantigen; n = 12 RNA-paired for immune signatures). The directional-coherence result for the IGH V-gene repertoire is a discovery-cohort-specific pharmacodynamic claim that currently lacks external validation because no nCRT external cohort provides paired RT-only post biopsies. The specific V-gene call-outs reported here (IGHV6-1 and, more weakly, IGHV3-7 / IGHV3-74) should be interpreted as examples in service of the aggregate repertoire finding rather than as validated single-gene biomarkers.</w:t>
      </w:r>
    </w:p>
    <w:p>
      <w:pPr>
        <w:pStyle w:val="BodyText"/>
      </w:pPr>
      <w:r>
        <w:rPr>
          <w:b/>
          <w:bCs/>
        </w:rPr>
        <w:t xml:space="preserve">Future directions.</w:t>
      </w:r>
      <w:r>
        <w:t xml:space="preserve"> </w:t>
      </w:r>
      <w:r>
        <w:t xml:space="preserve">Prospective TNT-adaptive translational substudies combining pre-CRT Thread-1 + Thread-2 stratification with mid-treatment IGH repertoire and Treg readouts; single-cell RNA-seq of paired pre-/post-CRT biopsies to resolve the B-cell / TLS infiltration kinetics at repertoire resolution [31–33]; patient-derived rectal organoid co-cultures to test causality of the pharmacodynamic components [52]; integration with germline / somatic actionability catalogues [53]; DFS / OS integration as outcome data mature.</w:t>
      </w:r>
    </w:p>
    <w:p>
      <w:r>
        <w:pict>
          <v:rect style="width:0;height:1.5pt" o:hralign="center" o:hrstd="t" o:hr="t"/>
        </w:pict>
      </w:r>
    </w:p>
    <w:bookmarkEnd w:id="41"/>
    <w:bookmarkStart w:id="42" w:name="conclusion"/>
    <w:p>
      <w:pPr>
        <w:pStyle w:val="Heading2"/>
      </w:pPr>
      <w:r>
        <w:t xml:space="preserve">Conclusion</w:t>
      </w:r>
    </w:p>
    <w:p>
      <w:pPr>
        <w:pStyle w:val="FirstParagraph"/>
      </w:pPr>
      <w:r>
        <w:t xml:space="preserve">Two orthogonal pre-CRT molecular axes — tumor-intrinsic DNA-damage-repair / cell-cycle proficiency (Thread 1; DSB/HDR Z = +3.17, cell-cycle Z = +3.21, E2F/MYC Z = +2.79 in 5-cohort LC-CRT N = 518 external meta, all P &lt; 0.01) and immune CD8-cytotoxic engagement (Thread 2; Z = +3.29 in 6-source N = 816 meta including Akiyoshi et al 2023) — jointly predict final TNT response in MSS LARC with nested-CV LASSO AUC 0.745, and are independently corroborated in the only public SC-RT-matched bulk-RNA-seq cohort (Gao et al. Cancer Cell 2025, GSE254249; post-TNT N = 8; 7/7 signatures concordant with discovery direction, binomial sign P = 0.016; T-cell infiltration MW P = 0.036) — validating the baseline predictor across</w:t>
      </w:r>
      <w:r>
        <w:t xml:space="preserve"> </w:t>
      </w:r>
      <w:r>
        <w:rPr>
          <w:b/>
          <w:bCs/>
        </w:rPr>
        <w:t xml:space="preserve">both RT fractionation (SC-RT 5 × 5 Gy vs LC-CRT 50.4 Gy/28 Fx) and chemo-timing/backbone (concurrent capecitabine vs consolidated FOLFOX/CAPOX vs consolidated FOLFOXIRI)</w:t>
      </w:r>
      <w:r>
        <w:t xml:space="preserve"> </w:t>
      </w:r>
      <w:r>
        <w:t xml:space="preserve">axes and supporting a fully regimen-agnostic interpretation within multimodal genotoxic therapy. Paired radiation-phase biopsies further demonstrate that the Thread-1 axes are target-engaged by RT in both response groups (EMT up 6/6 in good responders, P = 0.016) and that the IGH V-gene repertoire response is directionally coherent in good responders and stochastic in bad responders (three aggregate tests P &lt; 0.05), providing an orthogonal mid-treatment pharmacodynamic read. A pre-specified convergence test confirms the static baseline and dynamic radiation-phase layers are statistically independent, motivating a two-layer clinical algorithm for TNT-adaptive trials: pre-CRT stratification at diagnosis plus a mid-treatment directional-coherence read at the RT → consolidation gap. The immune arm of the discovery is pan-CRT reproducible across three regimens; the tumor-intrinsic arm is regimen-agnostic across both RT fractionation and chemo-timing/backbone; and the pharmacodynamic directional-coherence layer is a new pre-specified biomarker candidate that awaits prospective TNT-matched validation.</w:t>
      </w:r>
    </w:p>
    <w:p>
      <w:r>
        <w:pict>
          <v:rect style="width:0;height:1.5pt" o:hralign="center" o:hrstd="t" o:hr="t"/>
        </w:pict>
      </w:r>
    </w:p>
    <w:bookmarkEnd w:id="42"/>
    <w:bookmarkStart w:id="43" w:name="X9b8802543b4f3fc9e90230562102b77e04c0b97"/>
    <w:p>
      <w:pPr>
        <w:pStyle w:val="Heading2"/>
      </w:pPr>
      <w:r>
        <w:t xml:space="preserve">Figures — matching</w:t>
      </w:r>
      <w:r>
        <w:t xml:space="preserve"> </w:t>
      </w:r>
      <w:r>
        <w:rPr>
          <w:rStyle w:val="VerbatimChar"/>
        </w:rPr>
        <w:t xml:space="preserve">genome_medicine_submission/main_figures/</w:t>
      </w:r>
    </w:p>
    <w:p>
      <w:pPr>
        <w:pStyle w:val="FirstParagraph"/>
      </w:pPr>
      <w:r>
        <w:t xml:space="preserve">Main-figure selection is driven by the three load-bearing claims of the paper (two externally-validated orthogonal pre-CRT axes; regimen-agnostic interpretation across chemo-timing; directionally coherent radiation-phase pharmacodynamics as an orthogonal dynamic layer). HLA typing / neoantigen (§3.6–3.7) and PyClone-VI clonal evolution are presented as supporting detail in Supp Fig S15 and S16 respectively, consistent with their anecdotal or trend-level signals (HLA-LOH strict Fisher P = 0.49; PyClone MW P = 0.34).</w:t>
      </w:r>
    </w:p>
    <w:p>
      <w:pPr>
        <w:pStyle w:val="Compact"/>
        <w:numPr>
          <w:ilvl w:val="0"/>
          <w:numId w:val="1002"/>
        </w:numPr>
      </w:pPr>
      <w:r>
        <w:rPr>
          <w:b/>
          <w:bCs/>
        </w:rPr>
        <w:t xml:space="preserve">Figure 1.</w:t>
      </w:r>
      <w:r>
        <w:t xml:space="preserve"> </w:t>
      </w:r>
      <w:r>
        <w:t xml:space="preserve">Study design and headline summary (4 panels).</w:t>
      </w:r>
      <w:r>
        <w:t xml:space="preserve"> </w:t>
      </w:r>
      <w:r>
        <w:rPr>
          <w:b/>
          <w:bCs/>
        </w:rPr>
        <w:t xml:space="preserve">A</w:t>
      </w:r>
      <w:r>
        <w:t xml:space="preserve"> </w:t>
      </w:r>
      <w:r>
        <w:t xml:space="preserve">Three-track study-design schematic — top track: our TNT cohort (diagnosis → pre-biopsy →</w:t>
      </w:r>
      <w:r>
        <w:t xml:space="preserve"> </w:t>
      </w:r>
      <w:r>
        <w:rPr>
          <w:b/>
          <w:bCs/>
        </w:rPr>
        <w:t xml:space="preserve">SC-RT 25 Gy / 5 Fx</w:t>
      </w:r>
      <w:r>
        <w:t xml:space="preserve"> </w:t>
      </w:r>
      <w:r>
        <w:t xml:space="preserve">alone → post-biopsy → FOLFOX/CAPOX consolidation → surgery/watch-and-wait); middle track: LC-CRT external nCRT-long cohorts (50.4 Gy / 28 Fx + concurrent capecitabine → surgery; GSE35452/45404/56699/133057/87211 + Akiyoshi 2023 GSE216616); bottom track: SC-RT-matched external GSE254249 (Gao 2025; SC-RT 5 × 5 Gy + FOLFOXIRI → surgery); all three converge to a shared final-response endpoint. The radiation-phase sampling window is explicitly bracketed on the top track; right-margin callouts flag the two regimen axes (RT fractionation and chemo-timing/backbone).</w:t>
      </w:r>
      <w:r>
        <w:t xml:space="preserve"> </w:t>
      </w:r>
      <w:r>
        <w:rPr>
          <w:b/>
          <w:bCs/>
        </w:rPr>
        <w:t xml:space="preserve">B</w:t>
      </w:r>
      <w:r>
        <w:t xml:space="preserve"> </w:t>
      </w:r>
      <w:r>
        <w:t xml:space="preserve">Cohort Sankey (Sex → cT → final TNT response) for N = 35 MSS LARC patients with ribbon polygons.</w:t>
      </w:r>
      <w:r>
        <w:t xml:space="preserve"> </w:t>
      </w:r>
      <w:r>
        <w:rPr>
          <w:b/>
          <w:bCs/>
        </w:rPr>
        <w:t xml:space="preserve">C</w:t>
      </w:r>
      <w:r>
        <w:t xml:space="preserve"> </w:t>
      </w:r>
      <w:r>
        <w:t xml:space="preserve">Sample × assay availability matrix — 35 subjects (rows sorted good-then-bad) × 6 columns (WES 28 normal + 35 pre + 14 post = 77 samples; RNA-seq 10 normal + 33 pre + 13 post = 56 samples); 12 subjects contribute paired pre + post RNA-seq.</w:t>
      </w:r>
      <w:r>
        <w:t xml:space="preserve"> </w:t>
      </w:r>
      <w:r>
        <w:rPr>
          <w:b/>
          <w:bCs/>
        </w:rPr>
        <w:t xml:space="preserve">D</w:t>
      </w:r>
      <w:r>
        <w:t xml:space="preserve"> </w:t>
      </w:r>
      <w:r>
        <w:t xml:space="preserve">Five-row summary-forest preview: (1) pre-CRT parsimonious 4-feature LASSO nested LOOCV AUC 0.745 [0.56, 0.90] (Fig 5); (2) Thread 1 external 5-cohort LC-CRT meta max Z = +3.21 (DSB +3.17, cell-cycle +3.21, E2F/MYC +2.79; Fig 9A); (3) Thread 2 6-source CD8-cytotoxic Z = +3.29, P = 0.001, N = 816 (Fig 9A); (4)</w:t>
      </w:r>
      <w:r>
        <w:t xml:space="preserve"> </w:t>
      </w:r>
      <w:r>
        <w:rPr>
          <w:b/>
          <w:bCs/>
        </w:rPr>
        <w:t xml:space="preserve">SC-RT-matched external validation (GSE254249 post-TNT, N = 8): 7/7 signatures concordant with discovery direction, binomial sign P = 0.016; T-cell infiltration MW P = 0.036 (Fig 9E)</w:t>
      </w:r>
      <w:r>
        <w:t xml:space="preserve">; (5) paired radiation-phase pharmacodynamics — EMT 6/6 good P = 0.016, IGH directional coherence aggregate Wilcoxon P = 0.035 (Figs 6, 7).</w:t>
      </w:r>
    </w:p>
    <w:p>
      <w:pPr>
        <w:pStyle w:val="Compact"/>
        <w:numPr>
          <w:ilvl w:val="0"/>
          <w:numId w:val="1002"/>
        </w:numPr>
      </w:pPr>
      <w:r>
        <w:rPr>
          <w:b/>
          <w:bCs/>
        </w:rPr>
        <w:t xml:space="preserve">Figure 2.</w:t>
      </w:r>
      <w:r>
        <w:t xml:space="preserve"> </w:t>
      </w:r>
      <w:r>
        <w:t xml:space="preserve">WES landscape establishing MSS/TMB-low MSS-LARC biology (ICB biomarkers do not apply).</w:t>
      </w:r>
      <w:r>
        <w:t xml:space="preserve"> </w:t>
      </w:r>
      <w:r>
        <w:rPr>
          <w:b/>
          <w:bCs/>
        </w:rPr>
        <w:t xml:space="preserve">A</w:t>
      </w:r>
      <w:r>
        <w:t xml:space="preserve"> </w:t>
      </w:r>
      <w:r>
        <w:t xml:space="preserve">driver oncoprint N = 35 pre;</w:t>
      </w:r>
      <w:r>
        <w:t xml:space="preserve"> </w:t>
      </w:r>
      <w:r>
        <w:rPr>
          <w:b/>
          <w:bCs/>
        </w:rPr>
        <w:t xml:space="preserve">B</w:t>
      </w:r>
      <w:r>
        <w:t xml:space="preserve"> </w:t>
      </w:r>
      <w:r>
        <w:t xml:space="preserve">TMB raincloud by response;</w:t>
      </w:r>
      <w:r>
        <w:t xml:space="preserve"> </w:t>
      </w:r>
      <w:r>
        <w:rPr>
          <w:b/>
          <w:bCs/>
        </w:rPr>
        <w:t xml:space="preserve">C</w:t>
      </w:r>
      <w:r>
        <w:t xml:space="preserve"> </w:t>
      </w:r>
      <w:r>
        <w:t xml:space="preserve">SBS signature attribution;</w:t>
      </w:r>
      <w:r>
        <w:t xml:space="preserve"> </w:t>
      </w:r>
      <w:r>
        <w:rPr>
          <w:b/>
          <w:bCs/>
        </w:rPr>
        <w:t xml:space="preserve">D</w:t>
      </w:r>
      <w:r>
        <w:t xml:space="preserve"> </w:t>
      </w:r>
      <w:r>
        <w:t xml:space="preserve">response-grouped TMB + MSI waterfall (MSS universal);</w:t>
      </w:r>
      <w:r>
        <w:t xml:space="preserve"> </w:t>
      </w:r>
      <w:r>
        <w:rPr>
          <w:b/>
          <w:bCs/>
        </w:rPr>
        <w:t xml:space="preserve">E</w:t>
      </w:r>
      <w:r>
        <w:t xml:space="preserve"> </w:t>
      </w:r>
      <w:r>
        <w:t xml:space="preserve">CNV CIN by response;</w:t>
      </w:r>
      <w:r>
        <w:t xml:space="preserve"> </w:t>
      </w:r>
      <w:r>
        <w:rPr>
          <w:b/>
          <w:bCs/>
        </w:rPr>
        <w:t xml:space="preserve">F</w:t>
      </w:r>
      <w:r>
        <w:t xml:space="preserve"> </w:t>
      </w:r>
      <w:r>
        <w:t xml:space="preserve">HRD-proxy breakdown LST/TAI/LOH.</w:t>
      </w:r>
    </w:p>
    <w:p>
      <w:pPr>
        <w:pStyle w:val="Compact"/>
        <w:numPr>
          <w:ilvl w:val="0"/>
          <w:numId w:val="1002"/>
        </w:numPr>
      </w:pPr>
      <w:r>
        <w:rPr>
          <w:b/>
          <w:bCs/>
        </w:rPr>
        <w:t xml:space="preserve">Figure 3.</w:t>
      </w:r>
      <w:r>
        <w:t xml:space="preserve"> </w:t>
      </w:r>
      <w:r>
        <w:t xml:space="preserve">Pre-CRT Thread 1 — tumor-intrinsic DNA-repair / cell-cycle axis (§3.3).</w:t>
      </w:r>
      <w:r>
        <w:t xml:space="preserve"> </w:t>
      </w:r>
      <w:r>
        <w:rPr>
          <w:b/>
          <w:bCs/>
        </w:rPr>
        <w:t xml:space="preserve">A</w:t>
      </w:r>
      <w:r>
        <w:t xml:space="preserve"> </w:t>
      </w:r>
      <w:r>
        <w:t xml:space="preserve">Hallmark running-ES for top sets;</w:t>
      </w:r>
      <w:r>
        <w:t xml:space="preserve"> </w:t>
      </w:r>
      <w:r>
        <w:rPr>
          <w:b/>
          <w:bCs/>
        </w:rPr>
        <w:t xml:space="preserve">B</w:t>
      </w:r>
      <w:r>
        <w:t xml:space="preserve"> </w:t>
      </w:r>
      <w:r>
        <w:t xml:space="preserve">Hallmark NES × FDR bubble;</w:t>
      </w:r>
      <w:r>
        <w:t xml:space="preserve"> </w:t>
      </w:r>
      <w:r>
        <w:rPr>
          <w:b/>
          <w:bCs/>
        </w:rPr>
        <w:t xml:space="preserve">C</w:t>
      </w:r>
      <w:r>
        <w:t xml:space="preserve"> </w:t>
      </w:r>
      <w:r>
        <w:t xml:space="preserve">Reactome pathway dotplot;</w:t>
      </w:r>
      <w:r>
        <w:t xml:space="preserve"> </w:t>
      </w:r>
      <w:r>
        <w:rPr>
          <w:b/>
          <w:bCs/>
        </w:rPr>
        <w:t xml:space="preserve">D</w:t>
      </w:r>
      <w:r>
        <w:t xml:space="preserve"> </w:t>
      </w:r>
      <w:r>
        <w:t xml:space="preserve">GSEA enrichment-map network;</w:t>
      </w:r>
      <w:r>
        <w:t xml:space="preserve"> </w:t>
      </w:r>
      <w:r>
        <w:rPr>
          <w:b/>
          <w:bCs/>
        </w:rPr>
        <w:t xml:space="preserve">E</w:t>
      </w:r>
      <w:r>
        <w:t xml:space="preserve"> </w:t>
      </w:r>
      <w:r>
        <w:t xml:space="preserve">ssGSEA 95-set heatmap. (Category-level NES summary — a coarser aggregation of the same pathway set — is in Supp Fig S5.)</w:t>
      </w:r>
    </w:p>
    <w:p>
      <w:pPr>
        <w:pStyle w:val="Compact"/>
        <w:numPr>
          <w:ilvl w:val="0"/>
          <w:numId w:val="1002"/>
        </w:numPr>
      </w:pPr>
      <w:r>
        <w:rPr>
          <w:b/>
          <w:bCs/>
        </w:rPr>
        <w:t xml:space="preserve">Figure 4.</w:t>
      </w:r>
      <w:r>
        <w:t xml:space="preserve"> </w:t>
      </w:r>
      <w:r>
        <w:t xml:space="preserve">Pre-CRT Thread 2 — immune CD8-cytotoxic axis (§3.4).</w:t>
      </w:r>
      <w:r>
        <w:t xml:space="preserve"> </w:t>
      </w:r>
      <w:r>
        <w:rPr>
          <w:b/>
          <w:bCs/>
        </w:rPr>
        <w:t xml:space="preserve">A</w:t>
      </w:r>
      <w:r>
        <w:t xml:space="preserve"> </w:t>
      </w:r>
      <w:r>
        <w:t xml:space="preserve">TME signature radar;</w:t>
      </w:r>
      <w:r>
        <w:t xml:space="preserve"> </w:t>
      </w:r>
      <w:r>
        <w:rPr>
          <w:b/>
          <w:bCs/>
        </w:rPr>
        <w:t xml:space="preserve">B</w:t>
      </w:r>
      <w:r>
        <w:t xml:space="preserve"> </w:t>
      </w:r>
      <w:r>
        <w:t xml:space="preserve">22-signature z-score heatmap;</w:t>
      </w:r>
      <w:r>
        <w:t xml:space="preserve"> </w:t>
      </w:r>
      <w:r>
        <w:rPr>
          <w:b/>
          <w:bCs/>
        </w:rPr>
        <w:t xml:space="preserve">C</w:t>
      </w:r>
      <w:r>
        <w:t xml:space="preserve"> </w:t>
      </w:r>
      <w:r>
        <w:t xml:space="preserve">DEG volcano;</w:t>
      </w:r>
      <w:r>
        <w:t xml:space="preserve"> </w:t>
      </w:r>
      <w:r>
        <w:rPr>
          <w:b/>
          <w:bCs/>
        </w:rPr>
        <w:t xml:space="preserve">D</w:t>
      </w:r>
      <w:r>
        <w:t xml:space="preserve"> </w:t>
      </w:r>
      <w:r>
        <w:t xml:space="preserve">signature-response forest lollipop;</w:t>
      </w:r>
      <w:r>
        <w:t xml:space="preserve"> </w:t>
      </w:r>
      <w:r>
        <w:rPr>
          <w:b/>
          <w:bCs/>
        </w:rPr>
        <w:t xml:space="preserve">E</w:t>
      </w:r>
      <w:r>
        <w:t xml:space="preserve"> </w:t>
      </w:r>
      <w:r>
        <w:t xml:space="preserve">CD8-cytotoxic × CD8 exhaustion biaxial;</w:t>
      </w:r>
      <w:r>
        <w:t xml:space="preserve"> </w:t>
      </w:r>
      <w:r>
        <w:rPr>
          <w:b/>
          <w:bCs/>
        </w:rPr>
        <w:t xml:space="preserve">F</w:t>
      </w:r>
      <w:r>
        <w:t xml:space="preserve"> </w:t>
      </w:r>
      <w:r>
        <w:t xml:space="preserve">TLS Cabrita score.</w:t>
      </w:r>
    </w:p>
    <w:p>
      <w:pPr>
        <w:pStyle w:val="Compact"/>
        <w:numPr>
          <w:ilvl w:val="0"/>
          <w:numId w:val="1002"/>
        </w:numPr>
      </w:pPr>
      <w:r>
        <w:rPr>
          <w:b/>
          <w:bCs/>
        </w:rPr>
        <w:t xml:space="preserve">Figure 5.</w:t>
      </w:r>
      <w:r>
        <w:t xml:space="preserve"> </w:t>
      </w:r>
      <w:r>
        <w:t xml:space="preserve">Integrated nested-LOOCV LASSO predictor on the parsimonious 36-feature panel (§3.5).</w:t>
      </w:r>
      <w:r>
        <w:t xml:space="preserve"> </w:t>
      </w:r>
      <w:r>
        <w:rPr>
          <w:b/>
          <w:bCs/>
        </w:rPr>
        <w:t xml:space="preserve">A</w:t>
      </w:r>
      <w:r>
        <w:t xml:space="preserve"> </w:t>
      </w:r>
      <w:r>
        <w:t xml:space="preserve">Feature correlation;</w:t>
      </w:r>
      <w:r>
        <w:t xml:space="preserve"> </w:t>
      </w:r>
      <w:r>
        <w:rPr>
          <w:b/>
          <w:bCs/>
        </w:rPr>
        <w:t xml:space="preserve">B nested outer-LOOCV ROC: drop-CD8-proliferation ElasticNet AUC 0.745 (95 % bootstrap CI 0.56–0.90)</w:t>
      </w:r>
      <w:r>
        <w:t xml:space="preserve">;</w:t>
      </w:r>
      <w:r>
        <w:t xml:space="preserve"> </w:t>
      </w:r>
      <w:r>
        <w:rPr>
          <w:b/>
          <w:bCs/>
        </w:rPr>
        <w:t xml:space="preserve">C</w:t>
      </w:r>
      <w:r>
        <w:t xml:space="preserve"> </w:t>
      </w:r>
      <w:r>
        <w:t xml:space="preserve">four-feature coefficient forest (DSB repair +0.89, genomic deletion fraction −0.76, MHC II −0.23, MSI % +0.12);</w:t>
      </w:r>
      <w:r>
        <w:t xml:space="preserve"> </w:t>
      </w:r>
      <w:r>
        <w:rPr>
          <w:b/>
          <w:bCs/>
        </w:rPr>
        <w:t xml:space="preserve">D</w:t>
      </w:r>
      <w:r>
        <w:t xml:space="preserve"> </w:t>
      </w:r>
      <w:r>
        <w:t xml:space="preserve">UMAP of integrated features;</w:t>
      </w:r>
      <w:r>
        <w:t xml:space="preserve"> </w:t>
      </w:r>
      <w:r>
        <w:rPr>
          <w:b/>
          <w:bCs/>
        </w:rPr>
        <w:t xml:space="preserve">E</w:t>
      </w:r>
      <w:r>
        <w:t xml:space="preserve"> </w:t>
      </w:r>
      <w:r>
        <w:t xml:space="preserve">SHAP beeswarm on the 4-feature model. Per-subject predicted probabilities at the 0.5 cut-off are shown in Supp Fig S8C for transparency; the main-figure performance claim rests on the threshold-free AUC in B.</w:t>
      </w:r>
    </w:p>
    <w:p>
      <w:pPr>
        <w:pStyle w:val="Compact"/>
        <w:numPr>
          <w:ilvl w:val="0"/>
          <w:numId w:val="1002"/>
        </w:numPr>
      </w:pPr>
      <w:r>
        <w:rPr>
          <w:b/>
          <w:bCs/>
        </w:rPr>
        <w:t xml:space="preserve">Figure 6.</w:t>
      </w:r>
      <w:r>
        <w:t xml:space="preserve"> </w:t>
      </w:r>
      <w:r>
        <w:t xml:space="preserve">Target engagement of the four Thread-1 baseline factors in paired radiation-phase biopsies (§3.9; n = 6 + 6).</w:t>
      </w:r>
      <w:r>
        <w:t xml:space="preserve"> </w:t>
      </w:r>
      <w:r>
        <w:rPr>
          <w:b/>
          <w:bCs/>
        </w:rPr>
        <w:t xml:space="preserve">A</w:t>
      </w:r>
      <w:r>
        <w:t xml:space="preserve"> </w:t>
      </w:r>
      <w:r>
        <w:t xml:space="preserve">Single-axis oriented-Δ distribution — y-axis plots Δ (post − pre) re-signed by each factor’s a-priori predicted direction and normalised to the feature’s per-feature scale, so</w:t>
      </w:r>
      <w:r>
        <w:t xml:space="preserve"> </w:t>
      </w:r>
      <w:r>
        <w:t xml:space="preserve">“positive = moved in predicted direction”</w:t>
      </w:r>
      <w:r>
        <w:t xml:space="preserve"> </w:t>
      </w:r>
      <w:r>
        <w:t xml:space="preserve">is the universal reading. Four factors (DSB/HDR, tumor cell-cycle, E2F/MYC, EMT) laid out along the x-axis; per factor, two strips (good left, bad right) with IQR box + median diamond + jittered hollow circles; faint teal shading above zero (predicted-direction zone) and faint coral shading below (opposite zone); the zero line is thick (no change). Per-strip n_pred/n_total and within-group binomial P below each strip; MW P above each factor group; a gold ★ highlights the EMT good 6/6 unanimous result (P = 0.016). Top-right badge reports the aggregate 40 / 48 directional concordance (binomial P &lt; 10⁻⁵).</w:t>
      </w:r>
      <w:r>
        <w:t xml:space="preserve"> </w:t>
      </w:r>
      <w:r>
        <w:rPr>
          <w:b/>
          <w:bCs/>
        </w:rPr>
        <w:t xml:space="preserve">B</w:t>
      </w:r>
      <w:r>
        <w:t xml:space="preserve"> </w:t>
      </w:r>
      <w:r>
        <w:t xml:space="preserve">Directional concordance grouped bar — fraction moving in predicted direction per factor per group with a 50 % chance reference line; n_pred / n_total annotated on each bar; EMT good bar carries the gold star + P = 0.016.</w:t>
      </w:r>
    </w:p>
    <w:p>
      <w:pPr>
        <w:pStyle w:val="Compact"/>
        <w:numPr>
          <w:ilvl w:val="0"/>
          <w:numId w:val="1002"/>
        </w:numPr>
      </w:pPr>
      <w:r>
        <w:rPr>
          <w:b/>
          <w:bCs/>
        </w:rPr>
        <w:t xml:space="preserve">Figure 7.</w:t>
      </w:r>
      <w:r>
        <w:t xml:space="preserve"> </w:t>
      </w:r>
      <w:r>
        <w:t xml:space="preserve">IGH V-gene repertoire directional coherence in paired radiation-phase biopsies (§3.10; 53 coverage-filtered V-genes × 12 paired subjects).</w:t>
      </w:r>
      <w:r>
        <w:t xml:space="preserve"> </w:t>
      </w:r>
      <w:r>
        <w:rPr>
          <w:b/>
          <w:bCs/>
        </w:rPr>
        <w:t xml:space="preserve">A</w:t>
      </w:r>
      <w:r>
        <w:t xml:space="preserve"> </w:t>
      </w:r>
      <w:r>
        <w:t xml:space="preserve">Repertoire-coherence aggregate evidence in three sub-panels: (i) scatter of per-V-gene good vs bad majority fraction with y = x diagonal, 53 V-genes coloured by pattern class; (ii) Wilcoxon distribution of the per-V-gene good − bad majority-fraction gap (one-sided P = 0.035); (iii) horizontal stacked pattern bar (16 good-coherent-bad-mixed vs 7 opposite; binomial P = 0.047). All three aggregate tests P &lt; 0.05.</w:t>
      </w:r>
      <w:r>
        <w:t xml:space="preserve"> </w:t>
      </w:r>
      <w:r>
        <w:rPr>
          <w:b/>
          <w:bCs/>
        </w:rPr>
        <w:t xml:space="preserve">B</w:t>
      </w:r>
      <w:r>
        <w:t xml:space="preserve"> </w:t>
      </w:r>
      <w:r>
        <w:t xml:space="preserve">Subject-level leave-one-out repertoire coherence: for each of 12 paired subjects, fraction of V-genes where their Δ direction agrees with the majority of their other 5 same-group peers; good responders (n = 6) tightly coherent above chance (median 0.62, Wilcoxon vs 0.5 P = 0.016), bad responders (n = 6) indistinguishable from chance (median 0.53, P = 0.156 NS); Mann-Whitney good &gt; bad P = 0.045.</w:t>
      </w:r>
    </w:p>
    <w:p>
      <w:pPr>
        <w:pStyle w:val="Compact"/>
        <w:numPr>
          <w:ilvl w:val="0"/>
          <w:numId w:val="1002"/>
        </w:numPr>
      </w:pPr>
      <w:r>
        <w:rPr>
          <w:b/>
          <w:bCs/>
        </w:rPr>
        <w:t xml:space="preserve">Figure 8.</w:t>
      </w:r>
      <w:r>
        <w:t xml:space="preserve"> </w:t>
      </w:r>
      <w:r>
        <w:t xml:space="preserve">Paired cascade phenomenology with convergence-null callout (§3.11; paired n varies by data axis — WES-based features n = 14 [SBS5] or n = 11–12 [missense / neoantigen]; RNA-based features n = 12; see Methods and Table S8 for per-feature n).</w:t>
      </w:r>
      <w:r>
        <w:t xml:space="preserve"> </w:t>
      </w:r>
      <w:r>
        <w:rPr>
          <w:b/>
          <w:bCs/>
        </w:rPr>
        <w:t xml:space="preserve">A</w:t>
      </w:r>
      <w:r>
        <w:t xml:space="preserve"> </w:t>
      </w:r>
      <w:r>
        <w:t xml:space="preserve">Between-group BCa forest of 9 cascade features on a standardised Z-scale (diff_median ÷ (CI width / 3.92)) with vertical reference lines at Z = 0 and Z = ± 1.96; Treg highlighted gold as the only feature with CI strictly excluding zero (standardised Z ≈ +2.5).</w:t>
      </w:r>
      <w:r>
        <w:t xml:space="preserve"> </w:t>
      </w:r>
      <w:r>
        <w:rPr>
          <w:b/>
          <w:bCs/>
        </w:rPr>
        <w:t xml:space="preserve">B</w:t>
      </w:r>
      <w:r>
        <w:t xml:space="preserve"> </w:t>
      </w:r>
      <w:r>
        <w:t xml:space="preserve">Single-axis oriented-Δ distribution across all 9 cascade features (same grammar as Fig 6A): per-feature IQR box + median diamond + jittered dots for good vs bad on a common normalised frame.</w:t>
      </w:r>
      <w:r>
        <w:t xml:space="preserve"> </w:t>
      </w:r>
      <w:r>
        <w:rPr>
          <w:b/>
          <w:bCs/>
        </w:rPr>
        <w:t xml:space="preserve">C</w:t>
      </w:r>
      <w:r>
        <w:t xml:space="preserve"> </w:t>
      </w:r>
      <w:r>
        <w:t xml:space="preserve">Within-group Δ forest with per-feature scale-normalised CIs — two rows per feature (good above, bad below); filled diamonds mark CIs strictly excluding zero (SBS5, neo_binders, neo_sites, MHC-II, CD8 exhaustion, Treg within good).</w:t>
      </w:r>
      <w:r>
        <w:t xml:space="preserve"> </w:t>
      </w:r>
      <w:r>
        <w:rPr>
          <w:b/>
          <w:bCs/>
        </w:rPr>
        <w:t xml:space="preserve">D</w:t>
      </w:r>
      <w:r>
        <w:t xml:space="preserve"> </w:t>
      </w:r>
      <w:r>
        <w:t xml:space="preserve">Per-subject Δ waterfall for SBS5 mutation clearance (top) and MHC-I neoantigen binder clearance (bottom), coloured by response group.</w:t>
      </w:r>
      <w:r>
        <w:t xml:space="preserve"> </w:t>
      </w:r>
      <w:r>
        <w:rPr>
          <w:b/>
          <w:bCs/>
        </w:rPr>
        <w:t xml:space="preserve">E</w:t>
      </w:r>
      <w:r>
        <w:t xml:space="preserve"> </w:t>
      </w:r>
      <w:r>
        <w:t xml:space="preserve">HLA class I LOH clone clearance trajectories — subj 3 (2 loci → 0) and subj 4 (1 locus → 0) shown as bold teal trajectories with filled diamond endpoints; summary box: pre 2 / 16 good → post 0 / 16 (both cleared).</w:t>
      </w:r>
      <w:r>
        <w:t xml:space="preserve"> </w:t>
      </w:r>
      <w:r>
        <w:rPr>
          <w:b/>
          <w:bCs/>
        </w:rPr>
        <w:t xml:space="preserve">F</w:t>
      </w:r>
      <w:r>
        <w:t xml:space="preserve"> </w:t>
      </w:r>
      <w:r>
        <w:t xml:space="preserve">Cascade schematic + convergence-null callout — left half: 6-stage cascade flow (Radiation → Clone clearance → Antigen clearance → Immune reprogramming [Treg ★] → B-cell infiltration → Final TNT response) as rounded-rectangle boxes with downward arrows; right half: boxed convergence-null callout (Q: baseline → cascade Δ? A: big</w:t>
      </w:r>
      <w:r>
        <w:t xml:space="preserve"> </w:t>
      </w:r>
      <w:r>
        <w:t xml:space="preserve">“NO”</w:t>
      </w:r>
      <w:r>
        <w:t xml:space="preserve"> </w:t>
      </w:r>
      <w:r>
        <w:t xml:space="preserve">·</w:t>
      </w:r>
      <w:r>
        <w:t xml:space="preserve"> </w:t>
      </w:r>
      <w:r>
        <w:t xml:space="preserve">“0 / 36 pairs P &lt; 0.05”</w:t>
      </w:r>
      <w:r>
        <w:t xml:space="preserve"> </w:t>
      </w:r>
      <w:r>
        <w:t xml:space="preserve">·</w:t>
      </w:r>
      <w:r>
        <w:t xml:space="preserve"> </w:t>
      </w:r>
      <w:r>
        <w:t xml:space="preserve">“DSB → CD8-cyt r = −0.07”</w:t>
      </w:r>
      <w:r>
        <w:t xml:space="preserve"> </w:t>
      </w:r>
      <w:r>
        <w:t xml:space="preserve">·</w:t>
      </w:r>
      <w:r>
        <w:t xml:space="preserve"> </w:t>
      </w:r>
      <w:r>
        <w:t xml:space="preserve">“Static ⊥ Dynamic (orthogonal, not cascading)”</w:t>
      </w:r>
      <w:r>
        <w:t xml:space="preserve">). The cascade is phenomenology, not a causal downstream of the baseline predictor.</w:t>
      </w:r>
    </w:p>
    <w:p>
      <w:pPr>
        <w:pStyle w:val="Compact"/>
        <w:numPr>
          <w:ilvl w:val="0"/>
          <w:numId w:val="1002"/>
        </w:numPr>
      </w:pPr>
      <w:r>
        <w:rPr>
          <w:b/>
          <w:bCs/>
        </w:rPr>
        <w:t xml:space="preserve">Figure 9.</w:t>
      </w:r>
      <w:r>
        <w:t xml:space="preserve"> </w:t>
      </w:r>
      <w:r>
        <w:t xml:space="preserve">External validation — two-thread regimen-agnostic meta across three regimen strata (§3.12).</w:t>
      </w:r>
      <w:r>
        <w:t xml:space="preserve"> </w:t>
      </w:r>
      <w:r>
        <w:rPr>
          <w:b/>
          <w:bCs/>
        </w:rPr>
        <w:t xml:space="preserve">A</w:t>
      </w:r>
      <w:r>
        <w:t xml:space="preserve"> </w:t>
      </w:r>
      <w:r>
        <w:t xml:space="preserve">Forest combining 5-cohort LC-CRT Thread 1 (DSB, cell-cycle, E2F/MYC, EMT; N = 518) with 6-source Thread 2 CD8-cytotoxic including the Akiyoshi 2023 paper-level row (N = 816).</w:t>
      </w:r>
      <w:r>
        <w:t xml:space="preserve"> </w:t>
      </w:r>
      <w:r>
        <w:rPr>
          <w:b/>
          <w:bCs/>
        </w:rPr>
        <w:t xml:space="preserve">B</w:t>
      </w:r>
      <w:r>
        <w:t xml:space="preserve"> </w:t>
      </w:r>
      <w:r>
        <w:t xml:space="preserve">Signature × cohort effect-size heatmap.</w:t>
      </w:r>
      <w:r>
        <w:t xml:space="preserve"> </w:t>
      </w:r>
      <w:r>
        <w:rPr>
          <w:b/>
          <w:bCs/>
        </w:rPr>
        <w:t xml:space="preserve">C</w:t>
      </w:r>
      <w:r>
        <w:t xml:space="preserve"> </w:t>
      </w:r>
      <w:r>
        <w:t xml:space="preserve">Per-cohort concordance bar.</w:t>
      </w:r>
      <w:r>
        <w:t xml:space="preserve"> </w:t>
      </w:r>
      <w:r>
        <w:rPr>
          <w:b/>
          <w:bCs/>
        </w:rPr>
        <w:t xml:space="preserve">D</w:t>
      </w:r>
      <w:r>
        <w:t xml:space="preserve"> </w:t>
      </w:r>
      <w:r>
        <w:t xml:space="preserve">Discovery vs LC-CRT external effect sizes for both threads, with the chemo-timing axis (our TNT consolidation vs external nCRT concurrent) annotated.</w:t>
      </w:r>
      <w:r>
        <w:t xml:space="preserve"> </w:t>
      </w:r>
      <w:r>
        <w:rPr>
          <w:b/>
          <w:bCs/>
        </w:rPr>
        <w:t xml:space="preserve">E SC-RT-matched external validation head-to-head (new in v0.7.5): per-signature bar of post-TNT Δ(good − bad) in GSE254249 (Gao</w:t>
      </w:r>
      <w:r>
        <w:rPr>
          <w:b/>
          <w:bCs/>
        </w:rPr>
        <w:t xml:space="preserve"> </w:t>
      </w:r>
      <w:r>
        <w:rPr>
          <w:b/>
          <w:bCs/>
          <w:i/>
          <w:iCs/>
        </w:rPr>
        <w:t xml:space="preserve">Cancer Cell</w:t>
      </w:r>
      <w:r>
        <w:rPr>
          <w:b/>
          <w:bCs/>
        </w:rPr>
        <w:t xml:space="preserve"> </w:t>
      </w:r>
      <w:r>
        <w:rPr>
          <w:b/>
          <w:bCs/>
        </w:rPr>
        <w:t xml:space="preserve">2025, N = 8; SC-RT 5 × 5 Gy + FOLFOXIRI) with expected-direction shading; right-margin MW-P annotation (Tcell_infiltration P = 0.036 gold-starred); bottom callout box summarising 7/7 signature concordance with discovery direction (binomial sign P = 0.016) and the three-regimen-stratum regimen-agnostic framing</w:t>
      </w:r>
      <w:r>
        <w:t xml:space="preserve">.</w:t>
      </w:r>
    </w:p>
    <w:bookmarkEnd w:id="43"/>
    <w:bookmarkStart w:id="44" w:name="X8c0915a0f324cfd1ac31be765d100fd2732131d"/>
    <w:p>
      <w:pPr>
        <w:pStyle w:val="Heading2"/>
      </w:pPr>
      <w:r>
        <w:t xml:space="preserve">Supplementary figures — matching</w:t>
      </w:r>
      <w:r>
        <w:t xml:space="preserve"> </w:t>
      </w:r>
      <w:r>
        <w:rPr>
          <w:rStyle w:val="VerbatimChar"/>
        </w:rPr>
        <w:t xml:space="preserve">genome_medicine_submission/supplementary_figures/</w:t>
      </w:r>
    </w:p>
    <w:p>
      <w:pPr>
        <w:pStyle w:val="Compact"/>
        <w:numPr>
          <w:ilvl w:val="0"/>
          <w:numId w:val="1003"/>
        </w:numPr>
      </w:pPr>
      <w:r>
        <w:rPr>
          <w:b/>
          <w:bCs/>
        </w:rPr>
        <w:t xml:space="preserve">Supp Fig S1.</w:t>
      </w:r>
      <w:r>
        <w:t xml:space="preserve"> </w:t>
      </w:r>
      <w:r>
        <w:t xml:space="preserve">Cohort QC.</w:t>
      </w:r>
    </w:p>
    <w:p>
      <w:pPr>
        <w:pStyle w:val="Compact"/>
        <w:numPr>
          <w:ilvl w:val="0"/>
          <w:numId w:val="1003"/>
        </w:numPr>
      </w:pPr>
      <w:r>
        <w:rPr>
          <w:b/>
          <w:bCs/>
        </w:rPr>
        <w:t xml:space="preserve">Supp Fig S2.</w:t>
      </w:r>
      <w:r>
        <w:t xml:space="preserve"> </w:t>
      </w:r>
      <w:r>
        <w:t xml:space="preserve">SBS signature panel.</w:t>
      </w:r>
    </w:p>
    <w:p>
      <w:pPr>
        <w:pStyle w:val="Compact"/>
        <w:numPr>
          <w:ilvl w:val="0"/>
          <w:numId w:val="1003"/>
        </w:numPr>
      </w:pPr>
      <w:r>
        <w:rPr>
          <w:b/>
          <w:bCs/>
        </w:rPr>
        <w:t xml:space="preserve">Supp Fig S3.</w:t>
      </w:r>
      <w:r>
        <w:t xml:space="preserve"> </w:t>
      </w:r>
      <w:r>
        <w:t xml:space="preserve">CNV + HRD detail per subject.</w:t>
      </w:r>
    </w:p>
    <w:p>
      <w:pPr>
        <w:pStyle w:val="Compact"/>
        <w:numPr>
          <w:ilvl w:val="0"/>
          <w:numId w:val="1003"/>
        </w:numPr>
      </w:pPr>
      <w:r>
        <w:rPr>
          <w:b/>
          <w:bCs/>
        </w:rPr>
        <w:t xml:space="preserve">Supp Fig S4.</w:t>
      </w:r>
      <w:r>
        <w:t xml:space="preserve"> </w:t>
      </w:r>
      <w:r>
        <w:t xml:space="preserve">Oncoprint + VAF detail.</w:t>
      </w:r>
    </w:p>
    <w:p>
      <w:pPr>
        <w:pStyle w:val="Compact"/>
        <w:numPr>
          <w:ilvl w:val="0"/>
          <w:numId w:val="1003"/>
        </w:numPr>
      </w:pPr>
      <w:r>
        <w:rPr>
          <w:b/>
          <w:bCs/>
        </w:rPr>
        <w:t xml:space="preserve">Supp Fig S5.</w:t>
      </w:r>
      <w:r>
        <w:t xml:space="preserve"> </w:t>
      </w:r>
      <w:r>
        <w:t xml:space="preserve">Full GSEA supplement (Hallmark + Reactome pathway-level detail beyond the top sets shown in Fig 3A–B; includes a category-level NES boxplot aggregating pathways into DNA-repair / cell-cycle / EMT-stromal / immune / metabolism categories, confirming that the Thread-1 directional coherence — DNA-repair and cell-cycle categories NES &gt; 0, EMT / stromal NES &lt; 0 in eventual good responders — holds at category-level aggregation as well as at individual-pathway level).</w:t>
      </w:r>
    </w:p>
    <w:p>
      <w:pPr>
        <w:pStyle w:val="Compact"/>
        <w:numPr>
          <w:ilvl w:val="0"/>
          <w:numId w:val="1003"/>
        </w:numPr>
      </w:pPr>
      <w:r>
        <w:rPr>
          <w:b/>
          <w:bCs/>
        </w:rPr>
        <w:t xml:space="preserve">Supp Fig S6.</w:t>
      </w:r>
      <w:r>
        <w:t xml:space="preserve"> </w:t>
      </w:r>
      <w:r>
        <w:t xml:space="preserve">ssGSEA + CMS classification detail.</w:t>
      </w:r>
    </w:p>
    <w:p>
      <w:pPr>
        <w:pStyle w:val="Compact"/>
        <w:numPr>
          <w:ilvl w:val="0"/>
          <w:numId w:val="1003"/>
        </w:numPr>
      </w:pPr>
      <w:r>
        <w:rPr>
          <w:b/>
          <w:bCs/>
        </w:rPr>
        <w:t xml:space="preserve">Supp Fig S7.</w:t>
      </w:r>
      <w:r>
        <w:t xml:space="preserve"> </w:t>
      </w:r>
      <w:r>
        <w:t xml:space="preserve">TRUST4 immune repertoire per sample (TCR/BCR diversity).</w:t>
      </w:r>
    </w:p>
    <w:p>
      <w:pPr>
        <w:pStyle w:val="Compact"/>
        <w:numPr>
          <w:ilvl w:val="0"/>
          <w:numId w:val="1003"/>
        </w:numPr>
      </w:pPr>
      <w:r>
        <w:rPr>
          <w:b/>
          <w:bCs/>
        </w:rPr>
        <w:t xml:space="preserve">Supp Fig S8.</w:t>
      </w:r>
      <w:r>
        <w:t xml:space="preserve"> </w:t>
      </w:r>
      <w:r>
        <w:t xml:space="preserve">ML model comparison (LASSO / ElasticNet / RandomForest, 5-scenario nested LOOCV).</w:t>
      </w:r>
      <w:r>
        <w:t xml:space="preserve"> </w:t>
      </w:r>
      <w:r>
        <w:rPr>
          <w:b/>
          <w:bCs/>
        </w:rPr>
        <w:t xml:space="preserve">A</w:t>
      </w:r>
      <w:r>
        <w:t xml:space="preserve"> </w:t>
      </w:r>
      <w:r>
        <w:t xml:space="preserve">AUC bar across five scenarios with 95 % bootstrap CI;</w:t>
      </w:r>
      <w:r>
        <w:t xml:space="preserve"> </w:t>
      </w:r>
      <w:r>
        <w:rPr>
          <w:b/>
          <w:bCs/>
        </w:rPr>
        <w:t xml:space="preserve">B</w:t>
      </w:r>
      <w:r>
        <w:t xml:space="preserve"> </w:t>
      </w:r>
      <w:r>
        <w:t xml:space="preserve">ROC overlay for all five scenarios;</w:t>
      </w:r>
      <w:r>
        <w:t xml:space="preserve"> </w:t>
      </w:r>
      <w:r>
        <w:rPr>
          <w:b/>
          <w:bCs/>
        </w:rPr>
        <w:t xml:space="preserve">C</w:t>
      </w:r>
      <w:r>
        <w:t xml:space="preserve"> </w:t>
      </w:r>
      <w:r>
        <w:t xml:space="preserve">per-subject predicted P(good) for the winning drop-CD8-proliferation ElasticNet (previously Fig 5F) — bars coloured by true label, 0.5 threshold annotated, misclassified subjects marked for per-patient transparency. The threshold-free AUC in Fig 5B is the load-bearing performance metric; the 0.5-threshold accuracy is provided here for reviewer reference but is not the headline claim.</w:t>
      </w:r>
    </w:p>
    <w:p>
      <w:pPr>
        <w:pStyle w:val="Compact"/>
        <w:numPr>
          <w:ilvl w:val="0"/>
          <w:numId w:val="1003"/>
        </w:numPr>
      </w:pPr>
      <w:r>
        <w:rPr>
          <w:b/>
          <w:bCs/>
        </w:rPr>
        <w:t xml:space="preserve">Supp Fig S9.</w:t>
      </w:r>
      <w:r>
        <w:t xml:space="preserve"> </w:t>
      </w:r>
      <w:r>
        <w:t xml:space="preserve">GEO cohorts overview + CONSORT-style 9 → 5 primary + 4 excluded exclusion diagram.</w:t>
      </w:r>
    </w:p>
    <w:p>
      <w:pPr>
        <w:pStyle w:val="Compact"/>
        <w:numPr>
          <w:ilvl w:val="0"/>
          <w:numId w:val="1003"/>
        </w:numPr>
      </w:pPr>
      <w:r>
        <w:rPr>
          <w:b/>
          <w:bCs/>
        </w:rPr>
        <w:t xml:space="preserve">Supp Fig S10.</w:t>
      </w:r>
      <w:r>
        <w:t xml:space="preserve"> </w:t>
      </w:r>
      <w:r>
        <w:t xml:space="preserve">HLA/neoantigen detail.</w:t>
      </w:r>
    </w:p>
    <w:p>
      <w:pPr>
        <w:pStyle w:val="Compact"/>
        <w:numPr>
          <w:ilvl w:val="0"/>
          <w:numId w:val="1003"/>
        </w:numPr>
      </w:pPr>
      <w:r>
        <w:rPr>
          <w:b/>
          <w:bCs/>
        </w:rPr>
        <w:t xml:space="preserve">Supp Fig S11.</w:t>
      </w:r>
      <w:r>
        <w:t xml:space="preserve"> </w:t>
      </w:r>
      <w:r>
        <w:t xml:space="preserve">PyClone-VI diagnostics.</w:t>
      </w:r>
    </w:p>
    <w:p>
      <w:pPr>
        <w:pStyle w:val="Compact"/>
        <w:numPr>
          <w:ilvl w:val="0"/>
          <w:numId w:val="1003"/>
        </w:numPr>
      </w:pPr>
      <w:r>
        <w:rPr>
          <w:b/>
          <w:bCs/>
        </w:rPr>
        <w:t xml:space="preserve">Supp Fig S12.</w:t>
      </w:r>
      <w:r>
        <w:t xml:space="preserve"> </w:t>
      </w:r>
      <w:r>
        <w:t xml:space="preserve">Sample-flow CONSORT diagram.</w:t>
      </w:r>
    </w:p>
    <w:p>
      <w:pPr>
        <w:pStyle w:val="Compact"/>
        <w:numPr>
          <w:ilvl w:val="0"/>
          <w:numId w:val="1003"/>
        </w:numPr>
      </w:pPr>
      <w:r>
        <w:rPr>
          <w:b/>
          <w:bCs/>
        </w:rPr>
        <w:t xml:space="preserve">Supp Fig S13.</w:t>
      </w:r>
      <w:r>
        <w:t xml:space="preserve"> </w:t>
      </w:r>
      <w:r>
        <w:t xml:space="preserve">HLA-LOH strict vs lite, subj 3 and 4 pre→post resolution.</w:t>
      </w:r>
    </w:p>
    <w:p>
      <w:pPr>
        <w:pStyle w:val="Compact"/>
        <w:numPr>
          <w:ilvl w:val="0"/>
          <w:numId w:val="1003"/>
        </w:numPr>
      </w:pPr>
      <w:r>
        <w:rPr>
          <w:b/>
          <w:bCs/>
        </w:rPr>
        <w:t xml:space="preserve">Supp Fig S14.</w:t>
      </w:r>
      <w:r>
        <w:t xml:space="preserve"> </w:t>
      </w:r>
      <w:r>
        <w:t xml:space="preserve">Per-patient clinical waterfall.</w:t>
      </w:r>
    </w:p>
    <w:p>
      <w:pPr>
        <w:pStyle w:val="Compact"/>
        <w:numPr>
          <w:ilvl w:val="0"/>
          <w:numId w:val="1003"/>
        </w:numPr>
      </w:pPr>
      <w:r>
        <w:rPr>
          <w:b/>
          <w:bCs/>
        </w:rPr>
        <w:t xml:space="preserve">Supp Fig S15.</w:t>
      </w:r>
      <w:r>
        <w:t xml:space="preserve"> </w:t>
      </w:r>
      <w:r>
        <w:t xml:space="preserve">HLA class I landscape and MHC-I neoantigen cascade (§3.6–3.7; downgraded from main Fig 8 in v0.7.3 because all between-group claims in this panel are anecdotal or trend-level at n ≤ 16 versus the load-bearing claims of the paper).</w:t>
      </w:r>
      <w:r>
        <w:t xml:space="preserve"> </w:t>
      </w:r>
      <w:r>
        <w:rPr>
          <w:b/>
          <w:bCs/>
        </w:rPr>
        <w:t xml:space="preserve">A</w:t>
      </w:r>
      <w:r>
        <w:t xml:space="preserve"> </w:t>
      </w:r>
      <w:r>
        <w:t xml:space="preserve">HLA allele frequency;</w:t>
      </w:r>
      <w:r>
        <w:t xml:space="preserve"> </w:t>
      </w:r>
      <w:r>
        <w:rPr>
          <w:b/>
          <w:bCs/>
        </w:rPr>
        <w:t xml:space="preserve">B</w:t>
      </w:r>
      <w:r>
        <w:t xml:space="preserve"> </w:t>
      </w:r>
      <w:r>
        <w:t xml:space="preserve">HLA homozygosity by response;</w:t>
      </w:r>
      <w:r>
        <w:t xml:space="preserve"> </w:t>
      </w:r>
      <w:r>
        <w:rPr>
          <w:b/>
          <w:bCs/>
        </w:rPr>
        <w:t xml:space="preserve">C</w:t>
      </w:r>
      <w:r>
        <w:t xml:space="preserve"> </w:t>
      </w:r>
      <w:r>
        <w:t xml:space="preserve">HLA-LOH strict (Bonferroni Fisher P = 0.49) vs lite (uncorrected) comparison;</w:t>
      </w:r>
      <w:r>
        <w:t xml:space="preserve"> </w:t>
      </w:r>
      <w:r>
        <w:rPr>
          <w:b/>
          <w:bCs/>
        </w:rPr>
        <w:t xml:space="preserve">D</w:t>
      </w:r>
      <w:r>
        <w:t xml:space="preserve"> </w:t>
      </w:r>
      <w:r>
        <w:t xml:space="preserve">pre-CRT neoantigen burden by response;</w:t>
      </w:r>
      <w:r>
        <w:t xml:space="preserve"> </w:t>
      </w:r>
      <w:r>
        <w:rPr>
          <w:b/>
          <w:bCs/>
        </w:rPr>
        <w:t xml:space="preserve">E</w:t>
      </w:r>
      <w:r>
        <w:t xml:space="preserve"> </w:t>
      </w:r>
      <w:r>
        <w:t xml:space="preserve">paired Δ binders (n = 11, within-good but not between-group);</w:t>
      </w:r>
      <w:r>
        <w:t xml:space="preserve"> </w:t>
      </w:r>
      <w:r>
        <w:rPr>
          <w:b/>
          <w:bCs/>
        </w:rPr>
        <w:t xml:space="preserve">F</w:t>
      </w:r>
      <w:r>
        <w:t xml:space="preserve"> </w:t>
      </w:r>
      <w:r>
        <w:t xml:space="preserve">per-subject neoantigen lollipop.</w:t>
      </w:r>
    </w:p>
    <w:p>
      <w:pPr>
        <w:pStyle w:val="Compact"/>
        <w:numPr>
          <w:ilvl w:val="0"/>
          <w:numId w:val="1003"/>
        </w:numPr>
      </w:pPr>
      <w:r>
        <w:rPr>
          <w:b/>
          <w:bCs/>
        </w:rPr>
        <w:t xml:space="preserve">Supp Fig S16.</w:t>
      </w:r>
      <w:r>
        <w:t xml:space="preserve"> </w:t>
      </w:r>
      <w:r>
        <w:t xml:space="preserve">PyClone-VI clonal evolution during the radiation phase (§3.11; downgraded from main Fig 9 in v0.7.3 because dominant-clone shrinkage good vs bad MW P = 0.34 is trend-level at n = 12).</w:t>
      </w:r>
      <w:r>
        <w:t xml:space="preserve"> </w:t>
      </w:r>
      <w:r>
        <w:rPr>
          <w:b/>
          <w:bCs/>
        </w:rPr>
        <w:t xml:space="preserve">A</w:t>
      </w:r>
      <w:r>
        <w:t xml:space="preserve"> </w:t>
      </w:r>
      <w:r>
        <w:t xml:space="preserve">Per-subject clone-cluster CCF trajectories pre→post;</w:t>
      </w:r>
      <w:r>
        <w:t xml:space="preserve"> </w:t>
      </w:r>
      <w:r>
        <w:rPr>
          <w:b/>
          <w:bCs/>
        </w:rPr>
        <w:t xml:space="preserve">B</w:t>
      </w:r>
      <w:r>
        <w:t xml:space="preserve"> </w:t>
      </w:r>
      <w:r>
        <w:t xml:space="preserve">CCF pre vs post scatter coloured by clone cluster;</w:t>
      </w:r>
      <w:r>
        <w:t xml:space="preserve"> </w:t>
      </w:r>
      <w:r>
        <w:rPr>
          <w:b/>
          <w:bCs/>
        </w:rPr>
        <w:t xml:space="preserve">C</w:t>
      </w:r>
      <w:r>
        <w:t xml:space="preserve"> </w:t>
      </w:r>
      <w:r>
        <w:t xml:space="preserve">cluster composition stack;</w:t>
      </w:r>
      <w:r>
        <w:t xml:space="preserve"> </w:t>
      </w:r>
      <w:r>
        <w:rPr>
          <w:b/>
          <w:bCs/>
        </w:rPr>
        <w:t xml:space="preserve">D</w:t>
      </w:r>
      <w:r>
        <w:t xml:space="preserve"> </w:t>
      </w:r>
      <w:r>
        <w:t xml:space="preserve">dominant-clone shrinkage Δ by response;</w:t>
      </w:r>
      <w:r>
        <w:t xml:space="preserve"> </w:t>
      </w:r>
      <w:r>
        <w:rPr>
          <w:b/>
          <w:bCs/>
        </w:rPr>
        <w:t xml:space="preserve">E</w:t>
      </w:r>
      <w:r>
        <w:t xml:space="preserve"> </w:t>
      </w:r>
      <w:r>
        <w:t xml:space="preserve">shrink versus expand scatter;</w:t>
      </w:r>
      <w:r>
        <w:t xml:space="preserve"> </w:t>
      </w:r>
      <w:r>
        <w:rPr>
          <w:b/>
          <w:bCs/>
        </w:rPr>
        <w:t xml:space="preserve">F</w:t>
      </w:r>
      <w:r>
        <w:t xml:space="preserve"> </w:t>
      </w:r>
      <w:r>
        <w:t xml:space="preserve">clone-fate composition by response.</w:t>
      </w:r>
    </w:p>
    <w:p>
      <w:pPr>
        <w:pStyle w:val="Compact"/>
        <w:numPr>
          <w:ilvl w:val="0"/>
          <w:numId w:val="1003"/>
        </w:numPr>
      </w:pPr>
      <w:r>
        <w:rPr>
          <w:b/>
          <w:bCs/>
        </w:rPr>
        <w:t xml:space="preserve">Supp Fig S17.</w:t>
      </w:r>
      <w:r>
        <w:t xml:space="preserve"> </w:t>
      </w:r>
      <w:r>
        <w:t xml:space="preserve">Target-engagement member-pathway detail (Fig 6 companion; §3.9).</w:t>
      </w:r>
      <w:r>
        <w:t xml:space="preserve"> </w:t>
      </w:r>
      <w:r>
        <w:rPr>
          <w:b/>
          <w:bCs/>
        </w:rPr>
        <w:t xml:space="preserve">A</w:t>
      </w:r>
      <w:r>
        <w:t xml:space="preserve"> </w:t>
      </w:r>
      <w:r>
        <w:t xml:space="preserve">17-row member-level sign-count bar (4 composites + 13 member pathways × good/bad counts, central 0-line with bars extending left for bad and right for good).</w:t>
      </w:r>
      <w:r>
        <w:t xml:space="preserve"> </w:t>
      </w:r>
      <w:r>
        <w:rPr>
          <w:b/>
          <w:bCs/>
        </w:rPr>
        <w:t xml:space="preserve">B</w:t>
      </w:r>
      <w:r>
        <w:t xml:space="preserve"> </w:t>
      </w:r>
      <w:r>
        <w:t xml:space="preserve">Per-subject Δ heatmap (17 signatures × 12 paired subjects, grouped good | bad with bold divider; cells coloured by re-oriented Δ, teal = predicted direction, coral = opposite).</w:t>
      </w:r>
    </w:p>
    <w:p>
      <w:pPr>
        <w:pStyle w:val="Compact"/>
        <w:numPr>
          <w:ilvl w:val="0"/>
          <w:numId w:val="1003"/>
        </w:numPr>
      </w:pPr>
      <w:r>
        <w:rPr>
          <w:b/>
          <w:bCs/>
        </w:rPr>
        <w:t xml:space="preserve">Supp Fig S18.</w:t>
      </w:r>
      <w:r>
        <w:t xml:space="preserve"> </w:t>
      </w:r>
      <w:r>
        <w:t xml:space="preserve">IGH V-gene directional coherence — full detail (Fig 7 companion; §3.10).</w:t>
      </w:r>
      <w:r>
        <w:t xml:space="preserve"> </w:t>
      </w:r>
      <w:r>
        <w:rPr>
          <w:b/>
          <w:bCs/>
        </w:rPr>
        <w:t xml:space="preserve">A</w:t>
      </w:r>
      <w:r>
        <w:t xml:space="preserve"> </w:t>
      </w:r>
      <w:r>
        <w:t xml:space="preserve">Full 53-V-gene forest ordered by coherence_gap descending — per-V-gene good-count bar (right) + bad-count bar (left) off a central zero axis; per-V-gene Fisher P on far right (gold if ≤ 0.10); pattern-class chip in margin; focus V-genes (IGHV6-1, IGHV3-7, IGHV3-74) starred and gold-highlighted.</w:t>
      </w:r>
      <w:r>
        <w:t xml:space="preserve"> </w:t>
      </w:r>
      <w:r>
        <w:rPr>
          <w:b/>
          <w:bCs/>
        </w:rPr>
        <w:t xml:space="preserve">B</w:t>
      </w:r>
      <w:r>
        <w:t xml:space="preserve"> </w:t>
      </w:r>
      <w:r>
        <w:t xml:space="preserve">Pattern-class scatter map with all 53 V-gene names labelled, y = x diagonal reference, pattern-class legend — functions as a lookup for the Panel A forest.</w:t>
      </w:r>
    </w:p>
    <w:p>
      <w:pPr>
        <w:pStyle w:val="Compact"/>
        <w:numPr>
          <w:ilvl w:val="0"/>
          <w:numId w:val="1003"/>
        </w:numPr>
      </w:pPr>
      <w:r>
        <w:rPr>
          <w:b/>
          <w:bCs/>
        </w:rPr>
        <w:t xml:space="preserve">Supp Fig S19.</w:t>
      </w:r>
      <w:r>
        <w:t xml:space="preserve"> </w:t>
      </w:r>
      <w:r>
        <w:t xml:space="preserve">External-validation sensitivity analyses (Fig 9 companion; §3.12).</w:t>
      </w:r>
      <w:r>
        <w:t xml:space="preserve"> </w:t>
      </w:r>
      <w:r>
        <w:rPr>
          <w:b/>
          <w:bCs/>
        </w:rPr>
        <w:t xml:space="preserve">A</w:t>
      </w:r>
      <w:r>
        <w:t xml:space="preserve"> </w:t>
      </w:r>
      <w:r>
        <w:t xml:space="preserve">9-cohort unrestricted sensitivity meta forest: 7 signatures each shown as paired 5-cohort solid diamond + 9-cohort hollow diamond, demonstrating that the 5-cohort restriction sharpens the pooled Z without artificially inflating any signal.</w:t>
      </w:r>
      <w:r>
        <w:t xml:space="preserve"> </w:t>
      </w:r>
      <w:r>
        <w:rPr>
          <w:b/>
          <w:bCs/>
        </w:rPr>
        <w:t xml:space="preserve">B</w:t>
      </w:r>
      <w:r>
        <w:t xml:space="preserve"> </w:t>
      </w:r>
      <w:r>
        <w:t xml:space="preserve">Akiyoshi 2023 alternative-statistic sensitivity: 4 alternative published statistics (cytolytic activity ★ primary, effector-memory CD8 ssGSEA, MCP-counter cytotoxic lymphocyte, activated CD8 ssGSEA) each combined with the 5-cohort CD8 pool — all four yield 6-source Z &gt; +2.15 and P &lt; 0.05 (primary Z = +3.29, P &lt; 0.001).</w:t>
      </w:r>
    </w:p>
    <w:p>
      <w:pPr>
        <w:pStyle w:val="Compact"/>
        <w:numPr>
          <w:ilvl w:val="0"/>
          <w:numId w:val="1003"/>
        </w:numPr>
      </w:pPr>
      <w:r>
        <w:rPr>
          <w:b/>
          <w:bCs/>
        </w:rPr>
        <w:t xml:space="preserve">Supp Fig S20.</w:t>
      </w:r>
      <w:r>
        <w:t xml:space="preserve"> </w:t>
      </w:r>
      <w:r>
        <w:t xml:space="preserve">Convergence-null detail (Fig 8 companion; §3.11).</w:t>
      </w:r>
      <w:r>
        <w:t xml:space="preserve"> </w:t>
      </w:r>
      <w:r>
        <w:rPr>
          <w:b/>
          <w:bCs/>
        </w:rPr>
        <w:t xml:space="preserve">A</w:t>
      </w:r>
      <w:r>
        <w:t xml:space="preserve"> </w:t>
      </w:r>
      <w:r>
        <w:t xml:space="preserve">36-pair convergence-test scatter sorted by |Spearman r| descending, per-pair lollipop with dot at r, dashed P = 0.05 reference at |r| ≈ 0.58; big</w:t>
      </w:r>
      <w:r>
        <w:t xml:space="preserve"> </w:t>
      </w:r>
      <w:r>
        <w:t xml:space="preserve">“0 / 36 pairs P &lt; 0.05”</w:t>
      </w:r>
      <w:r>
        <w:t xml:space="preserve"> </w:t>
      </w:r>
      <w:r>
        <w:t xml:space="preserve">callout.</w:t>
      </w:r>
      <w:r>
        <w:t xml:space="preserve"> </w:t>
      </w:r>
      <w:r>
        <w:rPr>
          <w:b/>
          <w:bCs/>
        </w:rPr>
        <w:t xml:space="preserve">B</w:t>
      </w:r>
      <w:r>
        <w:t xml:space="preserve"> </w:t>
      </w:r>
      <w:r>
        <w:t xml:space="preserve">Purity-adjusted paired Δ sensitivity — Δ before vs after CNVkit tumor-purity correction for the 4 key cascade features (Treg, MHC-II, CD8 exhaustion, IGH_n) to confirm cascade observations are not driven by biopsy purity shifts.</w:t>
      </w:r>
    </w:p>
    <w:p>
      <w:pPr>
        <w:pStyle w:val="Compact"/>
        <w:numPr>
          <w:ilvl w:val="0"/>
          <w:numId w:val="1003"/>
        </w:numPr>
      </w:pPr>
      <w:r>
        <w:rPr>
          <w:b/>
          <w:bCs/>
        </w:rPr>
        <w:t xml:space="preserve">Supp Fig S21 (new in v0.7.5).</w:t>
      </w:r>
      <w:r>
        <w:t xml:space="preserve"> </w:t>
      </w:r>
      <w:r>
        <w:t xml:space="preserve">GSE254249 SC-RT-matched external validation full detail (Fig 9E companion; §3.12.2).</w:t>
      </w:r>
      <w:r>
        <w:t xml:space="preserve"> </w:t>
      </w:r>
      <w:r>
        <w:rPr>
          <w:b/>
          <w:bCs/>
        </w:rPr>
        <w:t xml:space="preserve">A</w:t>
      </w:r>
      <w:r>
        <w:t xml:space="preserve"> </w:t>
      </w:r>
      <w:r>
        <w:t xml:space="preserve">Pre-treatment × response per-signature boxplot (n = 3, 1 good + 2 bad; directional-only given N).</w:t>
      </w:r>
      <w:r>
        <w:t xml:space="preserve"> </w:t>
      </w:r>
      <w:r>
        <w:rPr>
          <w:b/>
          <w:bCs/>
        </w:rPr>
        <w:t xml:space="preserve">B</w:t>
      </w:r>
      <w:r>
        <w:t xml:space="preserve"> </w:t>
      </w:r>
      <w:r>
        <w:t xml:space="preserve">Post-TNT × response per-signature boxplot (n = 8, 5 good CR + 3 non-CR) — the primary SC-RT validation panel with Mann–Whitney P annotated per signature.</w:t>
      </w:r>
      <w:r>
        <w:t xml:space="preserve"> </w:t>
      </w:r>
      <w:r>
        <w:rPr>
          <w:b/>
          <w:bCs/>
        </w:rPr>
        <w:t xml:space="preserve">C</w:t>
      </w:r>
      <w:r>
        <w:t xml:space="preserve"> </w:t>
      </w:r>
      <w:r>
        <w:t xml:space="preserve">Paired Δ(post − pre) slopegraph per signature (3 paired subjects) — Thread 1 DSB/cellcycle/E2F/MYC DOWN matching discovery’s target-engagement prediction, EMT UP directional; Thread 2 DOWN in the post-TNT window, plausibly reflecting FOLFOXIRI-era triple-chemo immunosuppression distinct from our FOLFOX/CAPOX context. Source:</w:t>
      </w:r>
      <w:r>
        <w:t xml:space="preserve"> </w:t>
      </w:r>
      <w:r>
        <w:rPr>
          <w:rStyle w:val="VerbatimChar"/>
        </w:rPr>
        <w:t xml:space="preserve">260418_add/Fig_GSE254249_{pre_boxplot,post_boxplot,paired_delta}.{pdf,png}</w:t>
      </w:r>
      <w:r>
        <w:t xml:space="preserve">.</w:t>
      </w:r>
    </w:p>
    <w:bookmarkEnd w:id="44"/>
    <w:bookmarkStart w:id="45" w:name="supplementary-text"/>
    <w:p>
      <w:pPr>
        <w:pStyle w:val="Heading2"/>
      </w:pPr>
      <w:r>
        <w:t xml:space="preserve">Supplementary text</w:t>
      </w:r>
    </w:p>
    <w:p>
      <w:pPr>
        <w:pStyle w:val="Compact"/>
        <w:numPr>
          <w:ilvl w:val="0"/>
          <w:numId w:val="1004"/>
        </w:numPr>
      </w:pPr>
      <w:r>
        <w:rPr>
          <w:b/>
          <w:bCs/>
        </w:rPr>
        <w:t xml:space="preserve">Supp Text S1.</w:t>
      </w:r>
      <w:r>
        <w:t xml:space="preserve"> </w:t>
      </w:r>
      <w:r>
        <w:t xml:space="preserve">Extended sequencing methods.</w:t>
      </w:r>
    </w:p>
    <w:p>
      <w:pPr>
        <w:pStyle w:val="Compact"/>
        <w:numPr>
          <w:ilvl w:val="0"/>
          <w:numId w:val="1004"/>
        </w:numPr>
      </w:pPr>
      <w:r>
        <w:rPr>
          <w:b/>
          <w:bCs/>
        </w:rPr>
        <w:t xml:space="preserve">Supp Text S2.</w:t>
      </w:r>
      <w:r>
        <w:t xml:space="preserve"> </w:t>
      </w:r>
      <w:r>
        <w:t xml:space="preserve">Nested-CV pipeline and 5-scenario ablation details.</w:t>
      </w:r>
    </w:p>
    <w:p>
      <w:pPr>
        <w:pStyle w:val="Compact"/>
        <w:numPr>
          <w:ilvl w:val="0"/>
          <w:numId w:val="1004"/>
        </w:numPr>
      </w:pPr>
      <w:r>
        <w:rPr>
          <w:b/>
          <w:bCs/>
        </w:rPr>
        <w:t xml:space="preserve">Supp Text S3.</w:t>
      </w:r>
      <w:r>
        <w:t xml:space="preserve"> </w:t>
      </w:r>
      <w:r>
        <w:t xml:space="preserve">Signature composition audit — CD8 proliferation cell-cycle contamination and response-label classifier bug; corrected pure CD8-cytotoxic panel.</w:t>
      </w:r>
    </w:p>
    <w:p>
      <w:pPr>
        <w:pStyle w:val="Compact"/>
        <w:numPr>
          <w:ilvl w:val="0"/>
          <w:numId w:val="1004"/>
        </w:numPr>
      </w:pPr>
      <w:r>
        <w:rPr>
          <w:b/>
          <w:bCs/>
        </w:rPr>
        <w:t xml:space="preserve">Supp Text S4.</w:t>
      </w:r>
      <w:r>
        <w:t xml:space="preserve"> </w:t>
      </w:r>
      <w:r>
        <w:t xml:space="preserve">Sensitivity analyses — tumor-purity-adjusted paired Δ; BH FDR across cascade claims; drop-cohort leave-one-out meta; full-9-cohort vs restricted-5-cohort side-by-side.</w:t>
      </w:r>
    </w:p>
    <w:p>
      <w:pPr>
        <w:pStyle w:val="Compact"/>
        <w:numPr>
          <w:ilvl w:val="0"/>
          <w:numId w:val="1004"/>
        </w:numPr>
      </w:pPr>
      <w:r>
        <w:rPr>
          <w:b/>
          <w:bCs/>
        </w:rPr>
        <w:t xml:space="preserve">Supp Text S5.</w:t>
      </w:r>
      <w:r>
        <w:t xml:space="preserve"> </w:t>
      </w:r>
      <w:r>
        <w:t xml:space="preserve">Magnitude versus directional-consistency test duality — worked example on IGHV3-7 / IGHV3-74 / IGHV6-1 showing that Wilcoxon / MW on Δ and binomial sign / Fisher on up-down counts test non-identical features of the paired data, and that for small-N paired designs both must be reported.</w:t>
      </w:r>
    </w:p>
    <w:p>
      <w:pPr>
        <w:pStyle w:val="Compact"/>
        <w:numPr>
          <w:ilvl w:val="0"/>
          <w:numId w:val="1004"/>
        </w:numPr>
      </w:pPr>
      <w:r>
        <w:rPr>
          <w:b/>
          <w:bCs/>
        </w:rPr>
        <w:t xml:space="preserve">Supp Text S6 (new in v0.7.5).</w:t>
      </w:r>
      <w:r>
        <w:t xml:space="preserve"> </w:t>
      </w:r>
      <w:r>
        <w:t xml:space="preserve">SC-RT external validation search log and non-public translational-data landscape — comprehensive GEO / ArrayExpress / EGA / GSA-Human / CNGBdb search for SC-RT-TNT transcriptomic cohorts (2026-04-20), identifying GSE254249 (Gao 2025) as the single public candidate and cataloguing non-public SC-RT-TNT translational arms (RAPIDO, Stockholm III, Polish II, STELLAR, STELLAR II, UNION, SPRING-01, LARCT-US) as consortium-controlled future validation targets. Source:</w:t>
      </w:r>
      <w:r>
        <w:t xml:space="preserve"> </w:t>
      </w:r>
      <w:r>
        <w:rPr>
          <w:rStyle w:val="VerbatimChar"/>
        </w:rPr>
        <w:t xml:space="preserve">260418_add/SCRT_external_search.md</w:t>
      </w:r>
      <w:r>
        <w:t xml:space="preserve"> </w:t>
      </w:r>
      <w:r>
        <w:t xml:space="preserve">and</w:t>
      </w:r>
      <w:r>
        <w:t xml:space="preserve"> </w:t>
      </w:r>
      <w:r>
        <w:rPr>
          <w:rStyle w:val="VerbatimChar"/>
        </w:rPr>
        <w:t xml:space="preserve">GSE254249_SUMMARY.md</w:t>
      </w:r>
      <w:r>
        <w:t xml:space="preserve">.</w:t>
      </w:r>
    </w:p>
    <w:bookmarkEnd w:id="45"/>
    <w:bookmarkStart w:id="46" w:name="Xa8f37d083634dca5fe4ed1fdcbfa6008954068f"/>
    <w:p>
      <w:pPr>
        <w:pStyle w:val="Heading2"/>
      </w:pPr>
      <w:r>
        <w:t xml:space="preserve">Tables — materialised in</w:t>
      </w:r>
      <w:r>
        <w:t xml:space="preserve"> </w:t>
      </w:r>
      <w:r>
        <w:rPr>
          <w:rStyle w:val="VerbatimChar"/>
        </w:rPr>
        <w:t xml:space="preserve">genome_medicine_submission/tables/</w:t>
      </w:r>
    </w:p>
    <w:p>
      <w:pPr>
        <w:pStyle w:val="Compact"/>
        <w:numPr>
          <w:ilvl w:val="0"/>
          <w:numId w:val="1005"/>
        </w:numPr>
      </w:pPr>
      <w:r>
        <w:rPr>
          <w:b/>
          <w:bCs/>
        </w:rPr>
        <w:t xml:space="preserve">Table 1.</w:t>
      </w:r>
      <w:r>
        <w:t xml:space="preserve"> </w:t>
      </w:r>
      <w:r>
        <w:t xml:space="preserve">Clinical characteristics by response.</w:t>
      </w:r>
    </w:p>
    <w:p>
      <w:pPr>
        <w:pStyle w:val="Compact"/>
        <w:numPr>
          <w:ilvl w:val="0"/>
          <w:numId w:val="1005"/>
        </w:numPr>
      </w:pPr>
      <w:r>
        <w:rPr>
          <w:b/>
          <w:bCs/>
        </w:rPr>
        <w:t xml:space="preserve">Table 2.</w:t>
      </w:r>
      <w:r>
        <w:t xml:space="preserve"> </w:t>
      </w:r>
      <w:r>
        <w:t xml:space="preserve">Top 20 integrated-feature associations.</w:t>
      </w:r>
    </w:p>
    <w:p>
      <w:pPr>
        <w:pStyle w:val="Compact"/>
        <w:numPr>
          <w:ilvl w:val="0"/>
          <w:numId w:val="1005"/>
        </w:numPr>
      </w:pPr>
      <w:r>
        <w:rPr>
          <w:b/>
          <w:bCs/>
        </w:rPr>
        <w:t xml:space="preserve">Table 3.</w:t>
      </w:r>
      <w:r>
        <w:t xml:space="preserve"> </w:t>
      </w:r>
      <w:r>
        <w:t xml:space="preserve">External-validation meta summary (Thread 1 + Thread 2 in restricted 5-cohort + Akiyoshi augmented CD8 row).</w:t>
      </w:r>
    </w:p>
    <w:p>
      <w:pPr>
        <w:pStyle w:val="Compact"/>
        <w:numPr>
          <w:ilvl w:val="0"/>
          <w:numId w:val="1005"/>
        </w:numPr>
      </w:pPr>
      <w:r>
        <w:rPr>
          <w:b/>
          <w:bCs/>
        </w:rPr>
        <w:t xml:space="preserve">Table S1.</w:t>
      </w:r>
      <w:r>
        <w:t xml:space="preserve"> </w:t>
      </w:r>
      <w:r>
        <w:t xml:space="preserve">36-feature per-subject master table (CD8 proliferation removed).</w:t>
      </w:r>
    </w:p>
    <w:p>
      <w:pPr>
        <w:pStyle w:val="Compact"/>
        <w:numPr>
          <w:ilvl w:val="0"/>
          <w:numId w:val="1005"/>
        </w:numPr>
      </w:pPr>
      <w:r>
        <w:rPr>
          <w:b/>
          <w:bCs/>
        </w:rPr>
        <w:t xml:space="preserve">Table S2.</w:t>
      </w:r>
      <w:r>
        <w:t xml:space="preserve"> </w:t>
      </w:r>
      <w:r>
        <w:t xml:space="preserve">SBS signature activities.</w:t>
      </w:r>
    </w:p>
    <w:p>
      <w:pPr>
        <w:pStyle w:val="Compact"/>
        <w:numPr>
          <w:ilvl w:val="0"/>
          <w:numId w:val="1005"/>
        </w:numPr>
      </w:pPr>
      <w:r>
        <w:rPr>
          <w:b/>
          <w:bCs/>
        </w:rPr>
        <w:t xml:space="preserve">Table S3.</w:t>
      </w:r>
      <w:r>
        <w:t xml:space="preserve"> </w:t>
      </w:r>
      <w:r>
        <w:t xml:space="preserve">Full GSEA Hallmark + Reactome.</w:t>
      </w:r>
    </w:p>
    <w:p>
      <w:pPr>
        <w:pStyle w:val="Compact"/>
        <w:numPr>
          <w:ilvl w:val="0"/>
          <w:numId w:val="1005"/>
        </w:numPr>
      </w:pPr>
      <w:r>
        <w:rPr>
          <w:b/>
          <w:bCs/>
        </w:rPr>
        <w:t xml:space="preserve">Table S4.</w:t>
      </w:r>
      <w:r>
        <w:t xml:space="preserve"> </w:t>
      </w:r>
      <w:r>
        <w:t xml:space="preserve">CRC driver mutations per sample.</w:t>
      </w:r>
    </w:p>
    <w:p>
      <w:pPr>
        <w:pStyle w:val="Compact"/>
        <w:numPr>
          <w:ilvl w:val="0"/>
          <w:numId w:val="1005"/>
        </w:numPr>
      </w:pPr>
      <w:r>
        <w:rPr>
          <w:b/>
          <w:bCs/>
        </w:rPr>
        <w:t xml:space="preserve">Table S5.</w:t>
      </w:r>
      <w:r>
        <w:t xml:space="preserve"> </w:t>
      </w:r>
      <w:r>
        <w:t xml:space="preserve">HLA class I types per subject.</w:t>
      </w:r>
    </w:p>
    <w:p>
      <w:pPr>
        <w:pStyle w:val="Compact"/>
        <w:numPr>
          <w:ilvl w:val="0"/>
          <w:numId w:val="1005"/>
        </w:numPr>
      </w:pPr>
      <w:r>
        <w:rPr>
          <w:b/>
          <w:bCs/>
        </w:rPr>
        <w:t xml:space="preserve">Table S6.</w:t>
      </w:r>
      <w:r>
        <w:t xml:space="preserve"> </w:t>
      </w:r>
      <w:r>
        <w:t xml:space="preserve">pVACseq neoantigen per-sample detail.</w:t>
      </w:r>
    </w:p>
    <w:p>
      <w:pPr>
        <w:pStyle w:val="Compact"/>
        <w:numPr>
          <w:ilvl w:val="0"/>
          <w:numId w:val="1005"/>
        </w:numPr>
      </w:pPr>
      <w:r>
        <w:rPr>
          <w:b/>
          <w:bCs/>
        </w:rPr>
        <w:t xml:space="preserve">Table S7A.</w:t>
      </w:r>
      <w:r>
        <w:t xml:space="preserve"> </w:t>
      </w:r>
      <w:r>
        <w:t xml:space="preserve">External validation per-cohort detail — 9-cohort sensitivity meta.</w:t>
      </w:r>
    </w:p>
    <w:p>
      <w:pPr>
        <w:pStyle w:val="Compact"/>
        <w:numPr>
          <w:ilvl w:val="0"/>
          <w:numId w:val="1005"/>
        </w:numPr>
      </w:pPr>
      <w:r>
        <w:rPr>
          <w:b/>
          <w:bCs/>
        </w:rPr>
        <w:t xml:space="preserve">Table S7B.</w:t>
      </w:r>
      <w:r>
        <w:t xml:space="preserve"> </w:t>
      </w:r>
      <w:r>
        <w:t xml:space="preserve">External validation 4 excluded cohorts with regimen / endpoint / label rationale.</w:t>
      </w:r>
    </w:p>
    <w:p>
      <w:pPr>
        <w:pStyle w:val="Compact"/>
        <w:numPr>
          <w:ilvl w:val="0"/>
          <w:numId w:val="1005"/>
        </w:numPr>
      </w:pPr>
      <w:r>
        <w:rPr>
          <w:b/>
          <w:bCs/>
        </w:rPr>
        <w:t xml:space="preserve">Table S7C.</w:t>
      </w:r>
      <w:r>
        <w:t xml:space="preserve"> </w:t>
      </w:r>
      <w:r>
        <w:t xml:space="preserve">Akiyoshi 2023 alternative-statistic sensitivity for Thread 2 CD8.</w:t>
      </w:r>
    </w:p>
    <w:p>
      <w:pPr>
        <w:pStyle w:val="Compact"/>
        <w:numPr>
          <w:ilvl w:val="0"/>
          <w:numId w:val="1005"/>
        </w:numPr>
      </w:pPr>
      <w:r>
        <w:rPr>
          <w:b/>
          <w:bCs/>
        </w:rPr>
        <w:t xml:space="preserve">Table S8.</w:t>
      </w:r>
      <w:r>
        <w:t xml:space="preserve"> </w:t>
      </w:r>
      <w:r>
        <w:t xml:space="preserve">Cascade BCa 95 % bootstrap CIs.</w:t>
      </w:r>
    </w:p>
    <w:p>
      <w:pPr>
        <w:pStyle w:val="Compact"/>
        <w:numPr>
          <w:ilvl w:val="0"/>
          <w:numId w:val="1005"/>
        </w:numPr>
      </w:pPr>
      <w:r>
        <w:rPr>
          <w:b/>
          <w:bCs/>
        </w:rPr>
        <w:t xml:space="preserve">Table S9.</w:t>
      </w:r>
      <w:r>
        <w:t xml:space="preserve"> </w:t>
      </w:r>
      <w:r>
        <w:t xml:space="preserve">HLA-LOH lenient vs strict per-locus calls.</w:t>
      </w:r>
    </w:p>
    <w:p>
      <w:pPr>
        <w:pStyle w:val="Compact"/>
        <w:numPr>
          <w:ilvl w:val="0"/>
          <w:numId w:val="1005"/>
        </w:numPr>
      </w:pPr>
      <w:r>
        <w:rPr>
          <w:b/>
          <w:bCs/>
        </w:rPr>
        <w:t xml:space="preserve">Table S10.</w:t>
      </w:r>
      <w:r>
        <w:t xml:space="preserve"> </w:t>
      </w:r>
      <w:r>
        <w:t xml:space="preserve">Baseline 4-factor per-subject Δ and sign counts (§3.9).</w:t>
      </w:r>
    </w:p>
    <w:p>
      <w:pPr>
        <w:pStyle w:val="Compact"/>
        <w:numPr>
          <w:ilvl w:val="0"/>
          <w:numId w:val="1005"/>
        </w:numPr>
      </w:pPr>
      <w:r>
        <w:rPr>
          <w:b/>
          <w:bCs/>
        </w:rPr>
        <w:t xml:space="preserve">Table S11.</w:t>
      </w:r>
      <w:r>
        <w:t xml:space="preserve"> </w:t>
      </w:r>
      <w:r>
        <w:t xml:space="preserve">TRUST4 IGHV per-V-gene directional stats (§3.10).</w:t>
      </w:r>
    </w:p>
    <w:p>
      <w:r>
        <w:pict>
          <v:rect style="width:0;height:1.5pt" o:hralign="center" o:hrstd="t" o:hr="t"/>
        </w:pict>
      </w:r>
    </w:p>
    <w:bookmarkEnd w:id="46"/>
    <w:bookmarkStart w:id="54" w:name="declarations"/>
    <w:p>
      <w:pPr>
        <w:pStyle w:val="Heading2"/>
      </w:pPr>
      <w:r>
        <w:t xml:space="preserve">Declarations</w:t>
      </w:r>
    </w:p>
    <w:bookmarkStart w:id="47" w:name="Xd182db0490b2de20bd2b4e4cc8698599182035f"/>
    <w:p>
      <w:pPr>
        <w:pStyle w:val="Heading3"/>
      </w:pPr>
      <w:r>
        <w:t xml:space="preserve">Ethics approval and consent to participate</w:t>
      </w:r>
    </w:p>
    <w:p>
      <w:pPr>
        <w:pStyle w:val="FirstParagraph"/>
      </w:pPr>
      <w:r>
        <w:t xml:space="preserve">The study was approved by the Institutional Review Board of Seoul National University Hospital (IRB approval number: [to be inserted]). All participants provided written informed consent for collection and molecular profiling of biopsy and blood samples and for publication of de-identified results.</w:t>
      </w:r>
    </w:p>
    <w:bookmarkEnd w:id="47"/>
    <w:bookmarkStart w:id="48" w:name="consent-for-publication"/>
    <w:p>
      <w:pPr>
        <w:pStyle w:val="Heading3"/>
      </w:pPr>
      <w:r>
        <w:t xml:space="preserve">Consent for publication</w:t>
      </w:r>
    </w:p>
    <w:p>
      <w:pPr>
        <w:pStyle w:val="FirstParagraph"/>
      </w:pPr>
      <w:r>
        <w:t xml:space="preserve">Not applicable (no individually identifiable participant data are presented).</w:t>
      </w:r>
    </w:p>
    <w:bookmarkEnd w:id="48"/>
    <w:bookmarkStart w:id="49" w:name="availability-of-data-and-materials"/>
    <w:p>
      <w:pPr>
        <w:pStyle w:val="Heading3"/>
      </w:pPr>
      <w:r>
        <w:t xml:space="preserve">Availability of data and materials</w:t>
      </w:r>
    </w:p>
    <w:p>
      <w:pPr>
        <w:pStyle w:val="FirstParagraph"/>
      </w:pPr>
      <w:r>
        <w:t xml:space="preserve">Processed analysis tables, intermediate results, and the full analysis code base are available at</w:t>
      </w:r>
      <w:r>
        <w:t xml:space="preserve"> </w:t>
      </w:r>
      <w:hyperlink r:id="rId21">
        <w:r>
          <w:rPr>
            <w:rStyle w:val="Hyperlink"/>
          </w:rPr>
          <w:t xml:space="preserve">https://github.com/Soonlab/TNT</w:t>
        </w:r>
      </w:hyperlink>
      <w:r>
        <w:t xml:space="preserve">. Raw sequencing data (Macrogen project IDs HN00249207 for WES and HN00249209 for RNA-seq, all 35 patients) will be deposited in NCBI SRA under controlled access on acceptance. External validation cohorts are publicly available from NCBI GEO under accessions GSE150082, GSE35452, GSE119409, GSE45404, GSE94104, GSE56699, GSE46862, GSE133057, GSE87211, GSE216616 (Akiyoshi et al, 2023), GSE145037, GSE233517, and</w:t>
      </w:r>
      <w:r>
        <w:t xml:space="preserve"> </w:t>
      </w:r>
      <w:r>
        <w:rPr>
          <w:b/>
          <w:bCs/>
        </w:rPr>
        <w:t xml:space="preserve">GSE254249</w:t>
      </w:r>
      <w:r>
        <w:t xml:space="preserve"> </w:t>
      </w:r>
      <w:r>
        <w:t xml:space="preserve">(Gao et al. Cancer Cell 2025 [62] — processed bulk RNA-seq logTPM and metadata publicly available; raw FASTQ in GSA-Human HRA006512 under controlled access via Shenzhen Bay Laboratory DAC).</w:t>
      </w:r>
    </w:p>
    <w:bookmarkEnd w:id="49"/>
    <w:bookmarkStart w:id="50" w:name="competing-interests"/>
    <w:p>
      <w:pPr>
        <w:pStyle w:val="Heading3"/>
      </w:pPr>
      <w:r>
        <w:t xml:space="preserve">Competing interests</w:t>
      </w:r>
    </w:p>
    <w:p>
      <w:pPr>
        <w:pStyle w:val="FirstParagraph"/>
      </w:pPr>
      <w:r>
        <w:t xml:space="preserve">The authors declare no competing interests.</w:t>
      </w:r>
    </w:p>
    <w:bookmarkEnd w:id="50"/>
    <w:bookmarkStart w:id="51" w:name="funding"/>
    <w:p>
      <w:pPr>
        <w:pStyle w:val="Heading3"/>
      </w:pPr>
      <w:r>
        <w:t xml:space="preserve">Funding</w:t>
      </w:r>
    </w:p>
    <w:p>
      <w:pPr>
        <w:pStyle w:val="FirstParagraph"/>
      </w:pPr>
      <w:r>
        <w:t xml:space="preserve">[Funding sources to be inserted.]</w:t>
      </w:r>
    </w:p>
    <w:bookmarkEnd w:id="51"/>
    <w:bookmarkStart w:id="52" w:name="authors-contributions"/>
    <w:p>
      <w:pPr>
        <w:pStyle w:val="Heading3"/>
      </w:pPr>
      <w:r>
        <w:t xml:space="preserve">Authors’ contributions</w:t>
      </w:r>
    </w:p>
    <w:p>
      <w:pPr>
        <w:pStyle w:val="FirstParagraph"/>
      </w:pPr>
      <w:r>
        <w:t xml:space="preserve">[Senior Author] conceived and supervised the study. [Author 1] performed bioinformatics analyses (WES somatic calling, signature attribution, integration, machine learning, external meta-analysis, paired pharmacodynamics, IGHV directional-consistency analysis, regimen-agnostic interpretation). [Author 2] performed RNA-seq pipelines, GSEA and immune deconvolution. [Clinical co-authors] curated clinical metadata, performed biopsy collection, and provided TRG scoring. All authors interpreted the data, drafted and approved the final manuscript.</w:t>
      </w:r>
    </w:p>
    <w:bookmarkEnd w:id="52"/>
    <w:bookmarkStart w:id="53" w:name="acknowledgements"/>
    <w:p>
      <w:pPr>
        <w:pStyle w:val="Heading3"/>
      </w:pPr>
      <w:r>
        <w:t xml:space="preserve">Acknowledgements</w:t>
      </w:r>
    </w:p>
    <w:p>
      <w:pPr>
        <w:pStyle w:val="FirstParagraph"/>
      </w:pPr>
      <w:r>
        <w:t xml:space="preserve">We thank the patients and families who participated in this study, the surgical and pathology teams at Seoul National University Hospital, and Macrogen Inc. for sequencing. We acknowledge the open-data contributors of the GEO cohorts used for external validation and Akiyoshi et al (2023) whose published 298-patient cohort provides convergent independent evidence for the CD8-cytotoxic axis reported here.</w:t>
      </w:r>
    </w:p>
    <w:p>
      <w:r>
        <w:pict>
          <v:rect style="width:0;height:1.5pt" o:hralign="center" o:hrstd="t" o:hr="t"/>
        </w:pict>
      </w:r>
    </w:p>
    <w:bookmarkEnd w:id="53"/>
    <w:bookmarkEnd w:id="54"/>
    <w:bookmarkStart w:id="55" w:name="references"/>
    <w:p>
      <w:pPr>
        <w:pStyle w:val="Heading2"/>
      </w:pPr>
      <w:r>
        <w:t xml:space="preserve">References</w:t>
      </w:r>
    </w:p>
    <w:p>
      <w:pPr>
        <w:pStyle w:val="Compact"/>
        <w:numPr>
          <w:ilvl w:val="0"/>
          <w:numId w:val="1006"/>
        </w:numPr>
      </w:pPr>
      <w:r>
        <w:t xml:space="preserve">Conroy T et al. Lancet Oncol 2021 (PRODIGE 23).</w:t>
      </w:r>
    </w:p>
    <w:p>
      <w:pPr>
        <w:pStyle w:val="Compact"/>
        <w:numPr>
          <w:ilvl w:val="0"/>
          <w:numId w:val="1006"/>
        </w:numPr>
      </w:pPr>
      <w:r>
        <w:t xml:space="preserve">Bahadoer RR et al. Lancet Oncol 2021 (RAPIDO).</w:t>
      </w:r>
    </w:p>
    <w:p>
      <w:pPr>
        <w:pStyle w:val="Compact"/>
        <w:numPr>
          <w:ilvl w:val="0"/>
          <w:numId w:val="1006"/>
        </w:numPr>
      </w:pPr>
      <w:r>
        <w:t xml:space="preserve">Garcia-Aguilar J et al. JCO 2022 (OPRA).</w:t>
      </w:r>
    </w:p>
    <w:p>
      <w:pPr>
        <w:pStyle w:val="Compact"/>
        <w:numPr>
          <w:ilvl w:val="0"/>
          <w:numId w:val="1006"/>
        </w:numPr>
      </w:pPr>
      <w:r>
        <w:t xml:space="preserve">Cercek A et al. JAMA Oncol 2022.</w:t>
      </w:r>
    </w:p>
    <w:p>
      <w:pPr>
        <w:pStyle w:val="Compact"/>
        <w:numPr>
          <w:ilvl w:val="0"/>
          <w:numId w:val="1006"/>
        </w:numPr>
      </w:pPr>
      <w:r>
        <w:t xml:space="preserve">Cercek A et al. N Engl J Med 2022 (dostarlimab in MMR-d rectal).</w:t>
      </w:r>
    </w:p>
    <w:p>
      <w:pPr>
        <w:pStyle w:val="Compact"/>
        <w:numPr>
          <w:ilvl w:val="0"/>
          <w:numId w:val="1006"/>
        </w:numPr>
      </w:pPr>
      <w:r>
        <w:t xml:space="preserve">Guinney J et al. Nat Med 2015 (CMS consortium).</w:t>
      </w:r>
    </w:p>
    <w:p>
      <w:pPr>
        <w:pStyle w:val="Compact"/>
        <w:numPr>
          <w:ilvl w:val="0"/>
          <w:numId w:val="1006"/>
        </w:numPr>
      </w:pPr>
      <w:r>
        <w:t xml:space="preserve">Ganesh K et al. Nat Rev Gastroenterol Hepatol 2019.</w:t>
      </w:r>
    </w:p>
    <w:p>
      <w:pPr>
        <w:pStyle w:val="Compact"/>
        <w:numPr>
          <w:ilvl w:val="0"/>
          <w:numId w:val="1006"/>
        </w:numPr>
      </w:pPr>
      <w:r>
        <w:t xml:space="preserve">Teng F et al. Int J Radiat Oncol Biol Phys 2015 (CD8 TIL and nCRT response).</w:t>
      </w:r>
    </w:p>
    <w:p>
      <w:pPr>
        <w:pStyle w:val="Compact"/>
        <w:numPr>
          <w:ilvl w:val="0"/>
          <w:numId w:val="1006"/>
        </w:numPr>
      </w:pPr>
      <w:r>
        <w:t xml:space="preserve">Shinto E et al. Ann Surg Oncol 2014 (CD8 density predicts rectal nCRT).</w:t>
      </w:r>
    </w:p>
    <w:p>
      <w:pPr>
        <w:pStyle w:val="Compact"/>
        <w:numPr>
          <w:ilvl w:val="0"/>
          <w:numId w:val="1006"/>
        </w:numPr>
      </w:pPr>
      <w:r>
        <w:t xml:space="preserve">Teng F et al. Sci Rep 2016 (nCRT increases CD8/GrzB).</w:t>
      </w:r>
    </w:p>
    <w:p>
      <w:pPr>
        <w:pStyle w:val="Compact"/>
        <w:numPr>
          <w:ilvl w:val="0"/>
          <w:numId w:val="1006"/>
        </w:numPr>
      </w:pPr>
      <w:r>
        <w:t xml:space="preserve">Lim YJ et al. Sci Rep 2023 (GSE233517; CRT-induced CD8 / IFN-γ).</w:t>
      </w:r>
    </w:p>
    <w:p>
      <w:pPr>
        <w:pStyle w:val="Compact"/>
        <w:numPr>
          <w:ilvl w:val="0"/>
          <w:numId w:val="1006"/>
        </w:numPr>
      </w:pPr>
      <w:r>
        <w:t xml:space="preserve">Smith JJ et al. Ann Surg 2019 (watch-and-wait outcomes).</w:t>
      </w:r>
    </w:p>
    <w:p>
      <w:pPr>
        <w:pStyle w:val="Compact"/>
        <w:numPr>
          <w:ilvl w:val="0"/>
          <w:numId w:val="1006"/>
        </w:numPr>
      </w:pPr>
      <w:r>
        <w:t xml:space="preserve">Garcia-Aguilar J et al. Lancet Oncol 2015 (early TNT feasibility).</w:t>
      </w:r>
    </w:p>
    <w:p>
      <w:pPr>
        <w:pStyle w:val="Compact"/>
        <w:numPr>
          <w:ilvl w:val="0"/>
          <w:numId w:val="1006"/>
        </w:numPr>
      </w:pPr>
      <w:r>
        <w:t xml:space="preserve">Koopman M et al. Br J Cancer 2009 (MSI prevalence CRC).</w:t>
      </w:r>
    </w:p>
    <w:p>
      <w:pPr>
        <w:pStyle w:val="Compact"/>
        <w:numPr>
          <w:ilvl w:val="0"/>
          <w:numId w:val="1006"/>
        </w:numPr>
      </w:pPr>
      <w:r>
        <w:t xml:space="preserve">Agostini M et al. PLoS ONE 2014 (nCRT response microarray predictors).</w:t>
      </w:r>
    </w:p>
    <w:p>
      <w:pPr>
        <w:pStyle w:val="Compact"/>
        <w:numPr>
          <w:ilvl w:val="0"/>
          <w:numId w:val="1006"/>
        </w:numPr>
      </w:pPr>
      <w:r>
        <w:t xml:space="preserve">Rimkus C et al. Clin Gastroenterol Hepatol 2008 (gene signature rectal).</w:t>
      </w:r>
    </w:p>
    <w:p>
      <w:pPr>
        <w:pStyle w:val="Compact"/>
        <w:numPr>
          <w:ilvl w:val="0"/>
          <w:numId w:val="1006"/>
        </w:numPr>
      </w:pPr>
      <w:r>
        <w:t xml:space="preserve">Casado E et al. Clin Cancer Res 2011 (rectal nCRT transcriptomics).</w:t>
      </w:r>
    </w:p>
    <w:p>
      <w:pPr>
        <w:pStyle w:val="Compact"/>
        <w:numPr>
          <w:ilvl w:val="0"/>
          <w:numId w:val="1006"/>
        </w:numPr>
      </w:pPr>
      <w:r>
        <w:t xml:space="preserve">Kim IJ et al. Oncogene 2007 (rectal radiation response signatures).</w:t>
      </w:r>
    </w:p>
    <w:p>
      <w:pPr>
        <w:pStyle w:val="Compact"/>
        <w:numPr>
          <w:ilvl w:val="0"/>
          <w:numId w:val="1006"/>
        </w:numPr>
      </w:pPr>
      <w:r>
        <w:t xml:space="preserve">Matsutani S et al. Oncol Lett 2018 (TILs predict rectal nCRT).</w:t>
      </w:r>
    </w:p>
    <w:p>
      <w:pPr>
        <w:pStyle w:val="Compact"/>
        <w:numPr>
          <w:ilvl w:val="0"/>
          <w:numId w:val="1006"/>
        </w:numPr>
      </w:pPr>
      <w:r>
        <w:t xml:space="preserve">McCoy MJ et al. Br J Cancer 2015 (CD8 TIL pretreatment rectal).</w:t>
      </w:r>
    </w:p>
    <w:p>
      <w:pPr>
        <w:pStyle w:val="Compact"/>
        <w:numPr>
          <w:ilvl w:val="0"/>
          <w:numId w:val="1006"/>
        </w:numPr>
      </w:pPr>
      <w:r>
        <w:t xml:space="preserve">Weichselbaum RR et al. Nat Rev Clin Oncol 2017 (radiation as immunogenic).</w:t>
      </w:r>
    </w:p>
    <w:p>
      <w:pPr>
        <w:pStyle w:val="Compact"/>
        <w:numPr>
          <w:ilvl w:val="0"/>
          <w:numId w:val="1006"/>
        </w:numPr>
      </w:pPr>
      <w:r>
        <w:t xml:space="preserve">Deng L et al. Immunity 2014 (cGAS-STING post-radiation).</w:t>
      </w:r>
    </w:p>
    <w:p>
      <w:pPr>
        <w:pStyle w:val="Compact"/>
        <w:numPr>
          <w:ilvl w:val="0"/>
          <w:numId w:val="1006"/>
        </w:numPr>
      </w:pPr>
      <w:r>
        <w:t xml:space="preserve">Vanpouille-Box C et al. Nat Commun 2017 (TREX1/radiation/cGAS-STING).</w:t>
      </w:r>
    </w:p>
    <w:p>
      <w:pPr>
        <w:pStyle w:val="Compact"/>
        <w:numPr>
          <w:ilvl w:val="0"/>
          <w:numId w:val="1006"/>
        </w:numPr>
      </w:pPr>
      <w:r>
        <w:t xml:space="preserve">Golden EB et al. Lancet Oncol 2015 (abscopal effect radiation).</w:t>
      </w:r>
    </w:p>
    <w:p>
      <w:pPr>
        <w:pStyle w:val="Compact"/>
        <w:numPr>
          <w:ilvl w:val="0"/>
          <w:numId w:val="1006"/>
        </w:numPr>
      </w:pPr>
      <w:r>
        <w:t xml:space="preserve">Nussinov R et al. Cancer Res 2022 (MSS rectal biology review).</w:t>
      </w:r>
    </w:p>
    <w:p>
      <w:pPr>
        <w:pStyle w:val="Compact"/>
        <w:numPr>
          <w:ilvl w:val="0"/>
          <w:numId w:val="1006"/>
        </w:numPr>
      </w:pPr>
      <w:r>
        <w:t xml:space="preserve">Sadanandam A et al. Nat Med 2013 (CRC subtypes).</w:t>
      </w:r>
    </w:p>
    <w:p>
      <w:pPr>
        <w:pStyle w:val="Compact"/>
        <w:numPr>
          <w:ilvl w:val="0"/>
          <w:numId w:val="1006"/>
        </w:numPr>
      </w:pPr>
      <w:r>
        <w:t xml:space="preserve">Dienstmann R et al. Ann Oncol 2017 (CMS classification clinical utility).</w:t>
      </w:r>
    </w:p>
    <w:p>
      <w:pPr>
        <w:pStyle w:val="Compact"/>
        <w:numPr>
          <w:ilvl w:val="0"/>
          <w:numId w:val="1006"/>
        </w:numPr>
      </w:pPr>
      <w:r>
        <w:t xml:space="preserve">Isella C et al. Nat Commun 2017 (CMS4 stromal drivers).</w:t>
      </w:r>
    </w:p>
    <w:p>
      <w:pPr>
        <w:pStyle w:val="Compact"/>
        <w:numPr>
          <w:ilvl w:val="0"/>
          <w:numId w:val="1006"/>
        </w:numPr>
      </w:pPr>
      <w:r>
        <w:t xml:space="preserve">Mariathasan S et al. Nature 2018 (TGF-β blockade response).</w:t>
      </w:r>
    </w:p>
    <w:p>
      <w:pPr>
        <w:pStyle w:val="Compact"/>
        <w:numPr>
          <w:ilvl w:val="0"/>
          <w:numId w:val="1006"/>
        </w:numPr>
      </w:pPr>
      <w:r>
        <w:t xml:space="preserve">McGranahan N et al. Cell 2017 (LOHHLA original).</w:t>
      </w:r>
    </w:p>
    <w:p>
      <w:pPr>
        <w:pStyle w:val="Compact"/>
        <w:numPr>
          <w:ilvl w:val="0"/>
          <w:numId w:val="1006"/>
        </w:numPr>
      </w:pPr>
      <w:r>
        <w:t xml:space="preserve">Cabrita R et al. Nature 2020 (TLS and checkpoint response).</w:t>
      </w:r>
    </w:p>
    <w:p>
      <w:pPr>
        <w:pStyle w:val="Compact"/>
        <w:numPr>
          <w:ilvl w:val="0"/>
          <w:numId w:val="1006"/>
        </w:numPr>
      </w:pPr>
      <w:r>
        <w:t xml:space="preserve">Helmink BA et al. Nature 2020 (B cells and TLS in ICB).</w:t>
      </w:r>
    </w:p>
    <w:p>
      <w:pPr>
        <w:pStyle w:val="Compact"/>
        <w:numPr>
          <w:ilvl w:val="0"/>
          <w:numId w:val="1006"/>
        </w:numPr>
      </w:pPr>
      <w:r>
        <w:t xml:space="preserve">Petitprez F et al. Nature 2020 (B cells and TLS sarcoma).</w:t>
      </w:r>
    </w:p>
    <w:p>
      <w:pPr>
        <w:pStyle w:val="Compact"/>
        <w:numPr>
          <w:ilvl w:val="0"/>
          <w:numId w:val="1006"/>
        </w:numPr>
      </w:pPr>
      <w:r>
        <w:t xml:space="preserve">Rooney MS et al. Cell 2015 (immune cytolytic activity pan-cancer).</w:t>
      </w:r>
    </w:p>
    <w:p>
      <w:pPr>
        <w:pStyle w:val="Compact"/>
        <w:numPr>
          <w:ilvl w:val="0"/>
          <w:numId w:val="1006"/>
        </w:numPr>
      </w:pPr>
      <w:r>
        <w:t xml:space="preserve">Thorsson V et al. Immunity 2018 (immune landscape TCGA).</w:t>
      </w:r>
    </w:p>
    <w:p>
      <w:pPr>
        <w:pStyle w:val="Compact"/>
        <w:numPr>
          <w:ilvl w:val="0"/>
          <w:numId w:val="1006"/>
        </w:numPr>
      </w:pPr>
      <w:r>
        <w:t xml:space="preserve">Rosenthal R et al. Nature 2019 (HLA-LOH and immune escape).</w:t>
      </w:r>
    </w:p>
    <w:p>
      <w:pPr>
        <w:pStyle w:val="Compact"/>
        <w:numPr>
          <w:ilvl w:val="0"/>
          <w:numId w:val="1006"/>
        </w:numPr>
      </w:pPr>
      <w:r>
        <w:t xml:space="preserve">Garrido F et al. Trends Immunol 2010 (HLA class I loss).</w:t>
      </w:r>
    </w:p>
    <w:p>
      <w:pPr>
        <w:pStyle w:val="Compact"/>
        <w:numPr>
          <w:ilvl w:val="0"/>
          <w:numId w:val="1006"/>
        </w:numPr>
      </w:pPr>
      <w:r>
        <w:t xml:space="preserve">Chowell D et al. Science 2018 (HLA heterozygosity and ICB).</w:t>
      </w:r>
    </w:p>
    <w:p>
      <w:pPr>
        <w:pStyle w:val="Compact"/>
        <w:numPr>
          <w:ilvl w:val="0"/>
          <w:numId w:val="1006"/>
        </w:numPr>
      </w:pPr>
      <w:r>
        <w:t xml:space="preserve">Le DT et al. N Engl J Med 2015 (MSI and PD-1).</w:t>
      </w:r>
    </w:p>
    <w:p>
      <w:pPr>
        <w:pStyle w:val="Compact"/>
        <w:numPr>
          <w:ilvl w:val="0"/>
          <w:numId w:val="1006"/>
        </w:numPr>
      </w:pPr>
      <w:r>
        <w:t xml:space="preserve">Overman MJ et al. Lancet Oncol 2017 (nivolumab MSI CRC).</w:t>
      </w:r>
    </w:p>
    <w:p>
      <w:pPr>
        <w:pStyle w:val="Compact"/>
        <w:numPr>
          <w:ilvl w:val="0"/>
          <w:numId w:val="1006"/>
        </w:numPr>
      </w:pPr>
      <w:r>
        <w:t xml:space="preserve">Andre T et al. N Engl J Med 2020 (pembrolizumab first-line MSI CRC).</w:t>
      </w:r>
    </w:p>
    <w:p>
      <w:pPr>
        <w:pStyle w:val="Compact"/>
        <w:numPr>
          <w:ilvl w:val="0"/>
          <w:numId w:val="1006"/>
        </w:numPr>
      </w:pPr>
      <w:r>
        <w:t xml:space="preserve">van Gijn W et al. Lancet Oncol 2011 (Dutch TME long-term).</w:t>
      </w:r>
    </w:p>
    <w:p>
      <w:pPr>
        <w:pStyle w:val="Compact"/>
        <w:numPr>
          <w:ilvl w:val="0"/>
          <w:numId w:val="1006"/>
        </w:numPr>
      </w:pPr>
      <w:r>
        <w:t xml:space="preserve">Sauer R et al. N Engl J Med 2004 (CAO/ARO 94).</w:t>
      </w:r>
    </w:p>
    <w:p>
      <w:pPr>
        <w:pStyle w:val="Compact"/>
        <w:numPr>
          <w:ilvl w:val="0"/>
          <w:numId w:val="1006"/>
        </w:numPr>
      </w:pPr>
      <w:r>
        <w:t xml:space="preserve">Ruppert R et al. Ann Surg 2018 (German CAO/ARO nCRT outcomes).</w:t>
      </w:r>
    </w:p>
    <w:p>
      <w:pPr>
        <w:pStyle w:val="Compact"/>
        <w:numPr>
          <w:ilvl w:val="0"/>
          <w:numId w:val="1006"/>
        </w:numPr>
      </w:pPr>
      <w:r>
        <w:t xml:space="preserve">Maas M et al. JCO 2011 (wait-and-see).</w:t>
      </w:r>
    </w:p>
    <w:p>
      <w:pPr>
        <w:pStyle w:val="Compact"/>
        <w:numPr>
          <w:ilvl w:val="0"/>
          <w:numId w:val="1006"/>
        </w:numPr>
      </w:pPr>
      <w:r>
        <w:t xml:space="preserve">Appelt AL et al. Lancet Oncol 2015 (organ preservation modern).</w:t>
      </w:r>
    </w:p>
    <w:p>
      <w:pPr>
        <w:pStyle w:val="Compact"/>
        <w:numPr>
          <w:ilvl w:val="0"/>
          <w:numId w:val="1006"/>
        </w:numPr>
      </w:pPr>
      <w:r>
        <w:t xml:space="preserve">Habr-Gama A et al. Clin Oncol 2014 (watch-and-wait Brazilian experience).</w:t>
      </w:r>
    </w:p>
    <w:p>
      <w:pPr>
        <w:pStyle w:val="Compact"/>
        <w:numPr>
          <w:ilvl w:val="0"/>
          <w:numId w:val="1006"/>
        </w:numPr>
      </w:pPr>
      <w:r>
        <w:t xml:space="preserve">Renehan AG et al. Lancet Oncol 2016 (organ-preserving strategies).</w:t>
      </w:r>
    </w:p>
    <w:p>
      <w:pPr>
        <w:pStyle w:val="Compact"/>
        <w:numPr>
          <w:ilvl w:val="0"/>
          <w:numId w:val="1006"/>
        </w:numPr>
      </w:pPr>
      <w:r>
        <w:t xml:space="preserve">Bai X et al. Oncotarget 2016 (EMT as CRT resistance).</w:t>
      </w:r>
    </w:p>
    <w:p>
      <w:pPr>
        <w:pStyle w:val="Compact"/>
        <w:numPr>
          <w:ilvl w:val="0"/>
          <w:numId w:val="1006"/>
        </w:numPr>
      </w:pPr>
      <w:r>
        <w:t xml:space="preserve">Thiery JP. Nat Rev Cancer 2002 (EMT).</w:t>
      </w:r>
    </w:p>
    <w:p>
      <w:pPr>
        <w:pStyle w:val="Compact"/>
        <w:numPr>
          <w:ilvl w:val="0"/>
          <w:numId w:val="1006"/>
        </w:numPr>
      </w:pPr>
      <w:r>
        <w:t xml:space="preserve">Ye X, Weinberg RA. Trends Cell Biol 2015 (EMT plasticity).</w:t>
      </w:r>
    </w:p>
    <w:p>
      <w:pPr>
        <w:pStyle w:val="Compact"/>
        <w:numPr>
          <w:ilvl w:val="0"/>
          <w:numId w:val="1006"/>
        </w:numPr>
      </w:pPr>
      <w:r>
        <w:t xml:space="preserve">Ganesh K et al. Cancer Cell 2022 (rectal cancer organoids and response).</w:t>
      </w:r>
    </w:p>
    <w:p>
      <w:pPr>
        <w:pStyle w:val="Compact"/>
        <w:numPr>
          <w:ilvl w:val="0"/>
          <w:numId w:val="1006"/>
        </w:numPr>
      </w:pPr>
      <w:r>
        <w:t xml:space="preserve">Yaeger R et al. Cancer Cell 2018 (CRC mutation actionability).</w:t>
      </w:r>
    </w:p>
    <w:p>
      <w:pPr>
        <w:pStyle w:val="Compact"/>
        <w:numPr>
          <w:ilvl w:val="0"/>
          <w:numId w:val="1006"/>
        </w:numPr>
      </w:pPr>
      <w:r>
        <w:t xml:space="preserve">Taieb J et al. Ann Oncol 2022 (rectal cancer biomarkers review).</w:t>
      </w:r>
    </w:p>
    <w:p>
      <w:pPr>
        <w:pStyle w:val="Compact"/>
        <w:numPr>
          <w:ilvl w:val="0"/>
          <w:numId w:val="1006"/>
        </w:numPr>
      </w:pPr>
      <w:r>
        <w:t xml:space="preserve">Barresi V et al. Virchows Arch 2017 (TRG Dworak intrarater).</w:t>
      </w:r>
    </w:p>
    <w:p>
      <w:pPr>
        <w:pStyle w:val="Compact"/>
        <w:numPr>
          <w:ilvl w:val="0"/>
          <w:numId w:val="1006"/>
        </w:numPr>
      </w:pPr>
      <w:r>
        <w:t xml:space="preserve">Chetty R et al. Virchows Arch 2012 (TRG reproducibility).</w:t>
      </w:r>
    </w:p>
    <w:p>
      <w:pPr>
        <w:pStyle w:val="Compact"/>
        <w:numPr>
          <w:ilvl w:val="0"/>
          <w:numId w:val="1006"/>
        </w:numPr>
      </w:pPr>
      <w:r>
        <w:t xml:space="preserve">Ryan R et al. Histopathology 2005 (TRG Ryan system).</w:t>
      </w:r>
    </w:p>
    <w:p>
      <w:pPr>
        <w:pStyle w:val="Compact"/>
        <w:numPr>
          <w:ilvl w:val="0"/>
          <w:numId w:val="1006"/>
        </w:numPr>
      </w:pPr>
      <w:r>
        <w:t xml:space="preserve">Mandard AM et al. Cancer 1994 (original Mandard TRG).</w:t>
      </w:r>
    </w:p>
    <w:p>
      <w:pPr>
        <w:pStyle w:val="Compact"/>
        <w:numPr>
          <w:ilvl w:val="0"/>
          <w:numId w:val="1006"/>
        </w:numPr>
      </w:pPr>
      <w:r>
        <w:t xml:space="preserve">Dworak O et al. Int J Colorectal Dis 1997 (Dworak TRG).</w:t>
      </w:r>
    </w:p>
    <w:p>
      <w:pPr>
        <w:pStyle w:val="Compact"/>
        <w:numPr>
          <w:ilvl w:val="0"/>
          <w:numId w:val="1006"/>
        </w:numPr>
      </w:pPr>
      <w:r>
        <w:t xml:space="preserve">Rödel C et al. JCO 2005 (Rödel TRG rectal).</w:t>
      </w:r>
    </w:p>
    <w:p>
      <w:pPr>
        <w:pStyle w:val="Compact"/>
        <w:numPr>
          <w:ilvl w:val="0"/>
          <w:numId w:val="1006"/>
        </w:numPr>
      </w:pPr>
      <w:r>
        <w:t xml:space="preserve">Akiyoshi T et al. JAMA Netw Open 2023; GSE216616 — Transcriptomic analyses of pretreatment tumor biopsy samples, response to neoadjuvant chemoradiotherapy, and survival in advanced rectal cancer (n = 298; cytotoxic lymphocyte score OR 3.81 [1.82, 7.97]; GZMA × PRF1 cytolytic activity P = 0.005; IFN-γ Hallmark enriched in responders).</w:t>
      </w:r>
    </w:p>
    <w:p>
      <w:pPr>
        <w:pStyle w:val="Compact"/>
        <w:numPr>
          <w:ilvl w:val="0"/>
          <w:numId w:val="1006"/>
        </w:numPr>
      </w:pPr>
      <w:r>
        <w:t xml:space="preserve">Gao Q, Ling F et al. Cancer Cell 2025; 43(12); doi 10.1016/j.ccell.2025.10.008; GSE254249 — Remodeling of T and endothelial cells during total neoadjuvant therapy in rectal cancer. 26 LARC patients across nCT / nRT / nRCT arms; scRNA-seq + scTCR + spatial transcriptomics + bulk RNA-seq (11 TNT-arm samples, SC-RT 5 × 5 Gy + 6–8 cycles FOLFOXIRI). PMID 41202810. The only publicly accessible SC-RT-TNT bulk RNA-seq dataset with response labels at time of writing.</w:t>
      </w:r>
    </w:p>
    <w:p>
      <w:r>
        <w:pict>
          <v:rect style="width:0;height:1.5pt" o:hralign="center" o:hrstd="t" o:hr="t"/>
        </w:pict>
      </w:r>
    </w:p>
    <w:p>
      <w:pPr>
        <w:pStyle w:val="FirstParagraph"/>
      </w:pPr>
      <w:r>
        <w:rPr>
          <w:i/>
          <w:iCs/>
        </w:rPr>
        <w:t xml:space="preserve">End of manuscript v0.7.4 — Genome Medicine submission — 2026-04-18.</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https://github.com/Soonlab/TNT" TargetMode="External" /><Relationship Type="http://schemas.openxmlformats.org/officeDocument/2006/relationships/hyperlink" Id="rId9" Target="mailto:mario2437@gmail.com" TargetMode="External" /></Relationships>
</file>

<file path=word/_rels/footnotes.xml.rels><?xml version="1.0" encoding="UTF-8"?><Relationships xmlns="http://schemas.openxmlformats.org/package/2006/relationships"><Relationship Type="http://schemas.openxmlformats.org/officeDocument/2006/relationships/hyperlink" Id="rId21" Target="https://github.com/Soonlab/TNT" TargetMode="External" /><Relationship Type="http://schemas.openxmlformats.org/officeDocument/2006/relationships/hyperlink" Id="rId9" Target="mailto:mario2437@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2026-04-20T03:51:26Z</dcterms:created>
  <dcterms:modified xsi:type="dcterms:W3CDTF">2026-04-20T03:51:26Z</dcterms:modified>
</cp:coreProperties>
</file>

<file path=docProps/custom.xml><?xml version="1.0" encoding="utf-8"?>
<Properties xmlns="http://schemas.openxmlformats.org/officeDocument/2006/custom-properties" xmlns:vt="http://schemas.openxmlformats.org/officeDocument/2006/docPropsVTypes"/>
</file>