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upplementary-text-s1--extended-methods"/>
    <w:p>
      <w:pPr>
        <w:pStyle w:val="Heading1"/>
      </w:pPr>
      <w:r>
        <w:t xml:space="preserve">Supplementary Text S1 — Extended Methods</w:t>
      </w:r>
    </w:p>
    <w:p>
      <w:pPr>
        <w:pStyle w:val="FirstParagraph"/>
      </w:pPr>
      <w:r>
        <w:t xml:space="preserve">This document supplements the main Methods section with technical detail required for full reproducibility.</w:t>
      </w:r>
    </w:p>
    <w:bookmarkStart w:id="9" w:name="s11-sample-collection-and-processing"/>
    <w:p>
      <w:pPr>
        <w:pStyle w:val="Heading2"/>
      </w:pPr>
      <w:r>
        <w:t xml:space="preserve">S1.1 Sample collection and processing</w:t>
      </w:r>
    </w:p>
    <w:p>
      <w:pPr>
        <w:pStyle w:val="FirstParagraph"/>
      </w:pPr>
      <w:r>
        <w:t xml:space="preserve">Endoscopic biopsies were collected at two timepoints per paired patient (n = 14): pre-treatment (within 14 days before initiation of chemoradiotherapy [CRT]) and post-CRT (after completion of 50.4 Gy radiation but before initiation of consolidation chemotherapy, typically 4–6 weeks after the final radiation fraction). Single-timepoint pre-treatment biopsies were collected for the remaining 21 patients. Whole-blood normal samples were drawn at the pre-CRT visit. Tissue was preserved in RNAlater (Thermo) and snap-frozen within 4 hours of collection.</w:t>
      </w:r>
    </w:p>
    <w:bookmarkEnd w:id="9"/>
    <w:bookmarkStart w:id="10" w:name="s12-whole-exome-sequencing"/>
    <w:p>
      <w:pPr>
        <w:pStyle w:val="Heading2"/>
      </w:pPr>
      <w:r>
        <w:t xml:space="preserve">S1.2 Whole-exome sequencing</w:t>
      </w:r>
    </w:p>
    <w:p>
      <w:pPr>
        <w:pStyle w:val="FirstParagraph"/>
      </w:pPr>
      <w:r>
        <w:t xml:space="preserve">DNA was extracted using AllPrep DNA/RNA Mini (Qiagen). Libraries were prepared with Agilent SureSelect Human All Exon V5 (50 Mb capture). Sequencing on Illumina NovaSeq 6000 generated paired-end 101 bp reads. Median target coverage: tumor 150× (interquartile range 122–176), normal 90× (75–108). Per-sample QC: Picard CollectHsMetrics, FASTQC, Qualimap; samples with mean target coverage &lt;50× were excluded (none).</w:t>
      </w:r>
    </w:p>
    <w:p>
      <w:pPr>
        <w:pStyle w:val="BodyText"/>
      </w:pPr>
      <w:r>
        <w:rPr>
          <w:b/>
          <w:bCs/>
        </w:rPr>
        <w:t xml:space="preserve">Alignment &amp; preprocessing.</w:t>
      </w:r>
      <w:r>
        <w:t xml:space="preserve"> </w:t>
      </w:r>
      <w:r>
        <w:t xml:space="preserve">BWA-MEM 0.7.17 to GRCh38.p13 (no-alt). MarkDuplicates (Picard 2.27), BaseRecalibrator (GATK 4.6.2) with known sites from gnomAD v3.1, dbSNP build 154, and Mills indels.</w:t>
      </w:r>
    </w:p>
    <w:p>
      <w:pPr>
        <w:pStyle w:val="BodyText"/>
      </w:pPr>
      <w:r>
        <w:rPr>
          <w:b/>
          <w:bCs/>
        </w:rPr>
        <w:t xml:space="preserve">Somatic variant calling.</w:t>
      </w:r>
      <w:r>
        <w:t xml:space="preserve"> </w:t>
      </w:r>
      <w:r>
        <w:t xml:space="preserve">GATK Mutect2 4.6.2 with a cohort panel-of-normals (PoN) constructed from 28 TNT cohort blood normals (per-normal Mutect2 calls with</w:t>
      </w:r>
      <w:r>
        <w:t xml:space="preserve"> </w:t>
      </w:r>
      <w:r>
        <w:rPr>
          <w:rStyle w:val="VerbatimChar"/>
        </w:rPr>
        <w:t xml:space="preserve">--max-mnp-distance 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--germline-resource af-only-gnomad</w:t>
      </w:r>
      <w:r>
        <w:t xml:space="preserve">, joined via GenomicsDBImport + CreateSomaticPanelOfNormals). Tumor-normal pairs (n = 41) were called with</w:t>
      </w:r>
      <w:r>
        <w:t xml:space="preserve"> </w:t>
      </w:r>
      <w:r>
        <w:rPr>
          <w:rStyle w:val="VerbatimChar"/>
        </w:rPr>
        <w:t xml:space="preserve">--germline-resource af-only-gnomad</w:t>
      </w:r>
      <w:r>
        <w:t xml:space="preserve">,</w:t>
      </w:r>
      <w:r>
        <w:t xml:space="preserve"> </w:t>
      </w:r>
      <w:r>
        <w:rPr>
          <w:rStyle w:val="VerbatimChar"/>
        </w:rPr>
        <w:t xml:space="preserve">--panel-of-normals tnt_cohort_pon.vcf.gz</w:t>
      </w:r>
      <w:r>
        <w:t xml:space="preserve">,</w:t>
      </w:r>
      <w:r>
        <w:t xml:space="preserve"> </w:t>
      </w:r>
      <w:r>
        <w:rPr>
          <w:rStyle w:val="VerbatimChar"/>
        </w:rPr>
        <w:t xml:space="preserve">-L exome_targets.bed --interval-padding 100</w:t>
      </w:r>
      <w:r>
        <w:t xml:space="preserve">,</w:t>
      </w:r>
      <w:r>
        <w:t xml:space="preserve"> </w:t>
      </w:r>
      <w:r>
        <w:rPr>
          <w:rStyle w:val="VerbatimChar"/>
        </w:rPr>
        <w:t xml:space="preserve">--f1r2-tar-gz</w:t>
      </w:r>
      <w:r>
        <w:t xml:space="preserve"> </w:t>
      </w:r>
      <w:r>
        <w:t xml:space="preserve">(for read-orientation modelling). Tumor-only calls (n = 8 unmatched tumors) used identical Mutect2 invocation, simply omitting</w:t>
      </w:r>
      <w:r>
        <w:t xml:space="preserve"> </w:t>
      </w:r>
      <w:r>
        <w:rPr>
          <w:rStyle w:val="VerbatimChar"/>
        </w:rPr>
        <w:t xml:space="preserve">-I normal -normal</w:t>
      </w:r>
      <w:r>
        <w:t xml:space="preserve">;</w:t>
      </w:r>
      <w:r>
        <w:t xml:space="preserve"> </w:t>
      </w:r>
      <w:r>
        <w:rPr>
          <w:b/>
          <w:bCs/>
        </w:rPr>
        <w:t xml:space="preserve">all numeric thresholds were left at GATK defaults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--max-population-af 0.01</w:t>
      </w:r>
      <w:r>
        <w:t xml:space="preserve">,</w:t>
      </w:r>
      <w:r>
        <w:t xml:space="preserve"> </w:t>
      </w:r>
      <w:r>
        <w:rPr>
          <w:rStyle w:val="VerbatimChar"/>
        </w:rPr>
        <w:t xml:space="preserve">--af-of-alleles-not-in-resource 1e-6</w:t>
      </w:r>
      <w:r>
        <w:t xml:space="preserve">,</w:t>
      </w:r>
      <w:r>
        <w:t xml:space="preserve"> </w:t>
      </w:r>
      <w:r>
        <w:rPr>
          <w:rStyle w:val="VerbatimChar"/>
        </w:rPr>
        <w:t xml:space="preserve">--tumor-lod-to-emit 3.0</w:t>
      </w:r>
      <w:r>
        <w:t xml:space="preserve">. Per-sample post-call filtering: LearnReadOrientationModel → GetPileupSummaries / CalculateContamination (small_exac_common_3 sites) → FilterMutectCalls (all default thresholds, including</w:t>
      </w:r>
      <w:r>
        <w:t xml:space="preserve"> </w:t>
      </w:r>
      <w:r>
        <w:rPr>
          <w:rStyle w:val="VerbatimChar"/>
        </w:rPr>
        <w:t xml:space="preserve">--tumor-lod 2.0</w:t>
      </w:r>
      <w:r>
        <w:t xml:space="preserve"> </w:t>
      </w:r>
      <w:r>
        <w:t xml:space="preserve">log10,</w:t>
      </w:r>
      <w:r>
        <w:t xml:space="preserve"> </w:t>
      </w:r>
      <w:r>
        <w:rPr>
          <w:rStyle w:val="VerbatimChar"/>
        </w:rPr>
        <w:t xml:space="preserve">--threshold-strategy OPTIMAL_F_SCORE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--unique-alt-read-count 0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bcftools view -f PASS</w:t>
      </w:r>
      <w:r>
        <w:t xml:space="preserve">. Tumor-only calls were not subject to additional stricter post-filters in this pipeline; their interpretation in driver and TMB tabulations was conservatively flagged in downstream tables. snpEff 5.1d (GRCh38.99) annotation. Final PASS somatic call set: 18,580 variants across 49 tumors.</w:t>
      </w:r>
    </w:p>
    <w:p>
      <w:pPr>
        <w:pStyle w:val="BodyText"/>
      </w:pPr>
      <w:r>
        <w:rPr>
          <w:b/>
          <w:bCs/>
        </w:rPr>
        <w:t xml:space="preserve">Mutational signatures.</w:t>
      </w:r>
      <w:r>
        <w:t xml:space="preserve"> </w:t>
      </w:r>
      <w:r>
        <w:t xml:space="preserve">SigProfilerAssignment v0.1.6 with COSMIC v3.3 SBS reference, refit mode (no de novo extraction; cohort too small for stable extraction).</w:t>
      </w:r>
    </w:p>
    <w:p>
      <w:pPr>
        <w:pStyle w:val="BodyText"/>
      </w:pPr>
      <w:r>
        <w:rPr>
          <w:b/>
          <w:bCs/>
        </w:rPr>
        <w:t xml:space="preserve">Microsatellite instability.</w:t>
      </w:r>
      <w:r>
        <w:t xml:space="preserve"> </w:t>
      </w:r>
      <w:r>
        <w:t xml:space="preserve">msisensor-pro v1.2.0 paired mode on 41 matched pairs; baseline computed from gnomAD-derived microsatellite catalog.</w:t>
      </w:r>
    </w:p>
    <w:p>
      <w:pPr>
        <w:pStyle w:val="BodyText"/>
      </w:pPr>
      <w:r>
        <w:rPr>
          <w:b/>
          <w:bCs/>
        </w:rPr>
        <w:t xml:space="preserve">Copy-number variation.</w:t>
      </w:r>
      <w:r>
        <w:t xml:space="preserve"> </w:t>
      </w:r>
      <w:r>
        <w:t xml:space="preserve">CNVkit v0.9.10 batch mode, pooled reference from blood normals. Segmentation: CBS. HRD proxy scores (LST = large-scale state transitions; TAI = telomeric allelic imbalance; LOH = total LOH segment count) computed from CNV segments using a custom script that mirrors the scarHRD algorithm (scarHRD itself failed installation under the conda environment; results validated by independent re-implementation against scarHRD published examples).</w:t>
      </w:r>
    </w:p>
    <w:bookmarkEnd w:id="10"/>
    <w:bookmarkStart w:id="11" w:name="s13-rna-sequencing"/>
    <w:p>
      <w:pPr>
        <w:pStyle w:val="Heading2"/>
      </w:pPr>
      <w:r>
        <w:t xml:space="preserve">S1.3 RNA-sequencing</w:t>
      </w:r>
    </w:p>
    <w:p>
      <w:pPr>
        <w:pStyle w:val="FirstParagraph"/>
      </w:pPr>
      <w:r>
        <w:t xml:space="preserve">RNA was extracted with AllPrep DNA/RNA Mini (Qiagen) and assessed on Bioanalyzer 2100 (Agilent); RIN ≥ 7.0 required. Stranded total RNA-seq libraries were prepared with TruSeq Stranded Total RNA with Ribo-Zero (Illumina). Sequencing: NovaSeq 6000 PE101, target 40M paired reads per sample.</w:t>
      </w:r>
    </w:p>
    <w:p>
      <w:pPr>
        <w:pStyle w:val="BodyText"/>
      </w:pPr>
      <w:r>
        <w:rPr>
          <w:b/>
          <w:bCs/>
        </w:rPr>
        <w:t xml:space="preserve">Alignment &amp; quantification.</w:t>
      </w:r>
      <w:r>
        <w:t xml:space="preserve"> </w:t>
      </w:r>
      <w:r>
        <w:t xml:space="preserve">HISAT2 2.2.1 to GRCh38 / GENCODE v39. StringTie 2.2.1 for transcript assembly and quantification with the GENCODE v39 reference annotation. Gene-level TPM matrix: 46,425 protein-coding and lncRNA features × 56 samples.</w:t>
      </w:r>
    </w:p>
    <w:p>
      <w:pPr>
        <w:pStyle w:val="BodyText"/>
      </w:pPr>
      <w:r>
        <w:rPr>
          <w:b/>
          <w:bCs/>
        </w:rPr>
        <w:t xml:space="preserve">Differential expression.</w:t>
      </w:r>
      <w:r>
        <w:t xml:space="preserve"> </w:t>
      </w:r>
      <w:r>
        <w:t xml:space="preserve">DESeq2 1.42 with the design formula</w:t>
      </w:r>
      <w:r>
        <w:t xml:space="preserve"> </w:t>
      </w:r>
      <w:r>
        <w:rPr>
          <w:rStyle w:val="VerbatimChar"/>
        </w:rPr>
        <w:t xml:space="preserve">~ sex + cT_simple + response_bin</w:t>
      </w:r>
      <w:r>
        <w:t xml:space="preserve">. Independent filtering enabled. Wald test, Benjamini–Hochberg adjustment.</w:t>
      </w:r>
    </w:p>
    <w:p>
      <w:pPr>
        <w:pStyle w:val="BodyText"/>
      </w:pPr>
      <w:r>
        <w:rPr>
          <w:b/>
          <w:bCs/>
        </w:rPr>
        <w:t xml:space="preserve">Pathway analysis.</w:t>
      </w:r>
      <w:r>
        <w:t xml:space="preserve"> </w:t>
      </w:r>
      <w:r>
        <w:t xml:space="preserve">fgsea 1.28 (Hallmark, Reactome MSigDB v2024.1.Hs); gseapy 1.1 ssGSEA on a curated panel of 95 sets (immune, DNA repair, cell cycle, EMT, hypoxia, metabolism). P-values from fgsea adaptive multilevel test that fall below 10⁻¹⁰ are reported as</w:t>
      </w:r>
      <w:r>
        <w:t xml:space="preserve"> </w:t>
      </w:r>
      <w:r>
        <w:rPr>
          <w:rStyle w:val="VerbatimChar"/>
        </w:rPr>
        <w:t xml:space="preserve">P &lt; 10⁻¹⁰</w:t>
      </w:r>
      <w:r>
        <w:t xml:space="preserve"> </w:t>
      </w:r>
      <w:r>
        <w:t xml:space="preserve">to avoid spurious precision.</w:t>
      </w:r>
    </w:p>
    <w:p>
      <w:pPr>
        <w:pStyle w:val="BodyText"/>
      </w:pPr>
      <w:r>
        <w:rPr>
          <w:b/>
          <w:bCs/>
        </w:rPr>
        <w:t xml:space="preserve">Immune deconvolution.</w:t>
      </w:r>
      <w:r>
        <w:t xml:space="preserve"> </w:t>
      </w:r>
      <w:r>
        <w:t xml:space="preserve">MCP-counter, EPIC, and quanTIseq (immunedeconv 2.1) for cross-method validation; primary results from MCP-counter and ssGSEA-derived signatures (CD8 cytotoxic, activation, proliferation, exhaustion; MHC I/II; NLRC5; TLS Cabrita; TGF-β Mariathasan; EMT Mak; hypoxia Buffa).</w:t>
      </w:r>
    </w:p>
    <w:p>
      <w:pPr>
        <w:pStyle w:val="BodyText"/>
      </w:pPr>
      <w:r>
        <w:rPr>
          <w:b/>
          <w:bCs/>
        </w:rPr>
        <w:t xml:space="preserve">Consensus molecular subtyping.</w:t>
      </w:r>
      <w:r>
        <w:t xml:space="preserve"> </w:t>
      </w:r>
      <w:r>
        <w:t xml:space="preserve">CMScaller 2.0 with default parameters.</w:t>
      </w:r>
    </w:p>
    <w:p>
      <w:pPr>
        <w:pStyle w:val="BodyText"/>
      </w:pPr>
      <w:r>
        <w:rPr>
          <w:b/>
          <w:bCs/>
        </w:rPr>
        <w:t xml:space="preserve">TCR/BCR repertoire.</w:t>
      </w:r>
      <w:r>
        <w:t xml:space="preserve"> </w:t>
      </w:r>
      <w:r>
        <w:t xml:space="preserve">TRUST4 1.1.5 with the IMGT human reference. Primary metrics: number of productive clonotypes, Shannon entropy, Gini coefficient, top-clone proportion (per IGH, IGK, IGL, TRA, TRB).</w:t>
      </w:r>
    </w:p>
    <w:bookmarkEnd w:id="11"/>
    <w:bookmarkStart w:id="12" w:name="s14-hla-class-i-typing"/>
    <w:p>
      <w:pPr>
        <w:pStyle w:val="Heading2"/>
      </w:pPr>
      <w:r>
        <w:t xml:space="preserve">S1.4 HLA class I typing</w:t>
      </w:r>
    </w:p>
    <w:p>
      <w:pPr>
        <w:pStyle w:val="FirstParagraph"/>
      </w:pPr>
      <w:r>
        <w:t xml:space="preserve">OptiType 1.3.5 on bait-extracted HLA reads (BWA-MEM realignment to a 6th-class HLA reference). 4-digit resolution required. Discordant calls between tumor and normal (5/35 subjects) were resolved using the normal-derived call.</w:t>
      </w:r>
    </w:p>
    <w:bookmarkEnd w:id="12"/>
    <w:bookmarkStart w:id="13" w:name="s15-statistical-reporting-standards"/>
    <w:p>
      <w:pPr>
        <w:pStyle w:val="Heading2"/>
      </w:pPr>
      <w:r>
        <w:t xml:space="preserve">S1.5 Statistical reporting standards</w:t>
      </w:r>
    </w:p>
    <w:p>
      <w:pPr>
        <w:pStyle w:val="Compact"/>
        <w:numPr>
          <w:ilvl w:val="0"/>
          <w:numId w:val="1001"/>
        </w:numPr>
      </w:pPr>
      <w:r>
        <w:t xml:space="preserve">Continuous comparisons: Mann–Whitney U (two-sided) for between-group; Wilcoxon signed-rank (two-sided) for within-paired-group; BCa bootstrap for confidence intervals on small-n medians.</w:t>
      </w:r>
    </w:p>
    <w:p>
      <w:pPr>
        <w:pStyle w:val="Compact"/>
        <w:numPr>
          <w:ilvl w:val="0"/>
          <w:numId w:val="1001"/>
        </w:numPr>
      </w:pPr>
      <w:r>
        <w:t xml:space="preserve">Categorical: Fisher exact (two-sided).</w:t>
      </w:r>
    </w:p>
    <w:p>
      <w:pPr>
        <w:pStyle w:val="Compact"/>
        <w:numPr>
          <w:ilvl w:val="0"/>
          <w:numId w:val="1001"/>
        </w:numPr>
      </w:pPr>
      <w:r>
        <w:t xml:space="preserve">Multiple-testing: Benjamini–Hochberg across feature panels (Table 2; Supp Text S4 for cascade BH FDR).</w:t>
      </w:r>
    </w:p>
    <w:p>
      <w:pPr>
        <w:pStyle w:val="Compact"/>
        <w:numPr>
          <w:ilvl w:val="0"/>
          <w:numId w:val="1001"/>
        </w:numPr>
      </w:pPr>
      <w:r>
        <w:t xml:space="preserve">Effect sizes reported alongside P-values throughout; for cascade claims (n = 14 paired) the BCa 95% CI is the primary inferential statistic and Mann–Whitney P is an auxiliary check.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2026-04-25T16:52:17Z</dcterms:created>
  <dcterms:modified xsi:type="dcterms:W3CDTF">2026-04-25T16:52:17Z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