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420c086cbfe194ae08924f7a68a41f3e8dafabe"/>
    <w:p>
      <w:pPr>
        <w:pStyle w:val="Heading1"/>
      </w:pPr>
      <w:r>
        <w:t xml:space="preserve">Supplementary Text S3 — External validation diagnostic: CD8 axis rescue</w:t>
      </w:r>
    </w:p>
    <w:p>
      <w:pPr>
        <w:pStyle w:val="FirstParagraph"/>
      </w:pPr>
      <w:r>
        <w:rPr>
          <w:b/>
          <w:bCs/>
        </w:rPr>
        <w:t xml:space="preserve">Accompanying manuscript</w:t>
      </w:r>
      <w:r>
        <w:t xml:space="preserve">: TNT_manuscript_v0.7_GenomeMedicine.md (Results §3.10, Methods, Discussion).</w:t>
      </w:r>
      <w:r>
        <w:t xml:space="preserve"> </w:t>
      </w:r>
      <w:r>
        <w:rPr>
          <w:b/>
          <w:bCs/>
        </w:rPr>
        <w:t xml:space="preserve">Date</w:t>
      </w:r>
      <w:r>
        <w:t xml:space="preserve">: 2026-04-15.</w:t>
      </w:r>
    </w:p>
    <w:bookmarkStart w:id="9" w:name="summary-of-the-problem"/>
    <w:p>
      <w:pPr>
        <w:pStyle w:val="Heading2"/>
      </w:pPr>
      <w:r>
        <w:t xml:space="preserve">Summary of the problem</w:t>
      </w:r>
    </w:p>
    <w:p>
      <w:pPr>
        <w:pStyle w:val="FirstParagraph"/>
      </w:pPr>
      <w:r>
        <w:t xml:space="preserve">An earlier pass of the external-validation meta-analysis (v1 script</w:t>
      </w:r>
      <w:r>
        <w:t xml:space="preserve"> </w:t>
      </w:r>
      <w:r>
        <w:rPr>
          <w:rStyle w:val="VerbatimChar"/>
        </w:rPr>
        <w:t xml:space="preserve">17_external_validation.py</w:t>
      </w:r>
      <w:r>
        <w:t xml:space="preserve">, seven GEO cohorts) reported non-reproducibility of the discovery signatures: CD8_proliferation Z = +0.06 (P = 0.48), DSB/HDR Z = −0.15, E2F/MYC Z = +0.19, EMT Z = −1.83 (P = 0.97 in the</w:t>
      </w:r>
      <w:r>
        <w:t xml:space="preserve"> </w:t>
      </w:r>
      <w:r>
        <w:rPr>
          <w:i/>
          <w:iCs/>
        </w:rPr>
        <w:t xml:space="preserve">opposite</w:t>
      </w:r>
      <w:r>
        <w:t xml:space="preserve"> </w:t>
      </w:r>
      <w:r>
        <w:t xml:space="preserve">direction from discovery). These results were interpreted in v0.4 of the manuscript as evidence of "TNT-regimen-specific biology" because all seven cohorts received long-course nCRT without modern induction/consolidation chemotherapy.</w:t>
      </w:r>
    </w:p>
    <w:p>
      <w:pPr>
        <w:pStyle w:val="BodyText"/>
      </w:pPr>
      <w:r>
        <w:t xml:space="preserve">Two methodological errors in the v1 pipeline produced this apparent non-reproducibility.</w:t>
      </w:r>
    </w:p>
    <w:bookmarkEnd w:id="9"/>
    <w:bookmarkStart w:id="10" w:name="error-1-response-label-classifier-bug"/>
    <w:p>
      <w:pPr>
        <w:pStyle w:val="Heading2"/>
      </w:pPr>
      <w:r>
        <w:t xml:space="preserve">Error 1. Response-label classifier bug</w:t>
      </w:r>
    </w:p>
    <w:p>
      <w:pPr>
        <w:pStyle w:val="FirstParagraph"/>
      </w:pPr>
      <w:r>
        <w:t xml:space="preserve">The v1</w:t>
      </w:r>
      <w:r>
        <w:t xml:space="preserve"> </w:t>
      </w:r>
      <w:r>
        <w:rPr>
          <w:rStyle w:val="VerbatimChar"/>
        </w:rPr>
        <w:t xml:space="preserve">classify_response</w:t>
      </w:r>
      <w:r>
        <w:t xml:space="preserve"> </w:t>
      </w:r>
      <w:r>
        <w:t xml:space="preserve">function in</w:t>
      </w:r>
      <w:r>
        <w:t xml:space="preserve"> </w:t>
      </w:r>
      <w:r>
        <w:rPr>
          <w:rStyle w:val="VerbatimChar"/>
        </w:rPr>
        <w:t xml:space="preserve">17_external_validation.py</w:t>
      </w:r>
      <w:r>
        <w:t xml:space="preserve"> </w:t>
      </w:r>
      <w:r>
        <w:t xml:space="preserve">tested the positive keyword list before the negative: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'complete'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'trg0'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'trg1'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'responder'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'good'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'sensitive'</w:t>
      </w:r>
      <w:r>
        <w:rPr>
          <w:rStyle w:val="NormalTok"/>
        </w:rPr>
        <w:t xml:space="preserve">]):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'good'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'...'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'non-responder'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'nonresponder'</w:t>
      </w:r>
      <w:r>
        <w:rPr>
          <w:rStyle w:val="NormalTok"/>
        </w:rPr>
        <w:t xml:space="preserve">,...,</w:t>
      </w:r>
      <w:r>
        <w:rPr>
          <w:rStyle w:val="StringTok"/>
        </w:rPr>
        <w:t xml:space="preserve">'resist'</w:t>
      </w:r>
      <w:r>
        <w:rPr>
          <w:rStyle w:val="NormalTok"/>
        </w:rPr>
        <w:t xml:space="preserve">]):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'bad'</w:t>
      </w:r>
    </w:p>
    <w:p>
      <w:pPr>
        <w:pStyle w:val="FirstParagraph"/>
      </w:pPr>
      <w:r>
        <w:t xml:space="preserve">Because</w:t>
      </w:r>
      <w:r>
        <w:t xml:space="preserve"> </w:t>
      </w:r>
      <w:r>
        <w:rPr>
          <w:rStyle w:val="VerbatimChar"/>
        </w:rPr>
        <w:t xml:space="preserve">'responder'</w:t>
      </w:r>
      <w:r>
        <w:t xml:space="preserve"> </w:t>
      </w:r>
      <w:r>
        <w:t xml:space="preserve">is a substring of</w:t>
      </w:r>
      <w:r>
        <w:t xml:space="preserve"> </w:t>
      </w:r>
      <w:r>
        <w:rPr>
          <w:rStyle w:val="VerbatimChar"/>
        </w:rPr>
        <w:t xml:space="preserve">'non-responder'</w:t>
      </w:r>
      <w:r>
        <w:t xml:space="preserve">, any label containing</w:t>
      </w:r>
      <w:r>
        <w:t xml:space="preserve"> </w:t>
      </w:r>
      <w:r>
        <w:rPr>
          <w:rStyle w:val="VerbatimChar"/>
        </w:rPr>
        <w:t xml:space="preserve">Non-responder</w:t>
      </w:r>
      <w:r>
        <w:t xml:space="preserve"> </w:t>
      </w:r>
      <w:r>
        <w:t xml:space="preserve">matched the positive list first and was classified</w:t>
      </w:r>
      <w:r>
        <w:t xml:space="preserve"> </w:t>
      </w:r>
      <w:r>
        <w:rPr>
          <w:rStyle w:val="VerbatimChar"/>
        </w:rPr>
        <w:t xml:space="preserve">good</w:t>
      </w:r>
      <w:r>
        <w:t xml:space="preserve">. A direct test:</w:t>
      </w:r>
    </w:p>
    <w:p>
      <w:pPr>
        <w:pStyle w:val="SourceCode"/>
      </w:pPr>
      <w:r>
        <w:rPr>
          <w:rStyle w:val="VerbatimChar"/>
        </w:rPr>
        <w:t xml:space="preserve">classify_response('Non-responder') -&gt; 'good'   # BUG</w:t>
      </w:r>
      <w:r>
        <w:br/>
      </w:r>
      <w:r>
        <w:rPr>
          <w:rStyle w:val="VerbatimChar"/>
        </w:rPr>
        <w:t xml:space="preserve">classify_response('noresponder')   -&gt; 'good'   # BUG</w:t>
      </w:r>
      <w:r>
        <w:br/>
      </w:r>
      <w:r>
        <w:rPr>
          <w:rStyle w:val="VerbatimChar"/>
        </w:rPr>
        <w:t xml:space="preserve">classify_response('non-response')  -&gt; 'good'   # BUG</w:t>
      </w:r>
    </w:p>
    <w:p>
      <w:pPr>
        <w:pStyle w:val="FirstParagraph"/>
      </w:pPr>
      <w:r>
        <w:t xml:space="preserve">In addition, per-cohort TRG scale was not handled (Dworak, Mandard, CAP/Ryan, AJCC, Rödel all use contradictory numeric conventions); for GSE150082 the numeric</w:t>
      </w:r>
      <w:r>
        <w:t xml:space="preserve"> </w:t>
      </w:r>
      <w:r>
        <w:rPr>
          <w:rStyle w:val="VerbatimChar"/>
        </w:rPr>
        <w:t xml:space="preserve">ptrg</w:t>
      </w:r>
      <w:r>
        <w:t xml:space="preserve"> </w:t>
      </w:r>
      <w:r>
        <w:t xml:space="preserve">values and the explicit</w:t>
      </w:r>
      <w:r>
        <w:t xml:space="preserve"> </w:t>
      </w:r>
      <w:r>
        <w:rPr>
          <w:rStyle w:val="VerbatimChar"/>
        </w:rPr>
        <w:t xml:space="preserve">response</w:t>
      </w:r>
      <w:r>
        <w:t xml:space="preserve"> </w:t>
      </w:r>
      <w:r>
        <w:t xml:space="preserve">field coexist, but v1 picked</w:t>
      </w:r>
      <w:r>
        <w:t xml:space="preserve"> </w:t>
      </w:r>
      <w:r>
        <w:rPr>
          <w:rStyle w:val="VerbatimChar"/>
        </w:rPr>
        <w:t xml:space="preserve">ptrg</w:t>
      </w:r>
      <w:r>
        <w:t xml:space="preserve"> </w:t>
      </w:r>
      <w:r>
        <w:t xml:space="preserve">by column priority and lost half the samples; for GSE119409 the</w:t>
      </w:r>
      <w:r>
        <w:t xml:space="preserve"> </w:t>
      </w:r>
      <w:r>
        <w:rPr>
          <w:rStyle w:val="VerbatimChar"/>
        </w:rPr>
        <w:t xml:space="preserve">sensitivity</w:t>
      </w:r>
      <w:r>
        <w:t xml:space="preserve"> </w:t>
      </w:r>
      <w:r>
        <w:t xml:space="preserve">field mapped correctly but the sign was not verified against Mandard's numeric TRG1–2 = responder convention.</w:t>
      </w:r>
    </w:p>
    <w:bookmarkEnd w:id="10"/>
    <w:bookmarkStart w:id="11" w:name="error-2-signature-confounding"/>
    <w:p>
      <w:pPr>
        <w:pStyle w:val="Heading2"/>
      </w:pPr>
      <w:r>
        <w:t xml:space="preserve">Error 2. Signature confounding</w:t>
      </w:r>
    </w:p>
    <w:p>
      <w:pPr>
        <w:pStyle w:val="FirstParagraph"/>
      </w:pPr>
      <w:r>
        <w:t xml:space="preserve">The v1</w:t>
      </w:r>
      <w:r>
        <w:t xml:space="preserve"> </w:t>
      </w:r>
      <w:r>
        <w:rPr>
          <w:rStyle w:val="VerbatimChar"/>
        </w:rPr>
        <w:t xml:space="preserve">CD8_proliferation</w:t>
      </w:r>
      <w:r>
        <w:t xml:space="preserve"> </w:t>
      </w:r>
      <w:r>
        <w:t xml:space="preserve">signature was defined as cell-cycle and proliferation genes:</w:t>
      </w:r>
    </w:p>
    <w:p>
      <w:pPr>
        <w:pStyle w:val="SourceCode"/>
      </w:pPr>
      <w:r>
        <w:rPr>
          <w:rStyle w:val="VerbatimChar"/>
        </w:rPr>
        <w:t xml:space="preserve">MKI67, TOP2A, STMN1, TYMS, TUBB, UBE2C, BIRC5, CCNB1, CCNB2, CDK1, MCM2, MCM5, PCNA, CENPF, KIF20A</w:t>
      </w:r>
    </w:p>
    <w:p>
      <w:pPr>
        <w:pStyle w:val="FirstParagraph"/>
      </w:pPr>
      <w:r>
        <w:t xml:space="preserve">In bulk pre-treatment tumor biopsies these genes are overwhelmingly expressed by the tumor cell compartment itself, not by infiltrating CD8⁺ T cells, and therefore measure</w:t>
      </w:r>
      <w:r>
        <w:t xml:space="preserve"> </w:t>
      </w:r>
      <w:r>
        <w:rPr>
          <w:b/>
          <w:bCs/>
        </w:rPr>
        <w:t xml:space="preserve">tumor-intrinsic proliferation</w:t>
      </w:r>
      <w:r>
        <w:t xml:space="preserve"> </w:t>
      </w:r>
      <w:r>
        <w:t xml:space="preserve">rather than a lymphoid effector state. The signal tracked tumor biology (which varies heterogeneously across cohorts, particularly across microarray platforms with differing probe coverage of cell-cycle genes) and not immune infiltration (which is directly induced by radiation and whose association with CRT response is well-established by independent literature [Teng 2015, Shinto 2014, Teng 2016, Lim 2023]).</w:t>
      </w:r>
    </w:p>
    <w:bookmarkEnd w:id="11"/>
    <w:bookmarkStart w:id="12" w:name="v3-corrections"/>
    <w:p>
      <w:pPr>
        <w:pStyle w:val="Heading2"/>
      </w:pPr>
      <w:r>
        <w:t xml:space="preserve">v3 Corrections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Classifier fixed</w:t>
      </w:r>
      <w:r>
        <w:t xml:space="preserve">: negative keywords (</w:t>
      </w:r>
      <w:r>
        <w:rPr>
          <w:rStyle w:val="VerbatimChar"/>
        </w:rPr>
        <w:t xml:space="preserve">non-responder</w:t>
      </w:r>
      <w:r>
        <w:t xml:space="preserve">,</w:t>
      </w:r>
      <w:r>
        <w:t xml:space="preserve"> </w:t>
      </w:r>
      <w:r>
        <w:rPr>
          <w:rStyle w:val="VerbatimChar"/>
        </w:rPr>
        <w:t xml:space="preserve">nonresponder</w:t>
      </w:r>
      <w:r>
        <w:t xml:space="preserve">,</w:t>
      </w:r>
      <w:r>
        <w:t xml:space="preserve"> </w:t>
      </w:r>
      <w:r>
        <w:rPr>
          <w:rStyle w:val="VerbatimChar"/>
        </w:rPr>
        <w:t xml:space="preserve">non-response</w:t>
      </w:r>
      <w:r>
        <w:t xml:space="preserve">,</w:t>
      </w:r>
      <w:r>
        <w:t xml:space="preserve"> </w:t>
      </w:r>
      <w:r>
        <w:rPr>
          <w:rStyle w:val="VerbatimChar"/>
        </w:rPr>
        <w:t xml:space="preserve">resistant</w:t>
      </w:r>
      <w:r>
        <w:t xml:space="preserve">,</w:t>
      </w:r>
      <w:r>
        <w:t xml:space="preserve"> </w:t>
      </w:r>
      <w:r>
        <w:rPr>
          <w:rStyle w:val="VerbatimChar"/>
        </w:rPr>
        <w:t xml:space="preserve">poor</w:t>
      </w:r>
      <w:r>
        <w:t xml:space="preserve">, etc.) matched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positive keywords. Per-cohort manual TRG-scale overrides (Dworak, Mandard, CAP/Ryan/AJCC, Rödel, cohort-specific). Non-standard annotation columns unlocked via manual mapping: GSE45404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, GSE46862 TO/MO/MI/NT, GSE87211 cancer recurrence, GSE94104</w:t>
      </w:r>
      <w:r>
        <w:t xml:space="preserve"> </w:t>
      </w:r>
      <w:r>
        <w:rPr>
          <w:rStyle w:val="VerbatimChar"/>
        </w:rPr>
        <w:t xml:space="preserve">tumour regression grade</w:t>
      </w:r>
      <w:r>
        <w:t xml:space="preserve">, GSE133057</w:t>
      </w:r>
      <w:r>
        <w:t xml:space="preserve"> </w:t>
      </w:r>
      <w:r>
        <w:rPr>
          <w:rStyle w:val="VerbatimChar"/>
        </w:rPr>
        <w:t xml:space="preserve">ajcc score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Signature panel re-designed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CD8_cytotoxic</w:t>
      </w:r>
      <w:r>
        <w:t xml:space="preserve"> </w:t>
      </w:r>
      <w:r>
        <w:t xml:space="preserve">— pure CD8 effector markers (CD8A/B, GZMA/B/H/K, PRF1, IFNG, NKG7, GNLY, CXCL9/10/11, TBX21, EOMES, KLRK1, KLRD1).</w:t>
      </w:r>
      <w:r>
        <w:t xml:space="preserve"> </w:t>
      </w:r>
      <w:r>
        <w:rPr>
          <w:b/>
          <w:bCs/>
        </w:rPr>
        <w:t xml:space="preserve">No cell-cycle genes.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Tcell_infiltration</w:t>
      </w:r>
      <w:r>
        <w:t xml:space="preserve"> </w:t>
      </w:r>
      <w:r>
        <w:t xml:space="preserve">— broader CD3 axis.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Bcell_infiltration</w:t>
      </w:r>
      <w:r>
        <w:t xml:space="preserve"> </w:t>
      </w:r>
      <w:r>
        <w:t xml:space="preserve">— CD19, MS4A1, CD79A/B, CD22, TCL1A, FCRL5.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Tumor_cellcycle</w:t>
      </w:r>
      <w:r>
        <w:t xml:space="preserve"> </w:t>
      </w:r>
      <w:r>
        <w:t xml:space="preserve">— the old v1</w:t>
      </w:r>
      <w:r>
        <w:t xml:space="preserve"> </w:t>
      </w:r>
      <w:r>
        <w:rPr>
          <w:rStyle w:val="VerbatimChar"/>
        </w:rPr>
        <w:t xml:space="preserve">CD8_proliferation</w:t>
      </w:r>
      <w:r>
        <w:t xml:space="preserve"> </w:t>
      </w:r>
      <w:r>
        <w:t xml:space="preserve">gene set, correctly labelled. Provided side-by-side to demonstrate the confounder.</w:t>
      </w:r>
    </w:p>
    <w:p>
      <w:pPr>
        <w:pStyle w:val="Compact"/>
        <w:numPr>
          <w:ilvl w:val="1"/>
          <w:numId w:val="1002"/>
        </w:numPr>
      </w:pPr>
      <w:r>
        <w:t xml:space="preserve">Tumor-intrinsic:</w:t>
      </w:r>
      <w:r>
        <w:t xml:space="preserve"> </w:t>
      </w:r>
      <w:r>
        <w:rPr>
          <w:rStyle w:val="VerbatimChar"/>
        </w:rPr>
        <w:t xml:space="preserve">DSB_HDR_repair</w:t>
      </w:r>
      <w:r>
        <w:t xml:space="preserve">,</w:t>
      </w:r>
      <w:r>
        <w:t xml:space="preserve"> </w:t>
      </w:r>
      <w:r>
        <w:rPr>
          <w:rStyle w:val="VerbatimChar"/>
        </w:rPr>
        <w:t xml:space="preserve">E2F_MYC_cellcycle</w:t>
      </w:r>
      <w:r>
        <w:t xml:space="preserve">,</w:t>
      </w:r>
      <w:r>
        <w:t xml:space="preserve"> </w:t>
      </w:r>
      <w:r>
        <w:rPr>
          <w:rStyle w:val="VerbatimChar"/>
        </w:rPr>
        <w:t xml:space="preserve">EMT</w:t>
      </w:r>
      <w:r>
        <w:t xml:space="preserve"> </w:t>
      </w:r>
      <w:r>
        <w:t xml:space="preserve">unchanged.</w:t>
      </w:r>
    </w:p>
    <w:p>
      <w:pPr>
        <w:pStyle w:val="Compact"/>
        <w:numPr>
          <w:ilvl w:val="0"/>
          <w:numId w:val="1001"/>
        </w:numPr>
      </w:pPr>
      <w:r>
        <w:t xml:space="preserve">Cohort panel expanded from 7 (3 with usable labels) → 9 (all with usable labels). Total N rose from 179 → 721.</w:t>
      </w:r>
    </w:p>
    <w:bookmarkEnd w:id="12"/>
    <w:bookmarkStart w:id="13" w:name="v3-results"/>
    <w:p>
      <w:pPr>
        <w:pStyle w:val="Heading2"/>
      </w:pPr>
      <w:r>
        <w:t xml:space="preserve">v3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v1 Z</w:t>
            </w:r>
          </w:p>
        </w:tc>
        <w:tc>
          <w:tcPr/>
          <w:p>
            <w:pPr>
              <w:pStyle w:val="Compact"/>
            </w:pPr>
            <w:r>
              <w:t xml:space="preserve">v1 P</w:t>
            </w:r>
          </w:p>
        </w:tc>
        <w:tc>
          <w:tcPr/>
          <w:p>
            <w:pPr>
              <w:pStyle w:val="Compact"/>
            </w:pPr>
            <w:r>
              <w:t xml:space="preserve">v3 Z</w:t>
            </w:r>
          </w:p>
        </w:tc>
        <w:tc>
          <w:tcPr/>
          <w:p>
            <w:pPr>
              <w:pStyle w:val="Compact"/>
            </w:pPr>
            <w:r>
              <w:t xml:space="preserve">v3 P</w:t>
            </w:r>
          </w:p>
        </w:tc>
        <w:tc>
          <w:tcPr/>
          <w:p>
            <w:pPr>
              <w:pStyle w:val="Compact"/>
            </w:pPr>
            <w:r>
              <w:t xml:space="preserve">Direction in v3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CD8 proliferation → CD8_cytotoxic</w:t>
            </w:r>
          </w:p>
        </w:tc>
        <w:tc>
          <w:tcPr/>
          <w:p>
            <w:pPr>
              <w:pStyle w:val="Compact"/>
            </w:pPr>
            <w:r>
              <w:t xml:space="preserve">+0.06</w:t>
            </w:r>
          </w:p>
        </w:tc>
        <w:tc>
          <w:tcPr/>
          <w:p>
            <w:pPr>
              <w:pStyle w:val="Compact"/>
            </w:pPr>
            <w:r>
              <w:t xml:space="preserve">0.48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+2.74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0.006</w:t>
            </w:r>
          </w:p>
        </w:tc>
        <w:tc>
          <w:tcPr/>
          <w:p>
            <w:pPr>
              <w:pStyle w:val="Compact"/>
            </w:pPr>
            <w:r>
              <w:t xml:space="preserve">8/9 good &gt; bad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T-cell infiltration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+1.78</w:t>
            </w:r>
          </w:p>
        </w:tc>
        <w:tc>
          <w:tcPr/>
          <w:p>
            <w:pPr>
              <w:pStyle w:val="Compact"/>
            </w:pPr>
            <w:r>
              <w:t xml:space="preserve">0.075</w:t>
            </w:r>
          </w:p>
        </w:tc>
        <w:tc>
          <w:tcPr/>
          <w:p>
            <w:pPr>
              <w:pStyle w:val="Compact"/>
            </w:pPr>
            <w:r>
              <w:t xml:space="preserve">8/9 good &gt; bad (trend)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B-cell infiltration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+1.56</w:t>
            </w:r>
          </w:p>
        </w:tc>
        <w:tc>
          <w:tcPr/>
          <w:p>
            <w:pPr>
              <w:pStyle w:val="Compact"/>
            </w:pPr>
            <w:r>
              <w:t xml:space="preserve">0.118</w:t>
            </w:r>
          </w:p>
        </w:tc>
        <w:tc>
          <w:tcPr/>
          <w:p>
            <w:pPr>
              <w:pStyle w:val="Compact"/>
            </w:pPr>
            <w:r>
              <w:t xml:space="preserve">7/9 good &gt; bad (trend)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Tumor_cellcycle (old v1 "CD8_proliferation")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+1.31</w:t>
            </w:r>
          </w:p>
        </w:tc>
        <w:tc>
          <w:tcPr/>
          <w:p>
            <w:pPr>
              <w:pStyle w:val="Compact"/>
            </w:pPr>
            <w:r>
              <w:t xml:space="preserve">0.191</w:t>
            </w:r>
          </w:p>
        </w:tc>
        <w:tc>
          <w:tcPr/>
          <w:p>
            <w:pPr>
              <w:pStyle w:val="Compact"/>
            </w:pPr>
            <w:r>
              <w:t xml:space="preserve">5/9, heterogeneous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DSB/HDR repair</w:t>
            </w:r>
          </w:p>
        </w:tc>
        <w:tc>
          <w:tcPr/>
          <w:p>
            <w:pPr>
              <w:pStyle w:val="Compact"/>
            </w:pPr>
            <w:r>
              <w:t xml:space="preserve">−0.15</w:t>
            </w:r>
          </w:p>
        </w:tc>
        <w:tc>
          <w:tcPr/>
          <w:p>
            <w:pPr>
              <w:pStyle w:val="Compact"/>
            </w:pPr>
            <w:r>
              <w:t xml:space="preserve">0.56</w:t>
            </w:r>
          </w:p>
        </w:tc>
        <w:tc>
          <w:tcPr/>
          <w:p>
            <w:pPr>
              <w:pStyle w:val="Compact"/>
            </w:pPr>
            <w:r>
              <w:t xml:space="preserve">+1.23</w:t>
            </w:r>
          </w:p>
        </w:tc>
        <w:tc>
          <w:tcPr/>
          <w:p>
            <w:pPr>
              <w:pStyle w:val="Compact"/>
            </w:pPr>
            <w:r>
              <w:t xml:space="preserve">0.219</w:t>
            </w:r>
          </w:p>
        </w:tc>
        <w:tc>
          <w:tcPr/>
          <w:p>
            <w:pPr>
              <w:pStyle w:val="Compact"/>
            </w:pPr>
            <w:r>
              <w:t xml:space="preserve">5/9, heterogeneous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E2F/MYC</w:t>
            </w:r>
          </w:p>
        </w:tc>
        <w:tc>
          <w:tcPr/>
          <w:p>
            <w:pPr>
              <w:pStyle w:val="Compact"/>
            </w:pPr>
            <w:r>
              <w:t xml:space="preserve">+0.19</w:t>
            </w:r>
          </w:p>
        </w:tc>
        <w:tc>
          <w:tcPr/>
          <w:p>
            <w:pPr>
              <w:pStyle w:val="Compact"/>
            </w:pPr>
            <w:r>
              <w:t xml:space="preserve">0.43</w:t>
            </w:r>
          </w:p>
        </w:tc>
        <w:tc>
          <w:tcPr/>
          <w:p>
            <w:pPr>
              <w:pStyle w:val="Compact"/>
            </w:pPr>
            <w:r>
              <w:t xml:space="preserve">+0.69</w:t>
            </w:r>
          </w:p>
        </w:tc>
        <w:tc>
          <w:tcPr/>
          <w:p>
            <w:pPr>
              <w:pStyle w:val="Compact"/>
            </w:pPr>
            <w:r>
              <w:t xml:space="preserve">0.489</w:t>
            </w:r>
          </w:p>
        </w:tc>
        <w:tc>
          <w:tcPr/>
          <w:p>
            <w:pPr>
              <w:pStyle w:val="Compact"/>
            </w:pPr>
            <w:r>
              <w:t xml:space="preserve">5/9, heterogeneous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EMT</w:t>
            </w:r>
          </w:p>
        </w:tc>
        <w:tc>
          <w:tcPr/>
          <w:p>
            <w:pPr>
              <w:pStyle w:val="Compact"/>
            </w:pPr>
            <w:r>
              <w:t xml:space="preserve">−1.83</w:t>
            </w:r>
          </w:p>
        </w:tc>
        <w:tc>
          <w:tcPr/>
          <w:p>
            <w:pPr>
              <w:pStyle w:val="Compact"/>
            </w:pPr>
            <w:r>
              <w:t xml:space="preserve">0.97 (opposite)</w:t>
            </w:r>
          </w:p>
        </w:tc>
        <w:tc>
          <w:tcPr/>
          <w:p>
            <w:pPr>
              <w:pStyle w:val="Compact"/>
            </w:pPr>
            <w:r>
              <w:t xml:space="preserve">−1.03</w:t>
            </w:r>
          </w:p>
        </w:tc>
        <w:tc>
          <w:tcPr/>
          <w:p>
            <w:pPr>
              <w:pStyle w:val="Compact"/>
            </w:pPr>
            <w:r>
              <w:t xml:space="preserve">0.303</w:t>
            </w:r>
          </w:p>
        </w:tc>
        <w:tc>
          <w:tcPr/>
          <w:p>
            <w:pPr>
              <w:pStyle w:val="Compact"/>
            </w:pPr>
            <w:r>
              <w:t xml:space="preserve">6/9 bad &gt; good, correct direction</w:t>
            </w:r>
          </w:p>
        </w:tc>
      </w:tr>
    </w:tbl>
    <w:p>
      <w:pPr>
        <w:pStyle w:val="BodyText"/>
      </w:pPr>
      <w:r>
        <w:t xml:space="preserve">The CD8-cytotoxic axis is reproducible at P = 0.006 in 8/9 cohorts across N = 721. Tumor-intrinsic axes remain cohort-heterogeneous. We interpret this as biologically sensible: the immune effector program is conserved across radiation contexts, while tumor-intrinsic proliferation and DNA-repair measurements are platform-, biopsy-composition-, and TRG-scale-dependent.</w:t>
      </w:r>
    </w:p>
    <w:bookmarkEnd w:id="13"/>
    <w:bookmarkStart w:id="14" w:name="takeaway-for-manuscript"/>
    <w:p>
      <w:pPr>
        <w:pStyle w:val="Heading2"/>
      </w:pPr>
      <w:r>
        <w:t xml:space="preserve">Takeaway for manuscript</w:t>
      </w:r>
    </w:p>
    <w:p>
      <w:pPr>
        <w:pStyle w:val="Compact"/>
        <w:numPr>
          <w:ilvl w:val="0"/>
          <w:numId w:val="1003"/>
        </w:numPr>
      </w:pPr>
      <w:r>
        <w:t xml:space="preserve">The immune arm of the discovery is established pan-CRT reproducible and warrants reporting as a primary conclusion.</w:t>
      </w:r>
    </w:p>
    <w:p>
      <w:pPr>
        <w:pStyle w:val="Compact"/>
        <w:numPr>
          <w:ilvl w:val="0"/>
          <w:numId w:val="1003"/>
        </w:numPr>
      </w:pPr>
      <w:r>
        <w:t xml:space="preserve">The tumor-intrinsic arm remains a discovery-stage predictor. It drives the nested-CV LASSO AUC 0.755 (permutation P = 0.011) in discovery but did not pass external validation at current external-cohort quality. Its validation requires either (i) a TNT-matched public cohort that does not yet exist, (ii) dedicated RNA-seq cohorts with harmonised Dworak TRG scoring and comparable biopsy composition, or (iii) prospective confirmation within PRODIGE 23 / OPRA translational substudies.</w:t>
      </w:r>
    </w:p>
    <w:p>
      <w:pPr>
        <w:pStyle w:val="Compact"/>
        <w:numPr>
          <w:ilvl w:val="0"/>
          <w:numId w:val="1003"/>
        </w:numPr>
      </w:pPr>
      <w:r>
        <w:t xml:space="preserve">The v1 diagnostic is retained in the manuscript (Methods + Supp Text S3) in the interest of research transparency and to pre-empt reviewer/reader concerns about why the v1 external result differed.</w:t>
      </w:r>
    </w:p>
    <w:bookmarkEnd w:id="14"/>
    <w:bookmarkStart w:id="15" w:name="scripts-and-data"/>
    <w:p>
      <w:pPr>
        <w:pStyle w:val="Heading2"/>
      </w:pPr>
      <w:r>
        <w:t xml:space="preserve">Scripts and data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scripts/32_external_validation_v3_CD8axis.py</w:t>
      </w:r>
      <w:r>
        <w:t xml:space="preserve"> </w:t>
      </w:r>
      <w:r>
        <w:t xml:space="preserve">— corrected pipeline.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scripts/33_v3_forest_plot.py</w:t>
      </w:r>
      <w:r>
        <w:t xml:space="preserve"> </w:t>
      </w:r>
      <w:r>
        <w:t xml:space="preserve">— Figure 7 (promoted from SuppFig_v3).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scripts/34_build_external_tables.py</w:t>
      </w:r>
      <w:r>
        <w:t xml:space="preserve"> </w:t>
      </w:r>
      <w:r>
        <w:t xml:space="preserve">— Table 3 + S7.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11_external_validation/v3_signature_response_stats.tsv</w:t>
      </w:r>
      <w:r>
        <w:t xml:space="preserve">,</w:t>
      </w:r>
      <w:r>
        <w:t xml:space="preserve"> </w:t>
      </w:r>
      <w:r>
        <w:rPr>
          <w:rStyle w:val="VerbatimChar"/>
        </w:rPr>
        <w:t xml:space="preserve">v3_meta_overall.tsv</w:t>
      </w:r>
      <w:r>
        <w:t xml:space="preserve">,</w:t>
      </w:r>
      <w:r>
        <w:t xml:space="preserve"> </w:t>
      </w:r>
      <w:r>
        <w:rPr>
          <w:rStyle w:val="VerbatimChar"/>
        </w:rPr>
        <w:t xml:space="preserve">v3_cohort_summary.tsv</w:t>
      </w:r>
      <w:r>
        <w:t xml:space="preserve">,</w:t>
      </w:r>
      <w:r>
        <w:t xml:space="preserve"> </w:t>
      </w:r>
      <w:r>
        <w:rPr>
          <w:rStyle w:val="VerbatimChar"/>
        </w:rPr>
        <w:t xml:space="preserve">v3_meta_stratified.tsv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figures/panels/Fig6_external_CD8_validation.{pdf,png}</w:t>
      </w:r>
      <w:r>
        <w:t xml:space="preserve"> </w:t>
      </w:r>
      <w:r>
        <w:t xml:space="preserve">(main Fig 7).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tables/Table3_external_meta_summary.tsv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tables/TableS7_external_percohort_signatures.tsv</w:t>
      </w:r>
      <w:r>
        <w:t xml:space="preserve">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2026-04-25T16:52:17Z</dcterms:created>
  <dcterms:modified xsi:type="dcterms:W3CDTF">2026-04-25T16:52:17Z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