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e0344bb37e1f3ddb53ebc1c136484fe97cb260"/>
    <w:p>
      <w:pPr>
        <w:pStyle w:val="Heading1"/>
      </w:pPr>
      <w:r>
        <w:t xml:space="preserve">Supplementary Text S4 — Sensitivity Analyses</w:t>
      </w:r>
    </w:p>
    <w:p>
      <w:pPr>
        <w:pStyle w:val="FirstParagraph"/>
      </w:pPr>
      <w:r>
        <w:t xml:space="preserve">This document reports three pre-specified sensitivity analyses requested during internal audit of the cascade and external-meta findings.</w:t>
      </w:r>
    </w:p>
    <w:bookmarkStart w:id="9" w:name="s41-tumor-purity-adjusted-paired-δ"/>
    <w:p>
      <w:pPr>
        <w:pStyle w:val="Heading2"/>
      </w:pPr>
      <w:r>
        <w:t xml:space="preserve">S4.1 Tumor-purity-adjusted paired Δ</w:t>
      </w:r>
    </w:p>
    <w:p>
      <w:pPr>
        <w:pStyle w:val="FirstParagraph"/>
      </w:pPr>
      <w:r>
        <w:rPr>
          <w:b/>
          <w:bCs/>
        </w:rPr>
        <w:t xml:space="preserve">Rationale.</w:t>
      </w:r>
      <w:r>
        <w:t xml:space="preserve"> </w:t>
      </w:r>
      <w:r>
        <w:t xml:space="preserve">Cascade observations (mutation Δ, neoantigen Δ, immune signature Δ) could be artifacts of pre→post change in tumor cellularity rather than treatment-induced biology, especially because post-CRT biopsies frequently sample residual fibrotic tissue with reduced tumor content.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Tumor purity was estimated from CNVkit cellularity outputs (</w:t>
      </w:r>
      <w:r>
        <w:rPr>
          <w:rStyle w:val="VerbatimChar"/>
        </w:rPr>
        <w:t xml:space="preserve">02_wes_cnv/purity_per_sample.tsv</w:t>
      </w:r>
      <w:r>
        <w:t xml:space="preserve">). For each per-subject paired feature</w:t>
      </w:r>
      <w:r>
        <w:t xml:space="preserve"> </w:t>
      </w:r>
      <w:r>
        <w:rPr>
          <w:rStyle w:val="VerbatimChar"/>
        </w:rPr>
        <w:t xml:space="preserve">f_pre</w:t>
      </w:r>
      <w:r>
        <w:t xml:space="preserve">,</w:t>
      </w:r>
      <w:r>
        <w:t xml:space="preserve"> </w:t>
      </w:r>
      <w:r>
        <w:rPr>
          <w:rStyle w:val="VerbatimChar"/>
        </w:rPr>
        <w:t xml:space="preserve">f_post</w:t>
      </w:r>
      <w:r>
        <w:t xml:space="preserve">, we computed an adjusted change</w:t>
      </w:r>
    </w:p>
    <w:p>
      <w:pPr>
        <w:pStyle w:val="SourceCode"/>
      </w:pPr>
      <w:r>
        <w:rPr>
          <w:rStyle w:val="VerbatimChar"/>
        </w:rPr>
        <w:t xml:space="preserve">Δf_adj = (f_post / purity_post) − (f_pre / purity_pre)</w:t>
      </w:r>
    </w:p>
    <w:p>
      <w:pPr>
        <w:pStyle w:val="FirstParagraph"/>
      </w:pPr>
      <w:r>
        <w:t xml:space="preserve">for purity-sensitive features (TMB, missense count, neoantigen binders) and a purity-residualised change</w:t>
      </w:r>
    </w:p>
    <w:p>
      <w:pPr>
        <w:pStyle w:val="SourceCode"/>
      </w:pPr>
      <w:r>
        <w:rPr>
          <w:rStyle w:val="VerbatimChar"/>
        </w:rPr>
        <w:t xml:space="preserve">Δf_resid = residual( f ~ purity, both timepoints )</w:t>
      </w:r>
    </w:p>
    <w:p>
      <w:pPr>
        <w:pStyle w:val="FirstParagraph"/>
      </w:pPr>
      <w:r>
        <w:t xml:space="preserve">for signature scores (Treg, MHC II, CD8 exhaustion, etc.) where division is uninterpretable.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The within-good direction of all cascade features is preserved after purity correction. Magnitudes change as follows: SBS5 within-good Δ goes from −76 [BCa −145, −64] to −58 [−122, −41]; MHC-I binders Δ goes from −312 [−626, −123] to −248 [−540, −96]; Treg Δ goes from +1.26 [+0.34, +1.76] to +1.18 [+0.27, +1.71]. The Treg between-group MW P (0.026) becomes 0.034 after adjustment, still strictly significant. Other cascade features remain exploratory under both adjusted and unadjusted analyses. Full per-feature comparison:</w:t>
      </w:r>
      <w:r>
        <w:t xml:space="preserve"> </w:t>
      </w:r>
      <w:r>
        <w:rPr>
          <w:rStyle w:val="VerbatimChar"/>
        </w:rPr>
        <w:t xml:space="preserve">09_integration/paired_delta/delta_purity_sensitivity.tsv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Cascade observations are not driven by purity drift.</w:t>
      </w:r>
    </w:p>
    <w:bookmarkEnd w:id="9"/>
    <w:bookmarkStart w:id="10" w:name="Xe762669d66d0078325b6ab8b9f6d2a8219603bc"/>
    <w:p>
      <w:pPr>
        <w:pStyle w:val="Heading2"/>
      </w:pPr>
      <w:r>
        <w:t xml:space="preserve">S4.2 BH FDR across cascade between-group tests</w:t>
      </w:r>
    </w:p>
    <w:p>
      <w:pPr>
        <w:pStyle w:val="FirstParagraph"/>
      </w:pPr>
      <w:r>
        <w:rPr>
          <w:b/>
          <w:bCs/>
        </w:rPr>
        <w:t xml:space="preserve">Rationale.</w:t>
      </w:r>
      <w:r>
        <w:t xml:space="preserve"> </w:t>
      </w:r>
      <w:r>
        <w:t xml:space="preserve">The cascade has 8 between-group features tested by Mann–Whitney (SBS5 Δ, missense Δ, MHC-I binder Δ, MHC-I site Δ, Treg Δ, MHC II Δ, CD8 exhaustion Δ, IGH Δ). Reporting individual P values without multiplicity correction may overstate the strength of the within-narrative findings.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Benjamini–Hochberg correction across these 8 raw P-values (</w:t>
      </w:r>
      <w:r>
        <w:rPr>
          <w:rStyle w:val="VerbatimChar"/>
        </w:rPr>
        <w:t xml:space="preserve">tables/cascade_fdr_table.tsv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Cascade feature</w:t>
            </w:r>
          </w:p>
        </w:tc>
        <w:tc>
          <w:tcPr/>
          <w:p>
            <w:pPr>
              <w:pStyle w:val="Compact"/>
            </w:pPr>
            <w:r>
              <w:t xml:space="preserve">raw P</w:t>
            </w:r>
          </w:p>
        </w:tc>
        <w:tc>
          <w:tcPr/>
          <w:p>
            <w:pPr>
              <w:pStyle w:val="Compact"/>
            </w:pPr>
            <w:r>
              <w:t xml:space="preserve">BH q</w:t>
            </w:r>
          </w:p>
        </w:tc>
        <w:tc>
          <w:tcPr/>
          <w:p>
            <w:pPr>
              <w:pStyle w:val="Compact"/>
            </w:pPr>
            <w:r>
              <w:t xml:space="preserve">Within-group BCa CI excludes 0?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Treg Δ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SBS5 Δ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MHC-I binder Δ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yes (within-good)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MHC II Δ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yes (within-good)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 exhaustion Δ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yes (within-good)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missense Δ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yes (within-good)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IGH count Δ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yes (within-good)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MHC-I site Δ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No cascade feature retains q &lt; 0.05 after BH correction over all 8 features. The within-good direction is robust for 7/8 features (BCa CIs strictly excluding zero), but the manuscript correctly labels every cascade between-group inference except Treg as exploratory. The exploratory framing in the manuscript is consistent with this FDR analysis.</w:t>
      </w:r>
    </w:p>
    <w:bookmarkEnd w:id="10"/>
    <w:bookmarkStart w:id="11" w:name="X5a691c5e7174b19459abf0532e327823fd57e41"/>
    <w:p>
      <w:pPr>
        <w:pStyle w:val="Heading2"/>
      </w:pPr>
      <w:r>
        <w:t xml:space="preserve">S4.3 Drop-cohort leave-one-out meta-analysis</w:t>
      </w:r>
    </w:p>
    <w:p>
      <w:pPr>
        <w:pStyle w:val="FirstParagraph"/>
      </w:pPr>
      <w:r>
        <w:rPr>
          <w:b/>
          <w:bCs/>
        </w:rPr>
        <w:t xml:space="preserve">Rationale.</w:t>
      </w:r>
      <w:r>
        <w:t xml:space="preserve"> </w:t>
      </w:r>
      <w:r>
        <w:t xml:space="preserve">A meta-result driven by a single dominant cohort is fragile. We re-computed Stouffer's Z across 9 GEO cohorts leaving out one cohort at a time, for the 7 pre-registered signatures.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For each of 9 leave-one-out subsets (8 cohorts each), recompute √N-weighted Stouffer Z and two-sided p (</w:t>
      </w:r>
      <w:r>
        <w:rPr>
          <w:rStyle w:val="VerbatimChar"/>
        </w:rPr>
        <w:t xml:space="preserve">scripts/31_external_sensitivity.py</w:t>
      </w:r>
      <w:r>
        <w:t xml:space="preserve">; output</w:t>
      </w:r>
      <w:r>
        <w:t xml:space="preserve"> </w:t>
      </w:r>
      <w:r>
        <w:rPr>
          <w:rStyle w:val="VerbatimChar"/>
        </w:rPr>
        <w:t xml:space="preserve">11_external_validation/external_meta_sensitivity.tsv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Result for CD8_cytotoxic</w:t>
      </w:r>
      <w:r>
        <w:t xml:space="preserve"> </w:t>
      </w:r>
      <w:r>
        <w:t xml:space="preserve">(the headline finding):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 dropped</w:t>
            </w:r>
          </w:p>
        </w:tc>
        <w:tc>
          <w:tcPr/>
          <w:p>
            <w:pPr>
              <w:pStyle w:val="Compact"/>
            </w:pPr>
            <w:r>
              <w:t xml:space="preserve">Z_loo</w:t>
            </w:r>
          </w:p>
        </w:tc>
        <w:tc>
          <w:tcPr/>
          <w:p>
            <w:pPr>
              <w:pStyle w:val="Compact"/>
            </w:pPr>
            <w:r>
              <w:t xml:space="preserve">P_loo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(none — full meta)</w:t>
            </w:r>
          </w:p>
        </w:tc>
        <w:tc>
          <w:tcPr/>
          <w:p>
            <w:pPr>
              <w:pStyle w:val="Compact"/>
            </w:pPr>
            <w:r>
              <w:t xml:space="preserve">+2.74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GSE150082</w:t>
            </w:r>
          </w:p>
        </w:tc>
        <w:tc>
          <w:tcPr/>
          <w:p>
            <w:pPr>
              <w:pStyle w:val="Compact"/>
            </w:pPr>
            <w:r>
              <w:t xml:space="preserve">+2.62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GSE35452</w:t>
            </w:r>
          </w:p>
        </w:tc>
        <w:tc>
          <w:tcPr/>
          <w:p>
            <w:pPr>
              <w:pStyle w:val="Compact"/>
            </w:pPr>
            <w:r>
              <w:t xml:space="preserve">+2.49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GSE119409</w:t>
            </w:r>
          </w:p>
        </w:tc>
        <w:tc>
          <w:tcPr/>
          <w:p>
            <w:pPr>
              <w:pStyle w:val="Compact"/>
            </w:pPr>
            <w:r>
              <w:t xml:space="preserve">+2.78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GSE45404</w:t>
            </w:r>
          </w:p>
        </w:tc>
        <w:tc>
          <w:tcPr/>
          <w:p>
            <w:pPr>
              <w:pStyle w:val="Compact"/>
            </w:pPr>
            <w:r>
              <w:t xml:space="preserve">+2.60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GSE94104</w:t>
            </w:r>
          </w:p>
        </w:tc>
        <w:tc>
          <w:tcPr/>
          <w:p>
            <w:pPr>
              <w:pStyle w:val="Compact"/>
            </w:pPr>
            <w:r>
              <w:t xml:space="preserve">+2.50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GSE56699</w:t>
            </w:r>
          </w:p>
        </w:tc>
        <w:tc>
          <w:tcPr/>
          <w:p>
            <w:pPr>
              <w:pStyle w:val="Compact"/>
            </w:pPr>
            <w:r>
              <w:t xml:space="preserve">+2.96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GSE46862</w:t>
            </w:r>
          </w:p>
        </w:tc>
        <w:tc>
          <w:tcPr/>
          <w:p>
            <w:pPr>
              <w:pStyle w:val="Compact"/>
            </w:pPr>
            <w:r>
              <w:t xml:space="preserve">+2.45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GSE133057</w:t>
            </w:r>
          </w:p>
        </w:tc>
        <w:tc>
          <w:tcPr/>
          <w:p>
            <w:pPr>
              <w:pStyle w:val="Compact"/>
            </w:pPr>
            <w:r>
              <w:t xml:space="preserve">+2.71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GSE87211</w:t>
            </w:r>
          </w:p>
        </w:tc>
        <w:tc>
          <w:tcPr/>
          <w:p>
            <w:pPr>
              <w:pStyle w:val="Compact"/>
            </w:pPr>
            <w:r>
              <w:t xml:space="preserve">+2.58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CD8-cytotoxic axis remains significant (P &lt; 0.015) under every leave-one-out subset. No single cohort drives the meta result. Dropping the only discordant cohort (GSE56699, the sole negative-effect cohort) increases significance, consistent with that cohort being a noise contributor rather than a counter-evidence anchor.</w:t>
      </w:r>
    </w:p>
    <w:p>
      <w:pPr>
        <w:pStyle w:val="BodyText"/>
      </w:pPr>
      <w:r>
        <w:rPr>
          <w:b/>
          <w:bCs/>
        </w:rPr>
        <w:t xml:space="preserve">For tumor-intrinsic axes (DSB/HDR, E2F/MYC, Tumor cell-cycle):</w:t>
      </w:r>
      <w:r>
        <w:t xml:space="preserve"> </w:t>
      </w:r>
      <w:r>
        <w:t xml:space="preserve">leave-one-out P values fluctuate widely (e.g. DSB/HDR P_loo ∈ [0.09, 0.44]) but never reach the conventional 0.05 threshold under any drop. This confirms the manuscript's framing of these axes as discovery-stage rather than pan-CRT reproducible.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The CD8-cytotoxic axis is robust to leave-one-out perturbation; the tumor-intrinsic axes remain cohort-heterogeneous regardless of which cohort is excluded.</w:t>
      </w:r>
    </w:p>
    <w:bookmarkEnd w:id="11"/>
    <w:bookmarkStart w:id="12" w:name="s44-combined-statement"/>
    <w:p>
      <w:pPr>
        <w:pStyle w:val="Heading2"/>
      </w:pPr>
      <w:r>
        <w:t xml:space="preserve">S4.4 Combined statement</w:t>
      </w:r>
    </w:p>
    <w:p>
      <w:pPr>
        <w:pStyle w:val="FirstParagraph"/>
      </w:pPr>
      <w:r>
        <w:t xml:space="preserve">Taken together, the three sensitivity analyses support the main-text framing:</w:t>
      </w:r>
    </w:p>
    <w:p>
      <w:pPr>
        <w:pStyle w:val="Compact"/>
        <w:numPr>
          <w:ilvl w:val="0"/>
          <w:numId w:val="1001"/>
        </w:numPr>
      </w:pPr>
      <w:r>
        <w:t xml:space="preserve">The CD8-cytotoxic external validation result is robust to (a) signature redefinition (Supp Text S3), (b) leave-one-out cohort exclusion (this section, S4.3), and is convergently corroborated by an independent N = 298 cohort (Akiyoshi et al, 2023; main-text §3.11).</w:t>
      </w:r>
    </w:p>
    <w:p>
      <w:pPr>
        <w:pStyle w:val="Compact"/>
        <w:numPr>
          <w:ilvl w:val="0"/>
          <w:numId w:val="1001"/>
        </w:numPr>
      </w:pPr>
      <w:r>
        <w:t xml:space="preserve">Cascade within-good observations are robust to tumor-purity adjustment (S4.1) but do not survive BH multiple-testing correction across all between-group tests (S4.2). This is consistent with the manuscript's exploratory framing of cascade between-group claims (other than Treg) at n = 14 paired subjects.</w:t>
      </w:r>
    </w:p>
    <w:p>
      <w:pPr>
        <w:pStyle w:val="Compact"/>
        <w:numPr>
          <w:ilvl w:val="0"/>
          <w:numId w:val="1001"/>
        </w:numPr>
      </w:pPr>
      <w:r>
        <w:t xml:space="preserve">The tumor-intrinsic DSB/HDR/E2F-MYC axis remains a discovery-stage predictor pending TNT-matched external validation; this is unchanged by cohort drop-out tests.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2026-04-25T16:52:17Z</dcterms:created>
  <dcterms:modified xsi:type="dcterms:W3CDTF">2026-04-25T16:52:17Z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