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5af0c99d8610c46d5884ceb984ef2e586b5dc1"/>
    <w:p>
      <w:pPr>
        <w:pStyle w:val="Heading1"/>
      </w:pPr>
      <w:r>
        <w:t xml:space="preserve">Supplementary Text S5 — Magnitude versus directional-consistency test duality</w:t>
      </w:r>
    </w:p>
    <w:p>
      <w:pPr>
        <w:pStyle w:val="FirstParagraph"/>
      </w:pPr>
      <w:r>
        <w:t xml:space="preserve">This supplementary text documents the magnitude-versus-direction test duality that motivates reporting both Wilcoxon / Mann-Whitney on Δ magnitude and binomial sign / Fisher on up-down counts for every paired test in the manuscript. A worked example on the IGHV panel (IGHV3-7, IGHV3-74, IGHV6-1) is provided to illustrate why for small-N paired designs (n = 6 + 6 here) both tests must be reported. Source:</w:t>
      </w:r>
      <w:r>
        <w:t xml:space="preserve"> </w:t>
      </w:r>
      <w:r>
        <w:rPr>
          <w:rStyle w:val="VerbatimChar"/>
        </w:rPr>
        <w:t xml:space="preserve">260418_add/PHARMACODYNAMICS_AND_DIRECTIONAL_CONSISTENCY.md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6" w:name="Xc43a6723d822ee13dbaf6389a4475b5e26f202e"/>
    <w:p>
      <w:pPr>
        <w:pStyle w:val="Heading1"/>
      </w:pPr>
      <w:r>
        <w:t xml:space="preserve">Pharmacodynamics of baseline factors + IGHV directional consistency (2026-04-18)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REGIMEN_AGNOSTIC_BASELINE.md</w:t>
      </w:r>
      <w:r>
        <w:t xml:space="preserve">. Reports what the paired 12-subject</w:t>
      </w:r>
      <w:r>
        <w:t xml:space="preserve"> </w:t>
      </w:r>
      <w:r>
        <w:t xml:space="preserve">RT-phase biopsy set adds that pre-only cannot.</w:t>
      </w:r>
    </w:p>
    <w:bookmarkStart w:id="10" w:name="headline-findings"/>
    <w:p>
      <w:pPr>
        <w:pStyle w:val="Heading2"/>
      </w:pPr>
      <w:r>
        <w:t xml:space="preserve">Headline findings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All four Thread-1 baseline factors move in biologically predicted directions</w:t>
      </w:r>
      <w:r>
        <w:rPr>
          <w:b/>
          <w:bCs/>
        </w:rPr>
        <w:t xml:space="preserve"> </w:t>
      </w:r>
      <w:r>
        <w:rPr>
          <w:b/>
          <w:bCs/>
        </w:rPr>
        <w:t xml:space="preserve">after RT in both response groups.</w:t>
      </w:r>
      <w:r>
        <w:t xml:space="preserve"> </w:t>
      </w:r>
      <w:r>
        <w:t xml:space="preserve">DSB_HDR_repair, Tumor_cellcycle, and</w:t>
      </w:r>
      <w:r>
        <w:t xml:space="preserve"> </w:t>
      </w:r>
      <w:r>
        <w:t xml:space="preserve">E2F_MYC_cellcycle decrease; EMT increases. Directional consistency is high</w:t>
      </w:r>
      <w:r>
        <w:t xml:space="preserve"> </w:t>
      </w:r>
      <w:r>
        <w:t xml:space="preserve">in both good and bad responders (majority in 4/5 of 8 group-factor cells).</w:t>
      </w:r>
      <w:r>
        <w:t xml:space="preserve"> </w:t>
      </w:r>
      <w:r>
        <w:t xml:space="preserve">This is</w:t>
      </w:r>
      <w:r>
        <w:t xml:space="preserve"> </w:t>
      </w:r>
      <w:r>
        <w:rPr>
          <w:i/>
          <w:iCs/>
        </w:rPr>
        <w:t xml:space="preserve">target-engagement</w:t>
      </w:r>
      <w:r>
        <w:t xml:space="preserve"> </w:t>
      </w:r>
      <w:r>
        <w:t xml:space="preserve">evidence: the four factors we nominated as</w:t>
      </w:r>
      <w:r>
        <w:t xml:space="preserve"> </w:t>
      </w:r>
      <w:r>
        <w:t xml:space="preserve">baseline predictors are precisely the axes that RT visibly perturbs.</w:t>
      </w:r>
      <w:r>
        <w:t xml:space="preserve"> </w:t>
      </w:r>
      <w:r>
        <w:t xml:space="preserve">Response-differential magnitude (MW on Δ) is NS for all four, which means</w:t>
      </w:r>
      <w:r>
        <w:t xml:space="preserve"> </w:t>
      </w:r>
      <w:r>
        <w:t xml:space="preserve">the baseline predictor is a</w:t>
      </w:r>
      <w:r>
        <w:t xml:space="preserve"> </w:t>
      </w:r>
      <w:r>
        <w:rPr>
          <w:i/>
          <w:iCs/>
        </w:rPr>
        <w:t xml:space="preserve">predisposition</w:t>
      </w:r>
      <w:r>
        <w:t xml:space="preserve"> </w:t>
      </w:r>
      <w:r>
        <w:t xml:space="preserve">axis rather than a</w:t>
      </w:r>
      <w:r>
        <w:t xml:space="preserve"> </w:t>
      </w:r>
      <w:r>
        <w:t xml:space="preserve">response-differential pharmacodynamic axis.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EMT goes up in 6/6 (100 %) of good responders, binomial P = 0.016.</w:t>
      </w:r>
      <w:r>
        <w:t xml:space="preserve"> </w:t>
      </w:r>
      <w:r>
        <w:t xml:space="preserve">This is the only composite-level directional test that is nominally</w:t>
      </w:r>
      <w:r>
        <w:t xml:space="preserve"> </w:t>
      </w:r>
      <w:r>
        <w:t xml:space="preserve">significant at P &lt; 0.05 within a single group, and is consistent with</w:t>
      </w:r>
      <w:r>
        <w:t xml:space="preserve"> </w:t>
      </w:r>
      <w:r>
        <w:t xml:space="preserve">the surviving post-RT tissue in good responders being enriched for</w:t>
      </w:r>
      <w:r>
        <w:t xml:space="preserve"> </w:t>
      </w:r>
      <w:r>
        <w:t xml:space="preserve">mesenchymal/stromal components (because proliferating non-mesenchymal</w:t>
      </w:r>
      <w:r>
        <w:t xml:space="preserve"> </w:t>
      </w:r>
      <w:r>
        <w:t xml:space="preserve">tumor cells were selectively killed).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IGHV repertoire response is more directionally coherent in good</w:t>
      </w:r>
      <w:r>
        <w:rPr>
          <w:b/>
          <w:bCs/>
        </w:rPr>
        <w:t xml:space="preserve"> </w:t>
      </w:r>
      <w:r>
        <w:rPr>
          <w:b/>
          <w:bCs/>
        </w:rPr>
        <w:t xml:space="preserve">responders than in bad responders, aggregated across 53 V-genes with</w:t>
      </w:r>
      <w:r>
        <w:rPr>
          <w:b/>
          <w:bCs/>
        </w:rPr>
        <w:t xml:space="preserve"> </w:t>
      </w:r>
      <w:r>
        <w:rPr>
          <w:b/>
          <w:bCs/>
        </w:rPr>
        <w:t xml:space="preserve">sufficient coverage.</w:t>
      </w:r>
      <w:r>
        <w:t xml:space="preserve"> </w:t>
      </w:r>
      <w:r>
        <w:t xml:space="preserve">Three independent aggregate tests all reach</w:t>
      </w:r>
      <w:r>
        <w:t xml:space="preserve"> </w:t>
      </w:r>
      <w:r>
        <w:t xml:space="preserve">P &lt; 0.05: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Aggregate 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Wilcoxon of (good − bad) majority fraction across 53 V-genes</w:t>
            </w:r>
          </w:p>
        </w:tc>
        <w:tc>
          <w:tcPr/>
          <w:p>
            <w:pPr>
              <w:pStyle w:val="Compact"/>
            </w:pPr>
            <w:r>
              <w:t xml:space="preserve">W = 470.5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Binomial on good_majority &gt; bad_majority across V-genes</w:t>
            </w:r>
          </w:p>
        </w:tc>
        <w:tc>
          <w:tcPr/>
          <w:p>
            <w:pPr>
              <w:pStyle w:val="Compact"/>
            </w:pPr>
            <w:r>
              <w:t xml:space="preserve">24/37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Binomial on pattern "good coherent, bad mixed" vs opposite</w:t>
            </w:r>
          </w:p>
        </w:tc>
        <w:tc>
          <w:tcPr/>
          <w:p>
            <w:pPr>
              <w:pStyle w:val="Compact"/>
            </w:pPr>
            <w:r>
              <w:t xml:space="preserve">16 vs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numPr>
          <w:ilvl w:val="0"/>
          <w:numId w:val="1000"/>
        </w:numPr>
      </w:pPr>
      <w:r>
        <w:t xml:space="preserve">Interpretation: good responders show a</w:t>
      </w:r>
      <w:r>
        <w:t xml:space="preserve"> </w:t>
      </w:r>
      <w:r>
        <w:rPr>
          <w:b/>
          <w:bCs/>
        </w:rPr>
        <w:t xml:space="preserve">directed</w:t>
      </w:r>
      <w:r>
        <w:t xml:space="preserve"> </w:t>
      </w:r>
      <w:r>
        <w:t xml:space="preserve">repertoire response</w:t>
      </w:r>
      <w:r>
        <w:t xml:space="preserve"> </w:t>
      </w:r>
      <w:r>
        <w:t xml:space="preserve">to RT, in which most V-genes move in a reproducible per-gene direction</w:t>
      </w:r>
      <w:r>
        <w:t xml:space="preserve"> </w:t>
      </w:r>
      <w:r>
        <w:t xml:space="preserve">across the 6 good subjects. Bad responders show a</w:t>
      </w:r>
      <w:r>
        <w:t xml:space="preserve"> </w:t>
      </w:r>
      <w:r>
        <w:rPr>
          <w:b/>
          <w:bCs/>
        </w:rPr>
        <w:t xml:space="preserve">stochastic</w:t>
      </w:r>
      <w:r>
        <w:t xml:space="preserve"> </w:t>
      </w:r>
      <w:r>
        <w:t xml:space="preserve">repertoire response, in which the same V-genes have per-subject changes</w:t>
      </w:r>
      <w:r>
        <w:t xml:space="preserve"> </w:t>
      </w:r>
      <w:r>
        <w:t xml:space="preserve">in mixed directions. The biology is consistent with coordinated,</w:t>
      </w:r>
      <w:r>
        <w:t xml:space="preserve"> </w:t>
      </w:r>
      <w:r>
        <w:t xml:space="preserve">antigen-driven B-cell clonal dynamics in good responders versus</w:t>
      </w:r>
      <w:r>
        <w:t xml:space="preserve"> </w:t>
      </w:r>
      <w:r>
        <w:t xml:space="preserve">disorganized, non-productive responses in bad.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IGHV6-1 is the strongest single V-gene</w:t>
      </w:r>
      <w:r>
        <w:t xml:space="preserve"> </w:t>
      </w:r>
      <w:r>
        <w:t xml:space="preserve">(user's prior IGHV3-7 and</w:t>
      </w:r>
      <w:r>
        <w:t xml:space="preserve"> </w:t>
      </w:r>
      <w:r>
        <w:t xml:space="preserve">IGHV3-74 are weaker):</w:t>
      </w:r>
    </w:p>
    <w:p>
      <w:pPr>
        <w:pStyle w:val="Compact"/>
        <w:numPr>
          <w:ilvl w:val="1"/>
          <w:numId w:val="1002"/>
        </w:numPr>
      </w:pPr>
      <w:r>
        <w:t xml:space="preserve">IGHV6-1: good 0 / 6 down (unanimous), bad 4 up / 2 down</w:t>
      </w:r>
      <w:r>
        <w:t xml:space="preserve"> </w:t>
      </w:r>
      <w:r>
        <w:t xml:space="preserve">(Fisher P = 0.061, MW P = 0.065 — both axes agree)</w:t>
      </w:r>
    </w:p>
    <w:p>
      <w:pPr>
        <w:pStyle w:val="Compact"/>
        <w:numPr>
          <w:ilvl w:val="1"/>
          <w:numId w:val="1002"/>
        </w:numPr>
      </w:pPr>
      <w:r>
        <w:t xml:space="preserve">IGHV3-7: good 4 up / 2 down, bad 4 up / 2 down — both groups same</w:t>
      </w:r>
      <w:r>
        <w:t xml:space="preserve"> </w:t>
      </w:r>
      <w:r>
        <w:t xml:space="preserve">direction, coherence_gap = 0 (user's memory only partially borne out)</w:t>
      </w:r>
    </w:p>
    <w:p>
      <w:pPr>
        <w:pStyle w:val="Compact"/>
        <w:numPr>
          <w:ilvl w:val="1"/>
          <w:numId w:val="1002"/>
        </w:numPr>
      </w:pPr>
      <w:r>
        <w:t xml:space="preserve">IGHV3-74: good 1 up / 5 down, bad 2 up / 4 down — both groups same</w:t>
      </w:r>
      <w:r>
        <w:t xml:space="preserve"> </w:t>
      </w:r>
      <w:r>
        <w:t xml:space="preserve">direction, coherence_gap = 0.17</w:t>
      </w:r>
    </w:p>
    <w:bookmarkEnd w:id="10"/>
    <w:bookmarkStart w:id="11" w:name="what-paired-adds-that-pre-only-cannot"/>
    <w:p>
      <w:pPr>
        <w:pStyle w:val="Heading2"/>
      </w:pPr>
      <w:r>
        <w:t xml:space="preserve">What paired adds that pre-only cannot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Paired evidence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factors are the biology RT engages</w:t>
            </w:r>
          </w:p>
        </w:tc>
        <w:tc>
          <w:tcPr/>
          <w:p>
            <w:pPr>
              <w:pStyle w:val="Compact"/>
            </w:pPr>
            <w:r>
              <w:t xml:space="preserve">4/4 factor directions correct post-RT (Fig E / 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 enrichment on surviving tissue</w:t>
            </w:r>
          </w:p>
        </w:tc>
        <w:tc>
          <w:tcPr/>
          <w:p>
            <w:pPr>
              <w:pStyle w:val="Compact"/>
            </w:pPr>
            <w:r>
              <w:t xml:space="preserve">6/6 good EMT up, sign P = 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responders mount a coherent immune response</w:t>
            </w:r>
          </w:p>
        </w:tc>
        <w:tc>
          <w:tcPr/>
          <w:p>
            <w:pPr>
              <w:pStyle w:val="Compact"/>
            </w:pPr>
            <w:r>
              <w:t xml:space="preserve">3 aggregate IGHV tests P &lt; 0.05 (Fig 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responders' immune response is stochastic</w:t>
            </w:r>
          </w:p>
        </w:tc>
        <w:tc>
          <w:tcPr/>
          <w:p>
            <w:pPr>
              <w:pStyle w:val="Compact"/>
            </w:pPr>
            <w:r>
              <w:t xml:space="preserve">16 vs 7 V-gene "good coherent, bad mixed"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V-gene example</w:t>
            </w:r>
          </w:p>
        </w:tc>
        <w:tc>
          <w:tcPr/>
          <w:p>
            <w:pPr>
              <w:pStyle w:val="Compact"/>
            </w:pPr>
            <w:r>
              <w:t xml:space="preserve">IGHV6-1 (Fig H): good 0/6 down, bad split</w:t>
            </w:r>
          </w:p>
        </w:tc>
      </w:tr>
    </w:tbl>
    <w:p>
      <w:pPr>
        <w:pStyle w:val="BodyText"/>
      </w:pPr>
      <w:r>
        <w:t xml:space="preserve">Crucially,</w:t>
      </w:r>
      <w:r>
        <w:t xml:space="preserve"> </w:t>
      </w:r>
      <w:r>
        <w:rPr>
          <w:b/>
          <w:bCs/>
        </w:rPr>
        <w:t xml:space="preserve">none of these are visible at baseline</w:t>
      </w:r>
      <w:r>
        <w:t xml:space="preserve">. A pre-only analysis</w:t>
      </w:r>
      <w:r>
        <w:t xml:space="preserve"> </w:t>
      </w:r>
      <w:r>
        <w:t xml:space="preserve">cannot see EMT enrichment (that is a consequence of RT killing non-mesenchymal</w:t>
      </w:r>
      <w:r>
        <w:t xml:space="preserve"> </w:t>
      </w:r>
      <w:r>
        <w:t xml:space="preserve">cells), cannot see Treg/MHC-II/IGH Δ, and cannot see the "directed vs</w:t>
      </w:r>
      <w:r>
        <w:t xml:space="preserve"> </w:t>
      </w:r>
      <w:r>
        <w:t xml:space="preserve">stochastic repertoire" distinction.</w:t>
      </w:r>
    </w:p>
    <w:bookmarkEnd w:id="11"/>
    <w:bookmarkStart w:id="12" w:name="relationship-to-the-convergence-null"/>
    <w:p>
      <w:pPr>
        <w:pStyle w:val="Heading2"/>
      </w:pPr>
      <w:r>
        <w:t xml:space="preserve">Relationship to the convergence null</w:t>
      </w:r>
    </w:p>
    <w:p>
      <w:pPr>
        <w:pStyle w:val="FirstParagraph"/>
      </w:pPr>
      <w:r>
        <w:t xml:space="preserve">The convergence test (script 09) showed that the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of paired</w:t>
      </w:r>
      <w:r>
        <w:t xml:space="preserve"> </w:t>
      </w:r>
      <w:r>
        <w:t xml:space="preserve">Δ in immune cascade features is not predicted by the baseline Thread-1</w:t>
      </w:r>
      <w:r>
        <w:t xml:space="preserve"> </w:t>
      </w:r>
      <w:r>
        <w:t xml:space="preserve">score. That null stands. The present analysis does not contradict it: it</w:t>
      </w:r>
      <w:r>
        <w:t xml:space="preserve"> </w:t>
      </w:r>
      <w:r>
        <w:t xml:space="preserve">shows that the baseline factors themselves move post-RT in a regime-engaged</w:t>
      </w:r>
      <w:r>
        <w:t xml:space="preserve"> </w:t>
      </w:r>
      <w:r>
        <w:t xml:space="preserve">direction (not response-differentially), and that the immune repertoire's</w:t>
      </w:r>
      <w:r>
        <w:t xml:space="preserve"> </w:t>
      </w:r>
      <w:r>
        <w:rPr>
          <w:b/>
          <w:bCs/>
        </w:rPr>
        <w:t xml:space="preserve">directional coherence</w:t>
      </w:r>
      <w:r>
        <w:t xml:space="preserve"> </w:t>
      </w:r>
      <w:r>
        <w:t xml:space="preserve">(a distinct property from magnitude) differs</w:t>
      </w:r>
      <w:r>
        <w:t xml:space="preserve"> </w:t>
      </w:r>
      <w:r>
        <w:t xml:space="preserve">between response groups. These are three independent phenomena:</w:t>
      </w:r>
    </w:p>
    <w:p>
      <w:pPr>
        <w:pStyle w:val="Compact"/>
        <w:numPr>
          <w:ilvl w:val="0"/>
          <w:numId w:val="1003"/>
        </w:numPr>
      </w:pPr>
      <w:r>
        <w:t xml:space="preserve">Baseline → final response (static predictor, externally validated)</w:t>
      </w:r>
    </w:p>
    <w:p>
      <w:pPr>
        <w:pStyle w:val="Compact"/>
        <w:numPr>
          <w:ilvl w:val="0"/>
          <w:numId w:val="1003"/>
        </w:numPr>
      </w:pPr>
      <w:r>
        <w:t xml:space="preserve">RT → baseline factor direction (target engagement, both groups)</w:t>
      </w:r>
    </w:p>
    <w:p>
      <w:pPr>
        <w:pStyle w:val="Compact"/>
        <w:numPr>
          <w:ilvl w:val="0"/>
          <w:numId w:val="1003"/>
        </w:numPr>
      </w:pPr>
      <w:r>
        <w:t xml:space="preserve">RT → IGHV repertoire coherence (good coordinated, bad stochastic)</w:t>
      </w:r>
    </w:p>
    <w:p>
      <w:pPr>
        <w:pStyle w:val="FirstParagraph"/>
      </w:pPr>
      <w:r>
        <w:t xml:space="preserve">They do not compose into a single causal chain. They are complementary</w:t>
      </w:r>
      <w:r>
        <w:t xml:space="preserve"> </w:t>
      </w:r>
      <w:r>
        <w:t xml:space="preserve">layers of evidence about the same RT-phase biology.</w:t>
      </w:r>
    </w:p>
    <w:bookmarkEnd w:id="12"/>
    <w:bookmarkStart w:id="13" w:name="X496d260a374f73402eed6b936a3750fd7f62ce8"/>
    <w:p>
      <w:pPr>
        <w:pStyle w:val="Heading2"/>
      </w:pPr>
      <w:r>
        <w:t xml:space="preserve">Manuscript placement (v0.7.4 Option B-hierarchy)</w:t>
      </w:r>
    </w:p>
    <w:p>
      <w:pPr>
        <w:pStyle w:val="FirstParagraph"/>
      </w:pPr>
      <w:r>
        <w:t xml:space="preserve">Within §3.10 "RT-phase pharmacodynamics" (reframed from the falsified</w:t>
      </w:r>
      <w:r>
        <w:t xml:space="preserve"> </w:t>
      </w:r>
      <w:r>
        <w:t xml:space="preserve">cascade), add three subsections: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§3.10.1 Target engagement of baseline predictor axes</w:t>
      </w:r>
      <w:r>
        <w:t xml:space="preserve"> </w:t>
      </w:r>
      <w:r>
        <w:t xml:space="preserve">Figures E + F. Message: all four Thread-1 factors move in predicted</w:t>
      </w:r>
      <w:r>
        <w:t xml:space="preserve"> </w:t>
      </w:r>
      <w:r>
        <w:t xml:space="preserve">directions after RT in both response groups; good responders show</w:t>
      </w:r>
      <w:r>
        <w:t xml:space="preserve"> </w:t>
      </w:r>
      <w:r>
        <w:t xml:space="preserve">EMT enrichment at sign P = 0.016. This is mechanism evidence that the</w:t>
      </w:r>
      <w:r>
        <w:t xml:space="preserve"> </w:t>
      </w:r>
      <w:r>
        <w:t xml:space="preserve">four externally validated baseline signatures are not bystanders but</w:t>
      </w:r>
      <w:r>
        <w:t xml:space="preserve"> </w:t>
      </w:r>
      <w:r>
        <w:t xml:space="preserve">the biology RT perturbs.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§3.10.2 Directed versus stochastic immune repertoire response</w:t>
      </w:r>
      <w:r>
        <w:t xml:space="preserve"> </w:t>
      </w:r>
      <w:r>
        <w:t xml:space="preserve">Figures G + H. Message: good responders' IGHV usage changes are</w:t>
      </w:r>
      <w:r>
        <w:t xml:space="preserve"> </w:t>
      </w:r>
      <w:r>
        <w:t xml:space="preserve">directionally coherent across subjects (binomial and Wilcoxon and</w:t>
      </w:r>
      <w:r>
        <w:t xml:space="preserve"> </w:t>
      </w:r>
      <w:r>
        <w:t xml:space="preserve">pattern P all &lt; 0.05); bad responders' IGHV changes have similar or</w:t>
      </w:r>
      <w:r>
        <w:t xml:space="preserve"> </w:t>
      </w:r>
      <w:r>
        <w:t xml:space="preserve">larger magnitudes but are not directionally coherent. IGHV6-1 is the</w:t>
      </w:r>
      <w:r>
        <w:t xml:space="preserve"> </w:t>
      </w:r>
      <w:r>
        <w:t xml:space="preserve">leading example (good unanimous down, bad mixed).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§3.10.3 Paired cascade phenomenology and convergence null</w:t>
      </w:r>
      <w:r>
        <w:t xml:space="preserve"> </w:t>
      </w:r>
      <w:r>
        <w:t xml:space="preserve">Keep Treg / MHC-II / SBS5 / neoantigen delta findings; cite</w:t>
      </w:r>
      <w:r>
        <w:t xml:space="preserve"> </w:t>
      </w:r>
      <w:r>
        <w:t xml:space="preserve">convergence null (script 09) explicitly; frame as "phenomenology of</w:t>
      </w:r>
      <w:r>
        <w:t xml:space="preserve"> </w:t>
      </w:r>
      <w:r>
        <w:t xml:space="preserve">RT-phase changes in good responders, not cascade downstream of</w:t>
      </w:r>
      <w:r>
        <w:t xml:space="preserve"> </w:t>
      </w:r>
      <w:r>
        <w:t xml:space="preserve">baseline predictor."</w:t>
      </w:r>
    </w:p>
    <w:p>
      <w:pPr>
        <w:pStyle w:val="FirstParagraph"/>
      </w:pPr>
      <w:r>
        <w:t xml:space="preserve">A new Supp Text S5 is recommended that documents the magnitude-vs-direction</w:t>
      </w:r>
      <w:r>
        <w:t xml:space="preserve"> </w:t>
      </w:r>
      <w:r>
        <w:t xml:space="preserve">distinction and why both are reported for every paired test in this work.</w:t>
      </w:r>
      <w:r>
        <w:t xml:space="preserve"> </w:t>
      </w:r>
      <w:r>
        <w:t xml:space="preserve">Reviewer objection that MW P &gt; 0.5 rules out paired signal is pre-empted</w:t>
      </w:r>
      <w:r>
        <w:t xml:space="preserve"> </w:t>
      </w:r>
      <w:r>
        <w:t xml:space="preserve">by the sign-based aggregate evidence for the IGHV repertoire.</w:t>
      </w:r>
    </w:p>
    <w:bookmarkEnd w:id="13"/>
    <w:bookmarkStart w:id="14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15_baseline_factor_pharmacodynamics.py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16_trust4_ighv_directional_consistency.py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17_figures_pharmacodynamics.py</w:t>
            </w:r>
          </w:p>
        </w:tc>
        <w:tc>
          <w:tcPr/>
          <w:p>
            <w:pPr>
              <w:pStyle w:val="Compact"/>
            </w:pPr>
            <w:r>
              <w:t xml:space="preserve">Figures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baseline_factor_per_subject_delta.tsv</w:t>
            </w:r>
          </w:p>
        </w:tc>
        <w:tc>
          <w:tcPr/>
          <w:p>
            <w:pPr>
              <w:pStyle w:val="Compact"/>
            </w:pPr>
            <w:r>
              <w:t xml:space="preserve">Per-subject Δ for 4 composites +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baseline_factor_pharmacodynamics_stats.tsv</w:t>
            </w:r>
          </w:p>
        </w:tc>
        <w:tc>
          <w:tcPr/>
          <w:p>
            <w:pPr>
              <w:pStyle w:val="Compact"/>
            </w:pPr>
            <w:r>
              <w:t xml:space="preserve">Composite + member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baseline_factor_sign_table.tsv</w:t>
            </w:r>
          </w:p>
        </w:tc>
        <w:tc>
          <w:tcPr/>
          <w:p>
            <w:pPr>
              <w:pStyle w:val="Compact"/>
            </w:pPr>
            <w:r>
              <w:t xml:space="preserve">Headline sign counts (composite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trust4_ighv_per_subject_delta.tsv</w:t>
            </w:r>
          </w:p>
        </w:tc>
        <w:tc>
          <w:tcPr/>
          <w:p>
            <w:pPr>
              <w:pStyle w:val="Compact"/>
            </w:pPr>
            <w:r>
              <w:t xml:space="preserve">Per-subject V-gene fraction 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trust4_ighv_directional_stats.tsv</w:t>
            </w:r>
          </w:p>
        </w:tc>
        <w:tc>
          <w:tcPr/>
          <w:p>
            <w:pPr>
              <w:pStyle w:val="Compact"/>
            </w:pPr>
            <w:r>
              <w:t xml:space="preserve">All 53 coverage-filtered V-genes, sign counts + Fisher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trust4_ighv_good_coherent_bad_mixed.tsv</w:t>
            </w:r>
          </w:p>
        </w:tc>
        <w:tc>
          <w:tcPr/>
          <w:p>
            <w:pPr>
              <w:pStyle w:val="Compact"/>
            </w:pPr>
            <w:r>
              <w:t xml:space="preserve">16 V-genes fitting the user's hypothesized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trust4_ighv_focus_genes.tsv</w:t>
            </w:r>
          </w:p>
        </w:tc>
        <w:tc>
          <w:tcPr/>
          <w:p>
            <w:pPr>
              <w:pStyle w:val="Compact"/>
            </w:pPr>
            <w:r>
              <w:t xml:space="preserve">User-named genes + auto-flagged Fisher P ≤ 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FigE_baseline_spaghetti.{pdf,png}</w:t>
            </w:r>
          </w:p>
        </w:tc>
        <w:tc>
          <w:tcPr/>
          <w:p>
            <w:pPr>
              <w:pStyle w:val="Compact"/>
            </w:pPr>
            <w:r>
              <w:t xml:space="preserve">4-factor pre→post trajectories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FigF_baseline_sign_bar.{pdf,png}</w:t>
            </w:r>
          </w:p>
        </w:tc>
        <w:tc>
          <w:tcPr/>
          <w:p>
            <w:pPr>
              <w:pStyle w:val="Compact"/>
            </w:pPr>
            <w:r>
              <w:t xml:space="preserve">Sign counts per factor per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FigG_ighv_coherence_summary.{pdf,png}</w:t>
            </w:r>
          </w:p>
        </w:tc>
        <w:tc>
          <w:tcPr/>
          <w:p>
            <w:pPr>
              <w:pStyle w:val="Compact"/>
            </w:pPr>
            <w:r>
              <w:t xml:space="preserve">Scatter + boxplot + pattern pie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FigH_ighv_focus_spaghetti.{pdf,png}</w:t>
            </w:r>
          </w:p>
        </w:tc>
        <w:tc>
          <w:tcPr/>
          <w:p>
            <w:pPr>
              <w:pStyle w:val="Compact"/>
            </w:pPr>
            <w:r>
              <w:t xml:space="preserve">IGHV6-1, IGHV3-7/74, top 6 coherent V-genes</w:t>
            </w:r>
          </w:p>
        </w:tc>
      </w:tr>
    </w:tbl>
    <w:bookmarkEnd w:id="14"/>
    <w:bookmarkStart w:id="15" w:name="scope-limitations"/>
    <w:p>
      <w:pPr>
        <w:pStyle w:val="Heading2"/>
      </w:pPr>
      <w:r>
        <w:t xml:space="preserve">Scope limitations</w:t>
      </w:r>
    </w:p>
    <w:p>
      <w:pPr>
        <w:pStyle w:val="Compact"/>
        <w:numPr>
          <w:ilvl w:val="0"/>
          <w:numId w:val="1005"/>
        </w:numPr>
      </w:pPr>
      <w:r>
        <w:t xml:space="preserve">n = 6 + 6 paired subjects. The within-group magnitude tests are</w:t>
      </w:r>
      <w:r>
        <w:t xml:space="preserve"> </w:t>
      </w:r>
      <w:r>
        <w:t xml:space="preserve">underpowered against NS → do not over-interpret single-factor NS Δ</w:t>
      </w:r>
      <w:r>
        <w:t xml:space="preserve"> </w:t>
      </w:r>
      <w:r>
        <w:t xml:space="preserve">medians.</w:t>
      </w:r>
    </w:p>
    <w:p>
      <w:pPr>
        <w:pStyle w:val="Compact"/>
        <w:numPr>
          <w:ilvl w:val="0"/>
          <w:numId w:val="1005"/>
        </w:numPr>
      </w:pPr>
      <w:r>
        <w:t xml:space="preserve">Directional tests are robust at n = 6 only when concordance is</w:t>
      </w:r>
      <w:r>
        <w:t xml:space="preserve"> </w:t>
      </w:r>
      <w:r>
        <w:t xml:space="preserve">extreme (5/6 or 6/6). For weaker concordance (4/6) power is low.</w:t>
      </w:r>
      <w:r>
        <w:t xml:space="preserve"> </w:t>
      </w:r>
      <w:r>
        <w:t xml:space="preserve">That is why we report aggregate tests over 53 V-genes and over</w:t>
      </w:r>
      <w:r>
        <w:t xml:space="preserve"> </w:t>
      </w:r>
      <w:r>
        <w:t xml:space="preserve">4 baseline factors — they aggregate the directional information that</w:t>
      </w:r>
      <w:r>
        <w:t xml:space="preserve"> </w:t>
      </w:r>
      <w:r>
        <w:t xml:space="preserve">individual tests cannot resolve.</w:t>
      </w:r>
    </w:p>
    <w:p>
      <w:pPr>
        <w:pStyle w:val="Compact"/>
        <w:numPr>
          <w:ilvl w:val="0"/>
          <w:numId w:val="1005"/>
        </w:numPr>
      </w:pPr>
      <w:r>
        <w:t xml:space="preserve">IGHV fraction signals are dominated by bulk-RNA-seq repertoire</w:t>
      </w:r>
      <w:r>
        <w:t xml:space="preserve"> </w:t>
      </w:r>
      <w:r>
        <w:t xml:space="preserve">reconstruction; TRUST4 assembly completeness varies with tumor B-cell</w:t>
      </w:r>
      <w:r>
        <w:t xml:space="preserve"> </w:t>
      </w:r>
      <w:r>
        <w:t xml:space="preserve">content. Rare V-genes below the coverage filter were excluded.</w:t>
      </w:r>
    </w:p>
    <w:p>
      <w:pPr>
        <w:pStyle w:val="Compact"/>
        <w:numPr>
          <w:ilvl w:val="0"/>
          <w:numId w:val="1005"/>
        </w:numPr>
      </w:pPr>
      <w:r>
        <w:t xml:space="preserve">No external cohort has paired pre-RT / post-RT-only biopsies, so the</w:t>
      </w:r>
      <w:r>
        <w:t xml:space="preserve"> </w:t>
      </w:r>
      <w:r>
        <w:t xml:space="preserve">directional-coherence result is a discovery-cohort-specific</w:t>
      </w:r>
      <w:r>
        <w:t xml:space="preserve"> </w:t>
      </w:r>
      <w:r>
        <w:t xml:space="preserve">pharmacodynamic claim and cannot currently be externally validated.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