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091e132e681a3b8dcdc45956a5c6c7a74a4d8b"/>
    <w:p>
      <w:pPr>
        <w:pStyle w:val="Heading1"/>
      </w:pPr>
      <w:r>
        <w:t xml:space="preserve">Supplementary Text S7 — NanoString PanCancer Immune extreme-phenotype orthogonal validation</w:t>
      </w:r>
    </w:p>
    <w:p>
      <w:pPr>
        <w:pStyle w:val="FirstParagraph"/>
      </w:pPr>
      <w:r>
        <w:t xml:space="preserve">This supplementary text presents the frozen pre-specified analysis plan, the pre-spec result, and the post-hoc exploratory extension for the NanoString PanCancer Immune orthogonal platform test on six extreme-phenotype paired subjects (3 pCR vs 3 poor; 12 paired pre / post samples; manuscript §3.14). The pre-spec Arrow 5 Δ rescue failed (4 primary composites bad ≥ good direction); the post-hoc pre-treatment extreme-phenotype extension found 23 / 23 composites good &gt; bad with 6 reaching one-sided MW ceiling P = 0.05, providing in-house extreme-phenotype replication of the Thread 2 immune axis. The IBI vs IAE molecular dichotomy, platform concordance diagnostic (median gene-level Δ Pearson r = + 0.75 across 694 shared genes), and subject-level deep-dive for subjects 4 and 11 are documented. Sources:</w:t>
      </w:r>
      <w:r>
        <w:t xml:space="preserve"> </w:t>
      </w:r>
      <w:r>
        <w:rPr>
          <w:rStyle w:val="VerbatimChar"/>
        </w:rPr>
        <w:t xml:space="preserve">260424_nanostring/PRE_SPEC.md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FINAL_VERDICT.md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FINDINGS_exploratory.md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ource-document-1-pre_specmd"/>
    <w:p>
      <w:pPr>
        <w:pStyle w:val="Heading2"/>
      </w:pPr>
      <w:r>
        <w:t xml:space="preserve">Source document 1:</w:t>
      </w:r>
      <w:r>
        <w:t xml:space="preserve"> </w:t>
      </w:r>
      <w:r>
        <w:rPr>
          <w:rStyle w:val="VerbatimChar"/>
        </w:rPr>
        <w:t xml:space="preserve">PRE_SPEC.md</w:t>
      </w:r>
    </w:p>
    <w:bookmarkEnd w:id="9"/>
    <w:bookmarkEnd w:id="10"/>
    <w:bookmarkStart w:id="23" w:name="Xc65a31a21c168c4465c80bb989e28cb6ac878fc"/>
    <w:p>
      <w:pPr>
        <w:pStyle w:val="Heading1"/>
      </w:pPr>
      <w:r>
        <w:t xml:space="preserve">NanoString nCounter PanCancer Immune — Pre-specified Analysis Plan</w:t>
      </w:r>
    </w:p>
    <w:p>
      <w:pPr>
        <w:pStyle w:val="FirstParagraph"/>
      </w:pPr>
      <w:r>
        <w:rPr>
          <w:b/>
          <w:bCs/>
        </w:rPr>
        <w:t xml:space="preserve">Freeze date</w:t>
      </w:r>
      <w:r>
        <w:t xml:space="preserve">: 2026-04-24 (frozen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running the full analysis script; only probe coverage and CXCL13 per-sample values were inspected during sanity-check on the same date)</w:t>
      </w:r>
      <w:r>
        <w:t xml:space="preserve"> </w:t>
      </w:r>
      <w:r>
        <w:rPr>
          <w:b/>
          <w:bCs/>
        </w:rPr>
        <w:t xml:space="preserve">Data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/mnt/sda1/data/TNT/analysis/ncounter_immune_score.xlsx</w:t>
      </w:r>
      <w:r>
        <w:t xml:space="preserve"> </w:t>
      </w:r>
      <w:r>
        <w:t xml:space="preserve">(730 probes × 12 samples, housekeeping-normalized counts from nSolver-style output)</w:t>
      </w:r>
    </w:p>
    <w:bookmarkStart w:id="11" w:name="cohort"/>
    <w:p>
      <w:pPr>
        <w:pStyle w:val="Heading2"/>
      </w:pPr>
      <w:r>
        <w:t xml:space="preserve">Cohort</w:t>
      </w:r>
    </w:p>
    <w:p>
      <w:pPr>
        <w:pStyle w:val="FirstParagraph"/>
      </w:pPr>
      <w:r>
        <w:t xml:space="preserve">Paired pre / post-SC-RT × 6 subjects = 12 samples. Extreme phenotype design (pCR vs poor; intermediate grades excluded).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</w:t>
            </w:r>
          </w:p>
        </w:tc>
        <w:tc>
          <w:tcPr/>
          <w:p>
            <w:pPr>
              <w:pStyle w:val="Compact"/>
            </w:pPr>
            <w: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Bin</w:t>
            </w:r>
          </w:p>
        </w:tc>
        <w:tc>
          <w:tcPr/>
          <w:p>
            <w:pPr>
              <w:pStyle w:val="Compact"/>
            </w:pPr>
            <w:r>
              <w:t xml:space="preserve">RNA-seq paired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TNT_RNA_5</w:t>
            </w:r>
          </w:p>
        </w:tc>
        <w:tc>
          <w:tcPr/>
          <w:p>
            <w:pPr>
              <w:pStyle w:val="Compact"/>
            </w:pPr>
            <w:r>
              <w:t xml:space="preserve">TNT_RNA_6</w:t>
            </w:r>
          </w:p>
        </w:tc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TNT_RNA_11</w:t>
            </w:r>
          </w:p>
        </w:tc>
        <w:tc>
          <w:tcPr/>
          <w:p>
            <w:pPr>
              <w:pStyle w:val="Compact"/>
            </w:pPr>
            <w:r>
              <w:t xml:space="preserve">TNT_RNA_12</w:t>
            </w:r>
          </w:p>
        </w:tc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TNT_RNA_41</w:t>
            </w:r>
          </w:p>
        </w:tc>
        <w:tc>
          <w:tcPr/>
          <w:p>
            <w:pPr>
              <w:pStyle w:val="Compact"/>
            </w:pPr>
            <w:r>
              <w:t xml:space="preserve">TNT_RNA_42</w:t>
            </w:r>
          </w:p>
        </w:tc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TNT_RNA_29</w:t>
            </w:r>
          </w:p>
        </w:tc>
        <w:tc>
          <w:tcPr/>
          <w:p>
            <w:pPr>
              <w:pStyle w:val="Compact"/>
            </w:pPr>
            <w:r>
              <w:t xml:space="preserve">TNT_RNA_30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TNT_RNA_32</w:t>
            </w:r>
          </w:p>
        </w:tc>
        <w:tc>
          <w:tcPr/>
          <w:p>
            <w:pPr>
              <w:pStyle w:val="Compact"/>
            </w:pPr>
            <w:r>
              <w:t xml:space="preserve">TNT_RNA_33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 (pre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TNT_RNA_38</w:t>
            </w:r>
          </w:p>
        </w:tc>
        <w:tc>
          <w:tcPr/>
          <w:p>
            <w:pPr>
              <w:pStyle w:val="Compact"/>
            </w:pPr>
            <w:r>
              <w:t xml:space="preserve">TNT_RNA_39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1"/>
    <w:bookmarkStart w:id="12" w:name="mathematical-ceiling"/>
    <w:p>
      <w:pPr>
        <w:pStyle w:val="Heading2"/>
      </w:pPr>
      <w:r>
        <w:t xml:space="preserve">Mathematical ceiling</w:t>
      </w:r>
    </w:p>
    <w:p>
      <w:pPr>
        <w:pStyle w:val="Compact"/>
        <w:numPr>
          <w:ilvl w:val="0"/>
          <w:numId w:val="1001"/>
        </w:numPr>
      </w:pPr>
      <w:r>
        <w:t xml:space="preserve">3-vs-3 MW rank-sum: C(6,3)=20 →</w:t>
      </w:r>
      <w:r>
        <w:t xml:space="preserve"> </w:t>
      </w:r>
      <w:r>
        <w:rPr>
          <w:b/>
          <w:bCs/>
        </w:rPr>
        <w:t xml:space="preserve">one-sided P_min = 0.050</w:t>
      </w:r>
      <w:r>
        <w:t xml:space="preserve">,</w:t>
      </w:r>
      <w:r>
        <w:t xml:space="preserve"> </w:t>
      </w:r>
      <w:r>
        <w:rPr>
          <w:b/>
          <w:bCs/>
        </w:rPr>
        <w:t xml:space="preserve">two-sided P_min = 0.100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Within-group Wilcoxon signed-rank (n=3): two-sided P_min = 0.250, one-sided P_min = 0.125.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One-sided tests registered below, justified by prior directional hypothesis</w:t>
      </w:r>
      <w:r>
        <w:t xml:space="preserve"> </w:t>
      </w:r>
      <w:r>
        <w:t xml:space="preserve">(RNA-seq n=12 cascade direction + external LC-CRT meta Fisher Bcell_infiltration P=0.014, Tcell_infiltration P=0.048, CD8_cytotoxic P=0.013 — all positive direction in good; see memory</w:t>
      </w:r>
      <w:r>
        <w:t xml:space="preserve"> </w:t>
      </w:r>
      <w:r>
        <w:rPr>
          <w:rStyle w:val="VerbatimChar"/>
        </w:rPr>
        <w:t xml:space="preserve">project_tnt.md</w:t>
      </w:r>
      <w:r>
        <w:t xml:space="preserve"> </w:t>
      </w:r>
      <w:r>
        <w:t xml:space="preserve">§D external meta).</w:t>
      </w:r>
    </w:p>
    <w:bookmarkEnd w:id="12"/>
    <w:bookmarkStart w:id="16" w:name="Xfd7059f6a4f2fba261a92823fb2f4b8e3060577"/>
    <w:p>
      <w:pPr>
        <w:pStyle w:val="Heading2"/>
      </w:pPr>
      <w:r>
        <w:t xml:space="preserve">Pre-registered hypotheses (one-sided: good Δ &gt; bad Δ)</w:t>
      </w:r>
    </w:p>
    <w:bookmarkStart w:id="13" w:name="primary-tier-arrow-5-direct-rescue"/>
    <w:p>
      <w:pPr>
        <w:pStyle w:val="Heading3"/>
      </w:pPr>
      <w:r>
        <w:t xml:space="preserve">Primary tier (Arrow 5 direct rescue)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— Δ CXCL13 (single-gene, TLS hub)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— Δ TLS-8 composite: mean-z(CXCL13, CCL19, CCL21, CXCR5, CCR7, SELL, LAMP3, BCL6)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P3</w:t>
      </w:r>
      <w:r>
        <w:t xml:space="preserve"> </w:t>
      </w:r>
      <w:r>
        <w:t xml:space="preserve">— Δ Plasma-proxy composite: mean-z(TNFRSF17, CD38, IRF4)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P4</w:t>
      </w:r>
      <w:r>
        <w:t xml:space="preserve"> </w:t>
      </w:r>
      <w:r>
        <w:t xml:space="preserve">— Δ Germinal-center TF composite: mean-z(BCL6, AICDA, POU2AF1)</w:t>
      </w:r>
    </w:p>
    <w:p>
      <w:pPr>
        <w:pStyle w:val="FirstParagraph"/>
      </w:pPr>
      <w:r>
        <w:rPr>
          <w:b/>
          <w:bCs/>
        </w:rPr>
        <w:t xml:space="preserve">Decision rule for Arrow 5 rescue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Rescue</w:t>
      </w:r>
      <w:r>
        <w:t xml:space="preserve">: ≥1 primary reaches one-sided P ≤ 0.05 (i.e., 3-vs-3 perfect separation) AND direction = good &gt; bad.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Partial rescue</w:t>
      </w:r>
      <w:r>
        <w:t xml:space="preserve">: 0 primaries reach ceiling, but ≥2 show direction concordant with RNA-seq / external meta AND one-sided P ≤ 0.10.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Null</w:t>
      </w:r>
      <w:r>
        <w:t xml:space="preserve">: 0 primaries concordant direction with P ≤ 0.10.</w:t>
      </w:r>
    </w:p>
    <w:bookmarkEnd w:id="13"/>
    <w:bookmarkStart w:id="14" w:name="Xcc28ea680585ede995642695fe708ca1a809b1c"/>
    <w:p>
      <w:pPr>
        <w:pStyle w:val="Heading3"/>
      </w:pPr>
      <w:r>
        <w:t xml:space="preserve">Secondary tier (lineage decomposition + platform)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S1</w:t>
      </w:r>
      <w:r>
        <w:t xml:space="preserve"> </w:t>
      </w:r>
      <w:r>
        <w:t xml:space="preserve">— Naive-B composite: mean-z(MS4A1, CD19, CD22, PAX5)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S2</w:t>
      </w:r>
      <w:r>
        <w:t xml:space="preserve"> </w:t>
      </w:r>
      <w:r>
        <w:t xml:space="preserve">— Memory-B composite: mean-z(CD27, CD79B, TNFRSF13B)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S3</w:t>
      </w:r>
      <w:r>
        <w:t xml:space="preserve"> </w:t>
      </w:r>
      <w:r>
        <w:t xml:space="preserve">— BAFF/APRIL axis: mean-z(TNFSF13, TNFSF13B, TNFRSF13B, TNFRSF13C, TNFRSF17)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S4</w:t>
      </w:r>
      <w:r>
        <w:t xml:space="preserve"> </w:t>
      </w:r>
      <w:r>
        <w:t xml:space="preserve">— NanoString Δ × RNA-seq Δ Pearson per gene (platform concordance; 5 subjects with both: 2, 4, 14, 10, 13)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S5</w:t>
      </w:r>
      <w:r>
        <w:t xml:space="preserve"> </w:t>
      </w:r>
      <w:r>
        <w:t xml:space="preserve">— 730-gene one-sided MW on Δ + BH-FDR (discovery, not pre-specified directional)</w:t>
      </w:r>
    </w:p>
    <w:bookmarkEnd w:id="14"/>
    <w:bookmarkStart w:id="15" w:name="X7a89d610f53d38d3a9ec16e0f8c140e7dd49fdb"/>
    <w:p>
      <w:pPr>
        <w:pStyle w:val="Heading3"/>
      </w:pPr>
      <w:r>
        <w:t xml:space="preserve">Tertiary tier (cascade arrows 3/4 cross-platform replication)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T1</w:t>
      </w:r>
      <w:r>
        <w:t xml:space="preserve"> </w:t>
      </w:r>
      <w:r>
        <w:t xml:space="preserve">— Δ HLA-II composite × Δ Plasma-proxy Pearson (n=6); HLA-II = mean-z(HLA-DRA, HLA-DRB1, HLA-DPA1, HLA-DPB1, HLA-DQA1, HLA-DQB1) where probes present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T2</w:t>
      </w:r>
      <w:r>
        <w:t xml:space="preserve"> </w:t>
      </w:r>
      <w:r>
        <w:t xml:space="preserve">— Δ CD8-exhaustion composite × Δ TLS-8 Pearson; CD8-exh = mean-z(PDCD1, HAVCR2, LAG3, TIGIT, CTLA4)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T3</w:t>
      </w:r>
      <w:r>
        <w:t xml:space="preserve"> </w:t>
      </w:r>
      <w:r>
        <w:t xml:space="preserve">— Δ NLRC5/HLA-I axis × Δ T-cell composite Pearson; HLA-I = mean-z(NLRC5, HLA-A, HLA-B, HLA-C, TAP1, TAP2, PSMB8, PSMB9); T-cell = mean-z(CD3D, CD3E, CD3G, CD8A, CD8B)</w:t>
      </w:r>
    </w:p>
    <w:bookmarkEnd w:id="15"/>
    <w:bookmarkEnd w:id="16"/>
    <w:bookmarkStart w:id="17" w:name="normalization"/>
    <w:p>
      <w:pPr>
        <w:pStyle w:val="Heading2"/>
      </w:pPr>
      <w:r>
        <w:t xml:space="preserve">Normalization</w:t>
      </w:r>
    </w:p>
    <w:p>
      <w:pPr>
        <w:pStyle w:val="Compact"/>
        <w:numPr>
          <w:ilvl w:val="0"/>
          <w:numId w:val="1006"/>
        </w:numPr>
      </w:pPr>
      <w:r>
        <w:t xml:space="preserve">Input values are already nSolver housekeeping-normalized counts (float, decimals).</w:t>
      </w:r>
    </w:p>
    <w:p>
      <w:pPr>
        <w:pStyle w:val="Compact"/>
        <w:numPr>
          <w:ilvl w:val="0"/>
          <w:numId w:val="1006"/>
        </w:numPr>
      </w:pPr>
      <w:r>
        <w:t xml:space="preserve">Transform:</w:t>
      </w:r>
      <w:r>
        <w:t xml:space="preserve"> </w:t>
      </w:r>
      <w:r>
        <w:rPr>
          <w:b/>
          <w:bCs/>
        </w:rPr>
        <w:t xml:space="preserve">log2(count + 1)</w:t>
      </w:r>
      <w:r>
        <w:t xml:space="preserve"> </w:t>
      </w:r>
      <w:r>
        <w:t xml:space="preserve">before z-score across the 12-sample matrix (per-gene z).</w:t>
      </w:r>
    </w:p>
    <w:p>
      <w:pPr>
        <w:pStyle w:val="Compact"/>
        <w:numPr>
          <w:ilvl w:val="0"/>
          <w:numId w:val="1006"/>
        </w:numPr>
      </w:pPr>
      <w:r>
        <w:t xml:space="preserve">Composite score = arithmetic mean of z-scores across constituent genes (missing gene dropped, min ≥ 2 genes required for composite).</w:t>
      </w:r>
    </w:p>
    <w:p>
      <w:pPr>
        <w:pStyle w:val="Compact"/>
        <w:numPr>
          <w:ilvl w:val="0"/>
          <w:numId w:val="1006"/>
        </w:numPr>
      </w:pPr>
      <w:r>
        <w:t xml:space="preserve">Δ = post_z_mean − pre_z_mean at</w:t>
      </w:r>
      <w:r>
        <w:t xml:space="preserve"> </w:t>
      </w:r>
      <w:r>
        <w:rPr>
          <w:b/>
          <w:bCs/>
        </w:rPr>
        <w:t xml:space="preserve">subject level</w:t>
      </w:r>
      <w:r>
        <w:t xml:space="preserve"> </w:t>
      </w:r>
      <w:r>
        <w:t xml:space="preserve">(per-subject Δ).</w:t>
      </w:r>
    </w:p>
    <w:bookmarkEnd w:id="17"/>
    <w:bookmarkStart w:id="18" w:name="statistical-testing"/>
    <w:p>
      <w:pPr>
        <w:pStyle w:val="Heading2"/>
      </w:pPr>
      <w:r>
        <w:t xml:space="preserve">Statistical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Between-group (3-vs-3)</w:t>
      </w:r>
      <w:r>
        <w:t xml:space="preserve">: Mann-Whitney U, one-sided (good Δ &gt; bad Δ), exact distribution (</w:t>
      </w:r>
      <w:r>
        <w:rPr>
          <w:rStyle w:val="VerbatimChar"/>
        </w:rPr>
        <w:t xml:space="preserve">method='exact'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Within-good signed-rank</w:t>
      </w:r>
      <w:r>
        <w:t xml:space="preserve">: Wilcoxon signed-rank, two-sided and one-sided (paired; reported for context, P_min=0.125).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Correlation (T1-T3)</w:t>
      </w:r>
      <w:r>
        <w:t xml:space="preserve">: Pearson and Spearman (both reported; n=6 small, emphasize direction).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FDR (S5)</w:t>
      </w:r>
      <w:r>
        <w:t xml:space="preserve">: Benjamini-Hochberg across 730 probes.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BCa bootstrap</w:t>
      </w:r>
      <w:r>
        <w:t xml:space="preserve">: 5000× for Δ effect sizes where applicable (same scheme as Table S8).</w:t>
      </w:r>
    </w:p>
    <w:bookmarkEnd w:id="18"/>
    <w:bookmarkStart w:id="19" w:name="gene-composition-guarantees"/>
    <w:p>
      <w:pPr>
        <w:pStyle w:val="Heading2"/>
      </w:pPr>
      <w:r>
        <w:t xml:space="preserve">Gene composition guarantees</w:t>
      </w:r>
    </w:p>
    <w:p>
      <w:pPr>
        <w:pStyle w:val="Compact"/>
        <w:numPr>
          <w:ilvl w:val="0"/>
          <w:numId w:val="1008"/>
        </w:numPr>
      </w:pPr>
      <w:r>
        <w:t xml:space="preserve">If any constituent gene of a composite is missing from the panel, document explicitly and compute the composite with remaining genes (min 2).</w:t>
      </w:r>
    </w:p>
    <w:p>
      <w:pPr>
        <w:pStyle w:val="Compact"/>
        <w:numPr>
          <w:ilvl w:val="0"/>
          <w:numId w:val="1008"/>
        </w:numPr>
      </w:pPr>
      <w:r>
        <w:t xml:space="preserve">NanoString 730-panel known absences (per 2026-04-22 audit): IGHG/A/M, IGKC, IGLC, MZB1, JCHAIN, XBP1, PRDM1, IGHV/K/Lv. Composite definitions above deliberately use surrogates (TNFRSF17+CD38+IRF4 for plasma).</w:t>
      </w:r>
    </w:p>
    <w:bookmarkEnd w:id="19"/>
    <w:bookmarkStart w:id="20" w:name="output-schema"/>
    <w:p>
      <w:pPr>
        <w:pStyle w:val="Heading2"/>
      </w:pPr>
      <w:r>
        <w:t xml:space="preserve">Output schema</w:t>
      </w:r>
    </w:p>
    <w:p>
      <w:pPr>
        <w:pStyle w:val="FirstParagraph"/>
      </w:pPr>
      <w:r>
        <w:t xml:space="preserve">All result TSVs in</w:t>
      </w:r>
      <w:r>
        <w:t xml:space="preserve"> </w:t>
      </w:r>
      <w:r>
        <w:rPr>
          <w:rStyle w:val="VerbatimChar"/>
        </w:rPr>
        <w:t xml:space="preserve">tables/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meta.tsv</w:t>
      </w:r>
      <w:r>
        <w:t xml:space="preserve"> </w:t>
      </w:r>
      <w:r>
        <w:t xml:space="preserve">— 12 samples × sample_id, subject_id, timepoint, response_bin, score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logz_matrix.tsv</w:t>
      </w:r>
      <w:r>
        <w:t xml:space="preserve"> </w:t>
      </w:r>
      <w:r>
        <w:t xml:space="preserve">— 730 genes × 12 samples (log2+z)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subject_delta.tsv</w:t>
      </w:r>
      <w:r>
        <w:t xml:space="preserve"> </w:t>
      </w:r>
      <w:r>
        <w:t xml:space="preserve">— 6 subjects × gene Δ (post_z − pre_z)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composite_scores.tsv</w:t>
      </w:r>
      <w:r>
        <w:t xml:space="preserve"> </w:t>
      </w:r>
      <w:r>
        <w:t xml:space="preserve">— 12 rows × composite z-scores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P1_P4_primary.tsv</w:t>
      </w:r>
      <w:r>
        <w:t xml:space="preserve"> </w:t>
      </w:r>
      <w:r>
        <w:t xml:space="preserve">— composite | direction | good Δ mean | bad Δ mean | MW_1s_P | MW_2s_P | Wilcoxon_good_2s_P | Wilcoxon_bad_2s_P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S1_S3_lineage.tsv</w:t>
      </w:r>
      <w:r>
        <w:t xml:space="preserve"> </w:t>
      </w:r>
      <w:r>
        <w:t xml:space="preserve">— same schema for S1-S3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S4_platform_concordance.tsv</w:t>
      </w:r>
      <w:r>
        <w:t xml:space="preserve"> </w:t>
      </w:r>
      <w:r>
        <w:t xml:space="preserve">— per-gene NanoString Δ × RNA-seq Δ Pearson r / P (5 subjects)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S5_full_scan.tsv</w:t>
      </w:r>
      <w:r>
        <w:t xml:space="preserve"> </w:t>
      </w:r>
      <w:r>
        <w:t xml:space="preserve">— 730 genes × direction + one-sided MW P + BH q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T1_T3_cascade.tsv</w:t>
      </w:r>
      <w:r>
        <w:t xml:space="preserve"> </w:t>
      </w:r>
      <w:r>
        <w:t xml:space="preserve">— 3 cascade arrow correlations (n=6)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FINAL_VERDICT.md</w:t>
      </w:r>
      <w:r>
        <w:t xml:space="preserve"> </w:t>
      </w:r>
      <w:r>
        <w:t xml:space="preserve">— Arrow 5 path decision</w:t>
      </w:r>
    </w:p>
    <w:bookmarkEnd w:id="20"/>
    <w:bookmarkStart w:id="21" w:name="analysts-reviewer-defense-statements"/>
    <w:p>
      <w:pPr>
        <w:pStyle w:val="Heading2"/>
      </w:pPr>
      <w:r>
        <w:t xml:space="preserve">Analysts' reviewer-defense statements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Direction lock</w:t>
      </w:r>
      <w:r>
        <w:t xml:space="preserve">: Δ &gt; 0 for good is pre-registered based on (1) RNA-seq paired n=12 ΔTreg/ΔMHC-II/ΔCD8-exh all good &gt; bad, (2) external 9-cohort LC-CRT meta Bcell_infiltration Fisher P=0.014 / Tcell P=0.048 / CD8 P=0.013 all in good-up direction. This pre-specifies the one-sided alternative before unblinding the NanoString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multiple testing burden on primary</w:t>
      </w:r>
      <w:r>
        <w:t xml:space="preserve">: 4 primaries share a single biological hypothesis (Arrow 5 "RT → B-cell/plasma lineage expansion in good responders"). Report all 4 without Bonferroni; interpret as corroboration pattern, not independent tests.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Secondary/tertiary</w:t>
      </w:r>
      <w:r>
        <w:t xml:space="preserve">: no family-wise correction except BH on S5 scan.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Data-snooping guard</w:t>
      </w:r>
      <w:r>
        <w:t xml:space="preserve">: only CXCL13 row was inspected during sanity check; composite-level P-values and platform concordance were NOT computed prior to this freeze.</w:t>
      </w:r>
    </w:p>
    <w:bookmarkEnd w:id="21"/>
    <w:bookmarkStart w:id="22" w:name="source-document-2-final_verdictmd"/>
    <w:p>
      <w:pPr>
        <w:pStyle w:val="Heading2"/>
      </w:pPr>
      <w:r>
        <w:t xml:space="preserve">Source document 2:</w:t>
      </w:r>
      <w:r>
        <w:t xml:space="preserve"> </w:t>
      </w:r>
      <w:r>
        <w:rPr>
          <w:rStyle w:val="VerbatimChar"/>
        </w:rPr>
        <w:t xml:space="preserve">FINAL_VERDICT.md</w:t>
      </w:r>
    </w:p>
    <w:bookmarkEnd w:id="22"/>
    <w:bookmarkEnd w:id="23"/>
    <w:bookmarkStart w:id="37" w:name="Xdf21a0d8582ba094f36d7c189b949a5195b6d36"/>
    <w:p>
      <w:pPr>
        <w:pStyle w:val="Heading1"/>
      </w:pPr>
      <w:r>
        <w:t xml:space="preserve">NanoString nCounter Arrow 5 rescue — FINAL VERDICT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2026-04-24</w:t>
      </w:r>
      <w:r>
        <w:t xml:space="preserve"> </w:t>
      </w: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ncounter_immune_score.xlsx</w:t>
      </w:r>
      <w:r>
        <w:t xml:space="preserve"> </w:t>
      </w:r>
      <w:r>
        <w:t xml:space="preserve">(730 probes × 12 samples; 6 subjects paired pre/post)</w:t>
      </w:r>
      <w:r>
        <w:t xml:space="preserve"> </w:t>
      </w:r>
      <w:r>
        <w:rPr>
          <w:b/>
          <w:bCs/>
        </w:rPr>
        <w:t xml:space="preserve">Pre-spec freeze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PRE_SPEC.md</w:t>
      </w:r>
      <w:r>
        <w:t xml:space="preserve"> </w:t>
      </w:r>
      <w:r>
        <w:t xml:space="preserve">(commit 235021f, before result computation)</w:t>
      </w:r>
      <w:r>
        <w:t xml:space="preserve"> </w:t>
      </w: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scripts/01_primary_secondary_tertiary.py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scripts/02_figures.py</w:t>
      </w:r>
    </w:p>
    <w:bookmarkStart w:id="24" w:name="X85eac12ed7a20e56d4e2cbdd0f7948732e97a57"/>
    <w:p>
      <w:pPr>
        <w:pStyle w:val="Heading2"/>
      </w:pPr>
      <w:r>
        <w:t xml:space="preserve">1. Pre-registered decision rule →</w:t>
      </w:r>
      <w:r>
        <w:t xml:space="preserve"> </w:t>
      </w:r>
      <w:r>
        <w:rPr>
          <w:b/>
          <w:bCs/>
        </w:rPr>
        <w:t xml:space="preserve">NULL (with direction flip)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</w:t>
            </w:r>
          </w:p>
        </w:tc>
        <w:tc>
          <w:tcPr/>
          <w:p>
            <w:pPr>
              <w:pStyle w:val="Compact"/>
            </w:pPr>
            <w:r>
              <w:t xml:space="preserve">≥1 primary one-sided P≤0.05 AND good &gt; bad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(all primaries bad &gt; good or tied)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rescue</w:t>
            </w:r>
          </w:p>
        </w:tc>
        <w:tc>
          <w:tcPr/>
          <w:p>
            <w:pPr>
              <w:pStyle w:val="Compact"/>
            </w:pPr>
            <w:r>
              <w:t xml:space="preserve">≥2 primaries concordant direction AND P≤0.10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(direction opposite)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Otherwise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TRIGGERED</w:t>
            </w:r>
          </w:p>
        </w:tc>
      </w:tr>
    </w:tbl>
    <w:p>
      <w:pPr>
        <w:pStyle w:val="BodyText"/>
      </w:pPr>
      <w:r>
        <w:t xml:space="preserve">No primary composite reaches the 3-vs-3 exact MW ceiling (one-sided P=0.05) in the pre-registered direction.</w:t>
      </w:r>
    </w:p>
    <w:bookmarkEnd w:id="24"/>
    <w:bookmarkStart w:id="25" w:name="Xe81b11839a7c0d4bd94c6876cee2f797f202ae2"/>
    <w:p>
      <w:pPr>
        <w:pStyle w:val="Heading2"/>
      </w:pPr>
      <w:r>
        <w:t xml:space="preserve">2. Primary tier P1–P4 (subject-level Δ, mean-z composites)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Δ good (mean)</w:t>
            </w:r>
          </w:p>
        </w:tc>
        <w:tc>
          <w:tcPr/>
          <w:p>
            <w:pPr>
              <w:pStyle w:val="Compact"/>
            </w:pPr>
            <w:r>
              <w:t xml:space="preserve">Δ bad (mean)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MW 1s P (good &gt; bad)</w:t>
            </w:r>
          </w:p>
        </w:tc>
        <w:tc>
          <w:tcPr/>
          <w:p>
            <w:pPr>
              <w:pStyle w:val="Compact"/>
            </w:pPr>
            <w:r>
              <w:t xml:space="preserve">MW 2s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CXCL13 (single)</w:t>
            </w:r>
          </w:p>
        </w:tc>
        <w:tc>
          <w:tcPr/>
          <w:p>
            <w:pPr>
              <w:pStyle w:val="Compact"/>
            </w:pPr>
            <w:r>
              <w:t xml:space="preserve">+0.52</w:t>
            </w:r>
          </w:p>
        </w:tc>
        <w:tc>
          <w:tcPr/>
          <w:p>
            <w:pPr>
              <w:pStyle w:val="Compact"/>
            </w:pPr>
            <w:r>
              <w:t xml:space="preserve">+1.11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 &gt; good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TLS-8 (8 genes)</w:t>
            </w:r>
          </w:p>
        </w:tc>
        <w:tc>
          <w:tcPr/>
          <w:p>
            <w:pPr>
              <w:pStyle w:val="Compact"/>
            </w:pPr>
            <w:r>
              <w:t xml:space="preserve">+0.93</w:t>
            </w:r>
          </w:p>
        </w:tc>
        <w:tc>
          <w:tcPr/>
          <w:p>
            <w:pPr>
              <w:pStyle w:val="Compact"/>
            </w:pPr>
            <w:r>
              <w:t xml:space="preserve">+0.85</w:t>
            </w:r>
          </w:p>
        </w:tc>
        <w:tc>
          <w:tcPr/>
          <w:p>
            <w:pPr>
              <w:pStyle w:val="Compact"/>
            </w:pPr>
            <w:r>
              <w:t xml:space="preserve">tied (good slightly &gt;)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Plasma-proxy (3 genes)</w:t>
            </w:r>
          </w:p>
        </w:tc>
        <w:tc>
          <w:tcPr/>
          <w:p>
            <w:pPr>
              <w:pStyle w:val="Compact"/>
            </w:pPr>
            <w:r>
              <w:t xml:space="preserve">+0.33</w:t>
            </w:r>
          </w:p>
        </w:tc>
        <w:tc>
          <w:tcPr/>
          <w:p>
            <w:pPr>
              <w:pStyle w:val="Compact"/>
            </w:pPr>
            <w:r>
              <w:t xml:space="preserve">+0.46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 &gt; good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GC-TF (3 genes)</w:t>
            </w:r>
          </w:p>
        </w:tc>
        <w:tc>
          <w:tcPr/>
          <w:p>
            <w:pPr>
              <w:pStyle w:val="Compact"/>
            </w:pPr>
            <w:r>
              <w:t xml:space="preserve">+1.06</w:t>
            </w:r>
          </w:p>
        </w:tc>
        <w:tc>
          <w:tcPr/>
          <w:p>
            <w:pPr>
              <w:pStyle w:val="Compact"/>
            </w:pPr>
            <w:r>
              <w:t xml:space="preserve">+1.31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 &gt; good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four primary composites show positive Δ in both groups (post-RT immune expansion occurs in everyone), but the bad group shows equal or larger expansion.</w:t>
      </w:r>
    </w:p>
    <w:bookmarkEnd w:id="25"/>
    <w:bookmarkStart w:id="26" w:name="Xc82ad4d7a456b19a8c584838925b2c5b0928019"/>
    <w:p>
      <w:pPr>
        <w:pStyle w:val="Heading2"/>
      </w:pPr>
      <w:r>
        <w:t xml:space="preserve">3. Secondary tier S1–S5</w:t>
      </w:r>
    </w:p>
    <w:p>
      <w:pPr>
        <w:pStyle w:val="FirstParagraph"/>
      </w:pPr>
      <w:r>
        <w:rPr>
          <w:b/>
          <w:bCs/>
        </w:rPr>
        <w:t xml:space="preserve">S1–S3 B-cell lineage</w:t>
      </w:r>
      <w:r>
        <w:t xml:space="preserve">: identical direction pattern — bad &gt; good or tied</w:t>
      </w:r>
    </w:p>
    <w:p>
      <w:pPr>
        <w:pStyle w:val="Compact"/>
        <w:numPr>
          <w:ilvl w:val="0"/>
          <w:numId w:val="1011"/>
        </w:numPr>
      </w:pPr>
      <w:r>
        <w:t xml:space="preserve">S1 Naive_B: good −0.01 vs bad +1.18 (MW 1s P=0.95, 2s P=0.20, bad &gt;&gt; good)</w:t>
      </w:r>
    </w:p>
    <w:p>
      <w:pPr>
        <w:pStyle w:val="Compact"/>
        <w:numPr>
          <w:ilvl w:val="0"/>
          <w:numId w:val="1011"/>
        </w:numPr>
      </w:pPr>
      <w:r>
        <w:t xml:space="preserve">S2 Memory_B: good +0.03 vs bad +0.38 (P 1s=0.80)</w:t>
      </w:r>
    </w:p>
    <w:p>
      <w:pPr>
        <w:pStyle w:val="Compact"/>
        <w:numPr>
          <w:ilvl w:val="0"/>
          <w:numId w:val="1011"/>
        </w:numPr>
      </w:pPr>
      <w:r>
        <w:t xml:space="preserve">S3 BAFF/APRIL: good +0.47 vs bad +0.78 (P 1s=0.80)</w:t>
      </w:r>
    </w:p>
    <w:p>
      <w:pPr>
        <w:pStyle w:val="FirstParagraph"/>
      </w:pPr>
      <w:r>
        <w:rPr>
          <w:b/>
          <w:bCs/>
        </w:rPr>
        <w:t xml:space="preserve">S4 Platform concordance (NanoString Δ × RNA-seq Δ, 5 subjects with both)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EXCELLENT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694 shared genes;</w:t>
      </w:r>
      <w:r>
        <w:t xml:space="preserve"> </w:t>
      </w:r>
      <w:r>
        <w:rPr>
          <w:b/>
          <w:bCs/>
        </w:rPr>
        <w:t xml:space="preserve">90.1% show r &gt; 0</w:t>
      </w:r>
      <w:r>
        <w:t xml:space="preserve">; median r = +0.754; 313 genes (45%) with r &gt; 0.8</w:t>
      </w:r>
    </w:p>
    <w:p>
      <w:pPr>
        <w:pStyle w:val="Compact"/>
        <w:numPr>
          <w:ilvl w:val="0"/>
          <w:numId w:val="1012"/>
        </w:numPr>
      </w:pPr>
      <w:r>
        <w:t xml:space="preserve">Data-quality null hypothesis (platform artifact) rejected.</w:t>
      </w:r>
    </w:p>
    <w:p>
      <w:pPr>
        <w:pStyle w:val="Compact"/>
        <w:numPr>
          <w:ilvl w:val="0"/>
          <w:numId w:val="1012"/>
        </w:numPr>
      </w:pPr>
      <w:r>
        <w:t xml:space="preserve">The direction flip is NOT a platform issue; it is a genuine 3-vs-3 sampling pattern.</w:t>
      </w:r>
    </w:p>
    <w:p>
      <w:pPr>
        <w:pStyle w:val="FirstParagraph"/>
      </w:pPr>
      <w:r>
        <w:rPr>
          <w:b/>
          <w:bCs/>
        </w:rPr>
        <w:t xml:space="preserve">S5 Full 730-gene discovery scan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22 genes reach one-sided P=0.05 (good &gt; bad direction), 20 reach P=0.05 (bad &gt; good) — nearly symmetric</w:t>
      </w:r>
    </w:p>
    <w:p>
      <w:pPr>
        <w:pStyle w:val="Compact"/>
        <w:numPr>
          <w:ilvl w:val="0"/>
          <w:numId w:val="1013"/>
        </w:numPr>
      </w:pPr>
      <w:r>
        <w:t xml:space="preserve">Direction split: good &gt; bad 391/730 (53.6%) — essentially random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BH-adjusted q ≥ 0.90 for all 730 genes</w:t>
      </w:r>
      <w:r>
        <w:t xml:space="preserve"> </w:t>
      </w:r>
      <w:r>
        <w:t xml:space="preserve">(no FDR hits)</w:t>
      </w:r>
    </w:p>
    <w:p>
      <w:pPr>
        <w:pStyle w:val="Compact"/>
        <w:numPr>
          <w:ilvl w:val="0"/>
          <w:numId w:val="1013"/>
        </w:numPr>
      </w:pPr>
      <w:r>
        <w:t xml:space="preserve">Top hits (good &gt; bad): TRAF3, TLR8, SYK, IKBKB, JAK3, IRF3 (innate immunity / signaling — not TLS / plasma)</w:t>
      </w:r>
    </w:p>
    <w:p>
      <w:pPr>
        <w:pStyle w:val="Compact"/>
        <w:numPr>
          <w:ilvl w:val="0"/>
          <w:numId w:val="1013"/>
        </w:numPr>
      </w:pPr>
      <w:r>
        <w:t xml:space="preserve">Top hits (bad &gt; good): KLRC2, KLRC1, ITGB1, THBS1, AICDA (!), RAG1 — NK/ILC + one GC-TF gene</w:t>
      </w:r>
    </w:p>
    <w:bookmarkEnd w:id="26"/>
    <w:bookmarkStart w:id="27" w:name="X8753a156e2f436642efe918763cbd6543271cc9"/>
    <w:p>
      <w:pPr>
        <w:pStyle w:val="Heading2"/>
      </w:pPr>
      <w:r>
        <w:t xml:space="preserve">4. Tertiary tier T1–T3 (cascade internal coherence)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Arrow</w:t>
            </w:r>
          </w:p>
        </w:tc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Pearson P</w:t>
            </w:r>
          </w:p>
        </w:tc>
        <w:tc>
          <w:tcPr/>
          <w:p>
            <w:pPr>
              <w:pStyle w:val="Compact"/>
            </w:pPr>
            <w: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t xml:space="preserve">Spearman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ΔHLA-II × ΔPlasma-proxy</w:t>
            </w:r>
          </w:p>
        </w:tc>
        <w:tc>
          <w:tcPr/>
          <w:p>
            <w:pPr>
              <w:pStyle w:val="Compact"/>
            </w:pPr>
            <w:r>
              <w:t xml:space="preserve">+0.717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+0.771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ΔCD8-exh × ΔTLS-8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+0.820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+0.771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ΔHLA-I × ΔT-cell</w:t>
            </w:r>
          </w:p>
        </w:tc>
        <w:tc>
          <w:tcPr/>
          <w:p>
            <w:pPr>
              <w:pStyle w:val="Compact"/>
            </w:pPr>
            <w:r>
              <w:t xml:space="preserve">+0.490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  <w:tc>
          <w:tcPr/>
          <w:p>
            <w:pPr>
              <w:pStyle w:val="Compact"/>
            </w:pPr>
            <w:r>
              <w:t xml:space="preserve">+0.543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</w:tr>
    </w:tbl>
    <w:p>
      <w:pPr>
        <w:pStyle w:val="BodyText"/>
      </w:pPr>
      <w:r>
        <w:rPr>
          <w:b/>
          <w:bCs/>
        </w:rPr>
        <w:t xml:space="preserve">T2 significant (n=6)</w:t>
      </w:r>
      <w:r>
        <w:t xml:space="preserve"> </w:t>
      </w:r>
      <w:r>
        <w:t xml:space="preserve">— post-RT immune reprogramming shows internal biological coherence: subjects with larger ΔCD8-exh also have larger ΔTLS-8,</w:t>
      </w:r>
      <w:r>
        <w:t xml:space="preserve"> </w:t>
      </w:r>
      <w:r>
        <w:rPr>
          <w:i/>
          <w:iCs/>
        </w:rPr>
        <w:t xml:space="preserve">regardless of response</w:t>
      </w:r>
      <w:r>
        <w:t xml:space="preserve">.</w:t>
      </w:r>
    </w:p>
    <w:p>
      <w:pPr>
        <w:pStyle w:val="BodyText"/>
      </w:pPr>
      <w:r>
        <w:t xml:space="preserve">This is the only P&lt;0.05 finding in the entire NanoString panel; it corroborates the RNA-seq cascade arrows 3/4 but is response-agnostic.</w:t>
      </w:r>
    </w:p>
    <w:bookmarkEnd w:id="27"/>
    <w:bookmarkStart w:id="31" w:name="X44b6c290881ba4a2746cc676cc65e6767ba4b89"/>
    <w:p>
      <w:pPr>
        <w:pStyle w:val="Heading2"/>
      </w:pPr>
      <w:r>
        <w:t xml:space="preserve">5. Root cause of direction flip</w:t>
      </w:r>
    </w:p>
    <w:bookmarkStart w:id="28" w:name="X068f05686d711174ca8d529364e05c5cb753d8a"/>
    <w:p>
      <w:pPr>
        <w:pStyle w:val="Heading3"/>
      </w:pPr>
      <w:r>
        <w:t xml:space="preserve">Same-5-subject RNA-seq sanity check (subj 11 excluded due to missing pre)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RNA-seq Δ good mean</w:t>
            </w:r>
          </w:p>
        </w:tc>
        <w:tc>
          <w:tcPr/>
          <w:p>
            <w:pPr>
              <w:pStyle w:val="Compact"/>
            </w:pPr>
            <w:r>
              <w:t xml:space="preserve">RNA-seq Δ bad mean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TLS_8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−0.11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&gt; bad</w:t>
            </w:r>
            <w:r>
              <w:t xml:space="preserve"> </w:t>
            </w:r>
            <w:r>
              <w:t xml:space="preserve">(perfect 3-vs-2 separation P=0.10)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Plasma_proxy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  <w:tc>
          <w:tcPr/>
          <w:p>
            <w:pPr>
              <w:pStyle w:val="Compact"/>
            </w:pPr>
            <w:r>
              <w:t xml:space="preserve">−0.25</w:t>
            </w:r>
          </w:p>
        </w:tc>
        <w:tc>
          <w:tcPr/>
          <w:p>
            <w:pPr>
              <w:pStyle w:val="Compact"/>
            </w:pPr>
            <w:r>
              <w:t xml:space="preserve">good &gt; 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GC_TF</w:t>
            </w:r>
          </w:p>
        </w:tc>
        <w:tc>
          <w:tcPr/>
          <w:p>
            <w:pPr>
              <w:pStyle w:val="Compact"/>
            </w:pPr>
            <w:r>
              <w:t xml:space="preserve">+0.37</w:t>
            </w:r>
          </w:p>
        </w:tc>
        <w:tc>
          <w:tcPr/>
          <w:p>
            <w:pPr>
              <w:pStyle w:val="Compact"/>
            </w:pPr>
            <w:r>
              <w:t xml:space="preserve">+0.91</w:t>
            </w:r>
          </w:p>
        </w:tc>
        <w:tc>
          <w:tcPr/>
          <w:p>
            <w:pPr>
              <w:pStyle w:val="Compact"/>
            </w:pPr>
            <w:r>
              <w:t xml:space="preserve">bad &gt; good (driven by subj 13 AICDA+BCL6+POU2AF1)</w:t>
            </w:r>
          </w:p>
        </w:tc>
      </w:tr>
    </w:tbl>
    <w:bookmarkEnd w:id="28"/>
    <w:bookmarkStart w:id="29" w:name="Xa8760e882601aa29f191d00c2fcd4d2d3c1fd25"/>
    <w:p>
      <w:pPr>
        <w:pStyle w:val="Heading3"/>
      </w:pPr>
      <w:r>
        <w:t xml:space="preserve">Single-gene CXCL13 direction per platform (same 5 subjects)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NanoString Δ</w:t>
            </w:r>
          </w:p>
        </w:tc>
        <w:tc>
          <w:tcPr/>
          <w:p>
            <w:pPr>
              <w:pStyle w:val="Compact"/>
            </w:pPr>
            <w:r>
              <w:t xml:space="preserve">RNA-seq Δ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(good)</w:t>
            </w:r>
          </w:p>
        </w:tc>
        <w:tc>
          <w:tcPr/>
          <w:p>
            <w:pPr>
              <w:pStyle w:val="Compact"/>
            </w:pPr>
            <w:r>
              <w:t xml:space="preserve">+1.45</w:t>
            </w:r>
          </w:p>
        </w:tc>
        <w:tc>
          <w:tcPr/>
          <w:p>
            <w:pPr>
              <w:pStyle w:val="Compact"/>
            </w:pPr>
            <w:r>
              <w:t xml:space="preserve">+1.91</w:t>
            </w:r>
          </w:p>
        </w:tc>
        <w:tc>
          <w:tcPr/>
          <w:p>
            <w:pPr>
              <w:pStyle w:val="Compact"/>
            </w:pPr>
            <w:r>
              <w:t xml:space="preserve">✓ both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(good)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−1.04</w:t>
            </w:r>
          </w:p>
        </w:tc>
        <w:tc>
          <w:tcPr/>
          <w:p>
            <w:pPr>
              <w:pStyle w:val="Compact"/>
            </w:pPr>
            <w:r>
              <w:t xml:space="preserve">✓ both − (atypical 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 (good)</w:t>
            </w:r>
          </w:p>
        </w:tc>
        <w:tc>
          <w:tcPr/>
          <w:p>
            <w:pPr>
              <w:pStyle w:val="Compact"/>
            </w:pPr>
            <w:r>
              <w:t xml:space="preserve">+1.24</w:t>
            </w:r>
          </w:p>
        </w:tc>
        <w:tc>
          <w:tcPr/>
          <w:p>
            <w:pPr>
              <w:pStyle w:val="Compact"/>
            </w:pPr>
            <w:r>
              <w:t xml:space="preserve">+0.53</w:t>
            </w:r>
          </w:p>
        </w:tc>
        <w:tc>
          <w:tcPr/>
          <w:p>
            <w:pPr>
              <w:pStyle w:val="Compact"/>
            </w:pPr>
            <w:r>
              <w:t xml:space="preserve">✓ both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 (bad)</w:t>
            </w:r>
          </w:p>
        </w:tc>
        <w:tc>
          <w:tcPr/>
          <w:p>
            <w:pPr>
              <w:pStyle w:val="Compact"/>
            </w:pPr>
            <w:r>
              <w:t xml:space="preserve">+2.08</w:t>
            </w:r>
          </w:p>
        </w:tc>
        <w:tc>
          <w:tcPr/>
          <w:p>
            <w:pPr>
              <w:pStyle w:val="Compact"/>
            </w:pPr>
            <w:r>
              <w:t xml:space="preserve">+0.63</w:t>
            </w:r>
          </w:p>
        </w:tc>
        <w:tc>
          <w:tcPr/>
          <w:p>
            <w:pPr>
              <w:pStyle w:val="Compact"/>
            </w:pPr>
            <w:r>
              <w:t xml:space="preserve">✓ both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 (bad)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−1.98</w:t>
            </w:r>
          </w:p>
        </w:tc>
        <w:tc>
          <w:tcPr/>
          <w:p>
            <w:pPr>
              <w:pStyle w:val="Compact"/>
            </w:pPr>
            <w:r>
              <w:t xml:space="preserve">✓ both −</w:t>
            </w:r>
          </w:p>
        </w:tc>
      </w:tr>
    </w:tbl>
    <w:p>
      <w:pPr>
        <w:pStyle w:val="BodyText"/>
      </w:pPr>
      <w:r>
        <w:t xml:space="preserve">Platforms agree on direction for every subject.</w:t>
      </w:r>
      <w:r>
        <w:t xml:space="preserve"> </w:t>
      </w:r>
      <w:r>
        <w:rPr>
          <w:b/>
          <w:bCs/>
        </w:rPr>
        <w:t xml:space="preserve">The discrepancy between same-5 RNA-seq (good &gt; bad) and same-6 NanoString (bad &gt; good) is entirely explained by adding subj 11 to the bad group.</w:t>
      </w:r>
    </w:p>
    <w:bookmarkEnd w:id="29"/>
    <w:bookmarkStart w:id="30" w:name="Xc7721d1176e64065b355915a86390e21664668a"/>
    <w:p>
      <w:pPr>
        <w:pStyle w:val="Heading3"/>
      </w:pPr>
      <w:r>
        <w:t xml:space="preserve">Subj 11 is a "bad responder with moderate immune expansion"</w:t>
      </w:r>
    </w:p>
    <w:p>
      <w:pPr>
        <w:pStyle w:val="FirstParagraph"/>
      </w:pPr>
      <w:r>
        <w:t xml:space="preserve">NanoString-only Δ for subj 11: TLS_8 +0.58, Plasma_proxy +0.67, Naive_B +0.67, HLA_II +1.06. Positive on most axes — contributes to lifting the bad-group mean above the good-group mean.</w:t>
      </w:r>
    </w:p>
    <w:p>
      <w:pPr>
        <w:pStyle w:val="BodyText"/>
      </w:pPr>
      <w:r>
        <w:rPr>
          <w:b/>
          <w:bCs/>
        </w:rPr>
        <w:t xml:space="preserve">Subj 11 + subj 10</w:t>
      </w:r>
      <w:r>
        <w:t xml:space="preserve"> </w:t>
      </w:r>
      <w:r>
        <w:t xml:space="preserve">= 2/3 poor responders showing post-RT inflammatory expansion. This is the "inflamed but ineffective" non-responder phenotype (known in immuno-oncology: immune infiltration without effective tumor control, e.g. via exhaustion or immunosuppressive lineage dominance).</w:t>
      </w:r>
    </w:p>
    <w:bookmarkEnd w:id="30"/>
    <w:bookmarkEnd w:id="31"/>
    <w:bookmarkStart w:id="32" w:name="Xbc752afb0eee7985da0c8fdca288e4b664e4a28"/>
    <w:p>
      <w:pPr>
        <w:pStyle w:val="Heading2"/>
      </w:pPr>
      <w:r>
        <w:t xml:space="preserve">6. Subject-level fingerprint (Δ post − pre, composite z)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TLS-8</w:t>
            </w:r>
          </w:p>
        </w:tc>
        <w:tc>
          <w:tcPr/>
          <w:p>
            <w:pPr>
              <w:pStyle w:val="Compact"/>
            </w:pPr>
            <w:r>
              <w:t xml:space="preserve">Plasma</w:t>
            </w:r>
          </w:p>
        </w:tc>
        <w:tc>
          <w:tcPr/>
          <w:p>
            <w:pPr>
              <w:pStyle w:val="Compact"/>
            </w:pPr>
            <w:r>
              <w:t xml:space="preserve">GC-TF</w:t>
            </w:r>
          </w:p>
        </w:tc>
        <w:tc>
          <w:tcPr/>
          <w:p>
            <w:pPr>
              <w:pStyle w:val="Compact"/>
            </w:pPr>
            <w:r>
              <w:t xml:space="preserve">Naive-B</w:t>
            </w:r>
          </w:p>
        </w:tc>
        <w:tc>
          <w:tcPr/>
          <w:p>
            <w:pPr>
              <w:pStyle w:val="Compact"/>
            </w:pPr>
            <w:r>
              <w:t xml:space="preserve">Memory-B</w:t>
            </w:r>
          </w:p>
        </w:tc>
        <w:tc>
          <w:tcPr/>
          <w:p>
            <w:pPr>
              <w:pStyle w:val="Compact"/>
            </w:pPr>
            <w:r>
              <w:t xml:space="preserve">BAFF/APRIL</w:t>
            </w:r>
          </w:p>
        </w:tc>
        <w:tc>
          <w:tcPr/>
          <w:p>
            <w:pPr>
              <w:pStyle w:val="Compact"/>
            </w:pPr>
            <w:r>
              <w:t xml:space="preserve">HLA-II</w:t>
            </w:r>
          </w:p>
        </w:tc>
        <w:tc>
          <w:tcPr/>
          <w:p>
            <w:pPr>
              <w:pStyle w:val="Compact"/>
            </w:pPr>
            <w:r>
              <w:t xml:space="preserve">CD8-exh</w:t>
            </w:r>
          </w:p>
        </w:tc>
        <w:tc>
          <w:tcPr/>
          <w:p>
            <w:pPr>
              <w:pStyle w:val="Compact"/>
            </w:pPr>
            <w:r>
              <w:t xml:space="preserve">HLA-I</w:t>
            </w:r>
          </w:p>
        </w:tc>
        <w:tc>
          <w:tcPr/>
          <w:p>
            <w:pPr>
              <w:pStyle w:val="Compact"/>
            </w:pPr>
            <w:r>
              <w:t xml:space="preserve">T-cell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(good)</w:t>
            </w:r>
          </w:p>
        </w:tc>
        <w:tc>
          <w:tcPr/>
          <w:p>
            <w:pPr>
              <w:pStyle w:val="Compact"/>
            </w:pPr>
            <w:r>
              <w:t xml:space="preserve">+1.83</w:t>
            </w:r>
          </w:p>
        </w:tc>
        <w:tc>
          <w:tcPr/>
          <w:p>
            <w:pPr>
              <w:pStyle w:val="Compact"/>
            </w:pPr>
            <w:r>
              <w:t xml:space="preserve">+1.71</w:t>
            </w:r>
          </w:p>
        </w:tc>
        <w:tc>
          <w:tcPr/>
          <w:p>
            <w:pPr>
              <w:pStyle w:val="Compact"/>
            </w:pPr>
            <w:r>
              <w:t xml:space="preserve">+1.68</w:t>
            </w:r>
          </w:p>
        </w:tc>
        <w:tc>
          <w:tcPr/>
          <w:p>
            <w:pPr>
              <w:pStyle w:val="Compact"/>
            </w:pPr>
            <w:r>
              <w:t xml:space="preserve">+1.18</w:t>
            </w:r>
          </w:p>
        </w:tc>
        <w:tc>
          <w:tcPr/>
          <w:p>
            <w:pPr>
              <w:pStyle w:val="Compact"/>
            </w:pPr>
            <w:r>
              <w:t xml:space="preserve">+1.49</w:t>
            </w:r>
          </w:p>
        </w:tc>
        <w:tc>
          <w:tcPr/>
          <w:p>
            <w:pPr>
              <w:pStyle w:val="Compact"/>
            </w:pPr>
            <w:r>
              <w:t xml:space="preserve">+1.47</w:t>
            </w:r>
          </w:p>
        </w:tc>
        <w:tc>
          <w:tcPr/>
          <w:p>
            <w:pPr>
              <w:pStyle w:val="Compact"/>
            </w:pPr>
            <w:r>
              <w:t xml:space="preserve">+1.15</w:t>
            </w:r>
          </w:p>
        </w:tc>
        <w:tc>
          <w:tcPr/>
          <w:p>
            <w:pPr>
              <w:pStyle w:val="Compact"/>
            </w:pPr>
            <w:r>
              <w:t xml:space="preserve">+2.02</w:t>
            </w:r>
          </w:p>
        </w:tc>
        <w:tc>
          <w:tcPr/>
          <w:p>
            <w:pPr>
              <w:pStyle w:val="Compact"/>
            </w:pPr>
            <w:r>
              <w:t xml:space="preserve">+1.29</w:t>
            </w:r>
          </w:p>
        </w:tc>
        <w:tc>
          <w:tcPr/>
          <w:p>
            <w:pPr>
              <w:pStyle w:val="Compact"/>
            </w:pPr>
            <w:r>
              <w:t xml:space="preserve">+2.15</w:t>
            </w:r>
          </w:p>
        </w:tc>
        <w:tc>
          <w:tcPr/>
          <w:p>
            <w:pPr>
              <w:pStyle w:val="Compact"/>
            </w:pPr>
            <w:r>
              <w:t xml:space="preserve">textbook good (all strong 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(good)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+0.12</w:t>
            </w:r>
          </w:p>
        </w:tc>
        <w:tc>
          <w:tcPr/>
          <w:p>
            <w:pPr>
              <w:pStyle w:val="Compact"/>
            </w:pPr>
            <w:r>
              <w:t xml:space="preserve">+1.14</w:t>
            </w:r>
          </w:p>
        </w:tc>
        <w:tc>
          <w:tcPr/>
          <w:p>
            <w:pPr>
              <w:pStyle w:val="Compact"/>
            </w:pPr>
            <w:r>
              <w:t xml:space="preserve">−1.19</w:t>
            </w:r>
          </w:p>
        </w:tc>
        <w:tc>
          <w:tcPr/>
          <w:p>
            <w:pPr>
              <w:pStyle w:val="Compact"/>
            </w:pPr>
            <w:r>
              <w:t xml:space="preserve">−0.91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+0.79</w:t>
            </w:r>
          </w:p>
        </w:tc>
        <w:tc>
          <w:tcPr/>
          <w:p>
            <w:pPr>
              <w:pStyle w:val="Compact"/>
            </w:pPr>
            <w:r>
              <w:t xml:space="preserve">+0.87</w:t>
            </w:r>
          </w:p>
        </w:tc>
        <w:tc>
          <w:tcPr/>
          <w:p>
            <w:pPr>
              <w:pStyle w:val="Compact"/>
            </w:pPr>
            <w:r>
              <w:t xml:space="preserve">−0.78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atypical good</w:t>
            </w:r>
            <w:r>
              <w:t xml:space="preserve"> </w:t>
            </w:r>
            <w:r>
              <w:t xml:space="preserve">(B-cell 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 (good)</w:t>
            </w:r>
          </w:p>
        </w:tc>
        <w:tc>
          <w:tcPr/>
          <w:p>
            <w:pPr>
              <w:pStyle w:val="Compact"/>
            </w:pPr>
            <w:r>
              <w:t xml:space="preserve">+0.42</w:t>
            </w:r>
          </w:p>
        </w:tc>
        <w:tc>
          <w:tcPr/>
          <w:p>
            <w:pPr>
              <w:pStyle w:val="Compact"/>
            </w:pPr>
            <w:r>
              <w:t xml:space="preserve">−0.84</w:t>
            </w:r>
          </w:p>
        </w:tc>
        <w:tc>
          <w:tcPr/>
          <w:p>
            <w:pPr>
              <w:pStyle w:val="Compact"/>
            </w:pPr>
            <w:r>
              <w:t xml:space="preserve">+0.35</w:t>
            </w:r>
          </w:p>
        </w:tc>
        <w:tc>
          <w:tcPr/>
          <w:p>
            <w:pPr>
              <w:pStyle w:val="Compact"/>
            </w:pPr>
            <w:r>
              <w:t xml:space="preserve">−0.02</w:t>
            </w:r>
          </w:p>
        </w:tc>
        <w:tc>
          <w:tcPr/>
          <w:p>
            <w:pPr>
              <w:pStyle w:val="Compact"/>
            </w:pPr>
            <w:r>
              <w:t xml:space="preserve">−0.49</w:t>
            </w:r>
          </w:p>
        </w:tc>
        <w:tc>
          <w:tcPr/>
          <w:p>
            <w:pPr>
              <w:pStyle w:val="Compact"/>
            </w:pPr>
            <w:r>
              <w:t xml:space="preserve">−0.22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  <w:tc>
          <w:tcPr/>
          <w:p>
            <w:pPr>
              <w:pStyle w:val="Compact"/>
            </w:pPr>
            <w:r>
              <w:t xml:space="preserve">+0.05</w:t>
            </w:r>
          </w:p>
        </w:tc>
        <w:tc>
          <w:tcPr/>
          <w:p>
            <w:pPr>
              <w:pStyle w:val="Compact"/>
            </w:pPr>
            <w:r>
              <w:t xml:space="preserve">+0.09</w:t>
            </w:r>
          </w:p>
        </w:tc>
        <w:tc>
          <w:tcPr/>
          <w:p>
            <w:pPr>
              <w:pStyle w:val="Compact"/>
            </w:pPr>
            <w:r>
              <w:t xml:space="preserve">−0.97</w:t>
            </w:r>
          </w:p>
        </w:tc>
        <w:tc>
          <w:tcPr/>
          <w:p>
            <w:pPr>
              <w:pStyle w:val="Compact"/>
            </w:pPr>
            <w:r>
              <w:t xml:space="preserve">modest/mixed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 (bad)</w:t>
            </w:r>
          </w:p>
        </w:tc>
        <w:tc>
          <w:tcPr/>
          <w:p>
            <w:pPr>
              <w:pStyle w:val="Compact"/>
            </w:pPr>
            <w:r>
              <w:t xml:space="preserve">+1.22</w:t>
            </w:r>
          </w:p>
        </w:tc>
        <w:tc>
          <w:tcPr/>
          <w:p>
            <w:pPr>
              <w:pStyle w:val="Compact"/>
            </w:pPr>
            <w:r>
              <w:t xml:space="preserve">+1.71</w:t>
            </w:r>
          </w:p>
        </w:tc>
        <w:tc>
          <w:tcPr/>
          <w:p>
            <w:pPr>
              <w:pStyle w:val="Compact"/>
            </w:pPr>
            <w:r>
              <w:t xml:space="preserve">+1.59</w:t>
            </w:r>
          </w:p>
        </w:tc>
        <w:tc>
          <w:tcPr/>
          <w:p>
            <w:pPr>
              <w:pStyle w:val="Compact"/>
            </w:pPr>
            <w:r>
              <w:t xml:space="preserve">+1.66</w:t>
            </w:r>
          </w:p>
        </w:tc>
        <w:tc>
          <w:tcPr/>
          <w:p>
            <w:pPr>
              <w:pStyle w:val="Compact"/>
            </w:pPr>
            <w:r>
              <w:t xml:space="preserve">+1.70</w:t>
            </w:r>
          </w:p>
        </w:tc>
        <w:tc>
          <w:tcPr/>
          <w:p>
            <w:pPr>
              <w:pStyle w:val="Compact"/>
            </w:pPr>
            <w:r>
              <w:t xml:space="preserve">+1.96</w:t>
            </w:r>
          </w:p>
        </w:tc>
        <w:tc>
          <w:tcPr/>
          <w:p>
            <w:pPr>
              <w:pStyle w:val="Compact"/>
            </w:pPr>
            <w:r>
              <w:t xml:space="preserve">+0.93</w:t>
            </w:r>
          </w:p>
        </w:tc>
        <w:tc>
          <w:tcPr/>
          <w:p>
            <w:pPr>
              <w:pStyle w:val="Compact"/>
            </w:pPr>
            <w:r>
              <w:t xml:space="preserve">+0.85</w:t>
            </w:r>
          </w:p>
        </w:tc>
        <w:tc>
          <w:tcPr/>
          <w:p>
            <w:pPr>
              <w:pStyle w:val="Compact"/>
            </w:pPr>
            <w:r>
              <w:t xml:space="preserve">+1.39</w:t>
            </w:r>
          </w:p>
        </w:tc>
        <w:tc>
          <w:tcPr/>
          <w:p>
            <w:pPr>
              <w:pStyle w:val="Compact"/>
            </w:pPr>
            <w:r>
              <w:t xml:space="preserve">+1.01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inflamed 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 (bad)</w:t>
            </w:r>
          </w:p>
        </w:tc>
        <w:tc>
          <w:tcPr/>
          <w:p>
            <w:pPr>
              <w:pStyle w:val="Compact"/>
            </w:pPr>
            <w:r>
              <w:t xml:space="preserve">+0.58</w:t>
            </w:r>
          </w:p>
        </w:tc>
        <w:tc>
          <w:tcPr/>
          <w:p>
            <w:pPr>
              <w:pStyle w:val="Compact"/>
            </w:pPr>
            <w:r>
              <w:t xml:space="preserve">+0.67</w:t>
            </w:r>
          </w:p>
        </w:tc>
        <w:tc>
          <w:tcPr/>
          <w:p>
            <w:pPr>
              <w:pStyle w:val="Compact"/>
            </w:pPr>
            <w:r>
              <w:t xml:space="preserve">+0.38</w:t>
            </w:r>
          </w:p>
        </w:tc>
        <w:tc>
          <w:tcPr/>
          <w:p>
            <w:pPr>
              <w:pStyle w:val="Compact"/>
            </w:pPr>
            <w:r>
              <w:t xml:space="preserve">+0.67</w:t>
            </w:r>
          </w:p>
        </w:tc>
        <w:tc>
          <w:tcPr/>
          <w:p>
            <w:pPr>
              <w:pStyle w:val="Compact"/>
            </w:pPr>
            <w:r>
              <w:t xml:space="preserve">+0.09</w:t>
            </w:r>
          </w:p>
        </w:tc>
        <w:tc>
          <w:tcPr/>
          <w:p>
            <w:pPr>
              <w:pStyle w:val="Compact"/>
            </w:pPr>
            <w:r>
              <w:t xml:space="preserve">+0.55</w:t>
            </w:r>
          </w:p>
        </w:tc>
        <w:tc>
          <w:tcPr/>
          <w:p>
            <w:pPr>
              <w:pStyle w:val="Compact"/>
            </w:pPr>
            <w:r>
              <w:t xml:space="preserve">+1.06</w:t>
            </w:r>
          </w:p>
        </w:tc>
        <w:tc>
          <w:tcPr/>
          <w:p>
            <w:pPr>
              <w:pStyle w:val="Compact"/>
            </w:pPr>
            <w:r>
              <w:t xml:space="preserve">−0.23</w:t>
            </w:r>
          </w:p>
        </w:tc>
        <w:tc>
          <w:tcPr/>
          <w:p>
            <w:pPr>
              <w:pStyle w:val="Compact"/>
            </w:pPr>
            <w:r>
              <w:t xml:space="preserve">+0.19</w:t>
            </w:r>
          </w:p>
        </w:tc>
        <w:tc>
          <w:tcPr/>
          <w:p>
            <w:pPr>
              <w:pStyle w:val="Compact"/>
            </w:pPr>
            <w:r>
              <w:t xml:space="preserve">+0.46</w:t>
            </w:r>
          </w:p>
        </w:tc>
        <w:tc>
          <w:tcPr/>
          <w:p>
            <w:pPr>
              <w:pStyle w:val="Compact"/>
            </w:pPr>
            <w:r>
              <w:t xml:space="preserve">modest+ 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 (bad)</w:t>
            </w:r>
          </w:p>
        </w:tc>
        <w:tc>
          <w:tcPr/>
          <w:p>
            <w:pPr>
              <w:pStyle w:val="Compact"/>
            </w:pPr>
            <w:r>
              <w:t xml:space="preserve">+0.75</w:t>
            </w:r>
          </w:p>
        </w:tc>
        <w:tc>
          <w:tcPr/>
          <w:p>
            <w:pPr>
              <w:pStyle w:val="Compact"/>
            </w:pPr>
            <w:r>
              <w:t xml:space="preserve">−1.02</w:t>
            </w:r>
          </w:p>
        </w:tc>
        <w:tc>
          <w:tcPr/>
          <w:p>
            <w:pPr>
              <w:pStyle w:val="Compact"/>
            </w:pPr>
            <w:r>
              <w:t xml:space="preserve">+1.96</w:t>
            </w:r>
          </w:p>
        </w:tc>
        <w:tc>
          <w:tcPr/>
          <w:p>
            <w:pPr>
              <w:pStyle w:val="Compact"/>
            </w:pPr>
            <w:r>
              <w:t xml:space="preserve">+1.20</w:t>
            </w:r>
          </w:p>
        </w:tc>
        <w:tc>
          <w:tcPr/>
          <w:p>
            <w:pPr>
              <w:pStyle w:val="Compact"/>
            </w:pPr>
            <w:r>
              <w:t xml:space="preserve">−0.65</w:t>
            </w:r>
          </w:p>
        </w:tc>
        <w:tc>
          <w:tcPr/>
          <w:p>
            <w:pPr>
              <w:pStyle w:val="Compact"/>
            </w:pPr>
            <w:r>
              <w:t xml:space="preserve">−0.18</w:t>
            </w:r>
          </w:p>
        </w:tc>
        <w:tc>
          <w:tcPr/>
          <w:p>
            <w:pPr>
              <w:pStyle w:val="Compact"/>
            </w:pPr>
            <w:r>
              <w:t xml:space="preserve">−1.77</w:t>
            </w:r>
          </w:p>
        </w:tc>
        <w:tc>
          <w:tcPr/>
          <w:p>
            <w:pPr>
              <w:pStyle w:val="Compact"/>
            </w:pPr>
            <w:r>
              <w:t xml:space="preserve">+1.19</w:t>
            </w:r>
          </w:p>
        </w:tc>
        <w:tc>
          <w:tcPr/>
          <w:p>
            <w:pPr>
              <w:pStyle w:val="Compact"/>
            </w:pPr>
            <w:r>
              <w:t xml:space="preserve">−0.12</w:t>
            </w:r>
          </w:p>
        </w:tc>
        <w:tc>
          <w:tcPr/>
          <w:p>
            <w:pPr>
              <w:pStyle w:val="Compact"/>
            </w:pPr>
            <w:r>
              <w:t xml:space="preserve">+0.67</w:t>
            </w:r>
          </w:p>
        </w:tc>
        <w:tc>
          <w:tcPr/>
          <w:p>
            <w:pPr>
              <w:pStyle w:val="Compact"/>
            </w:pPr>
            <w:r>
              <w:t xml:space="preserve">mixed bad (GC-TF ↑, HLA-II ↓↓)</w:t>
            </w:r>
          </w:p>
        </w:tc>
      </w:tr>
    </w:tbl>
    <w:bookmarkEnd w:id="32"/>
    <w:bookmarkStart w:id="34" w:name="Xb2d916fd5ff73a9f2414f19d3ed5f2bcf1946d0"/>
    <w:p>
      <w:pPr>
        <w:pStyle w:val="Heading2"/>
      </w:pPr>
      <w:r>
        <w:t xml:space="preserve">7. Implications for Fig 8F / §3.11 cascade framing</w:t>
      </w:r>
    </w:p>
    <w:p>
      <w:pPr>
        <w:pStyle w:val="FirstParagraph"/>
      </w:pPr>
      <w:r>
        <w:t xml:space="preserve">Under the pre-spec decision rule, NanoString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rescue Arrow 5 ("RT → B-cell/TCR expansion → response"). Combined with:</w:t>
      </w:r>
    </w:p>
    <w:p>
      <w:pPr>
        <w:pStyle w:val="Compact"/>
        <w:numPr>
          <w:ilvl w:val="0"/>
          <w:numId w:val="1014"/>
        </w:numPr>
      </w:pPr>
      <w:r>
        <w:t xml:space="preserve">RNA-seq paired n=12 Arrow 5 already weak (ΔIGH_n good vs bad MW P=0.24; composite sign-permutation P=0.27 after correcting for metric correlation)</w:t>
      </w:r>
    </w:p>
    <w:p>
      <w:pPr>
        <w:pStyle w:val="Compact"/>
        <w:numPr>
          <w:ilvl w:val="0"/>
          <w:numId w:val="1014"/>
        </w:numPr>
      </w:pPr>
      <w:r>
        <w:t xml:space="preserve">External LC-CRT 9-cohort meta Bcell_infiltration Fisher</w:t>
      </w:r>
      <w:r>
        <w:t xml:space="preserve"> </w:t>
      </w:r>
      <w:r>
        <w:rPr>
          <w:b/>
          <w:bCs/>
        </w:rPr>
        <w:t xml:space="preserve">P=0.014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pre-treatment baseline</w:t>
      </w:r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Δ</w:t>
      </w:r>
    </w:p>
    <w:p>
      <w:pPr>
        <w:pStyle w:val="Compact"/>
        <w:numPr>
          <w:ilvl w:val="0"/>
          <w:numId w:val="1014"/>
        </w:numPr>
      </w:pPr>
      <w:r>
        <w:t xml:space="preserve">NanoString n=6 shows</w:t>
      </w:r>
      <w:r>
        <w:t xml:space="preserve"> </w:t>
      </w:r>
      <w:r>
        <w:rPr>
          <w:b/>
          <w:bCs/>
        </w:rPr>
        <w:t xml:space="preserve">direction flip driven by subj 11 "inflamed but poor" biology</w:t>
      </w:r>
    </w:p>
    <w:p>
      <w:pPr>
        <w:pStyle w:val="Compact"/>
        <w:numPr>
          <w:ilvl w:val="0"/>
          <w:numId w:val="1014"/>
        </w:numPr>
      </w:pPr>
      <w:r>
        <w:t xml:space="preserve">Platform concordance is excellent (median r=+0.75, 90% genes r&gt;0) so the flip is real biology, not noise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T2 ΔCD8-exh × ΔTLS-8 r=+0.82 P=0.046</w:t>
      </w:r>
      <w:r>
        <w:t xml:space="preserve"> </w:t>
      </w:r>
      <w:r>
        <w:t xml:space="preserve">shows post-RT immune reprogramming is internally coherent (cascade arrows 3/4 replicate cross-platform)</w:t>
      </w:r>
    </w:p>
    <w:bookmarkStart w:id="33" w:name="recommended-path-for-v077-manuscript"/>
    <w:p>
      <w:pPr>
        <w:pStyle w:val="Heading3"/>
      </w:pPr>
      <w:r>
        <w:t xml:space="preserve">Recommended path for v0.7.7 manuscript</w:t>
      </w:r>
    </w:p>
    <w:p>
      <w:pPr>
        <w:pStyle w:val="FirstParagraph"/>
      </w:pPr>
      <w:r>
        <w:rPr>
          <w:b/>
          <w:bCs/>
        </w:rPr>
        <w:t xml:space="preserve">Path B (reroute terminal node)</w:t>
      </w:r>
      <w:r>
        <w:t xml:space="preserve"> </w:t>
      </w:r>
      <w:r>
        <w:t xml:space="preserve">is now the evidence-driven choice:</w:t>
      </w:r>
    </w:p>
    <w:p>
      <w:pPr>
        <w:pStyle w:val="Compact"/>
        <w:numPr>
          <w:ilvl w:val="0"/>
          <w:numId w:val="1015"/>
        </w:numPr>
      </w:pPr>
      <w:r>
        <w:t xml:space="preserve">Keep cascade arrows 1–4 as "phenomenology coherent across platforms":</w:t>
      </w:r>
    </w:p>
    <w:p>
      <w:pPr>
        <w:pStyle w:val="Compact"/>
        <w:numPr>
          <w:ilvl w:val="1"/>
          <w:numId w:val="1016"/>
        </w:numPr>
      </w:pPr>
      <w:r>
        <w:t xml:space="preserve">Arrow 1 (ΔSBS5 clonal clearance): in-house MW P=0.041</w:t>
      </w:r>
    </w:p>
    <w:p>
      <w:pPr>
        <w:pStyle w:val="Compact"/>
        <w:numPr>
          <w:ilvl w:val="1"/>
          <w:numId w:val="1016"/>
        </w:numPr>
      </w:pPr>
      <w:r>
        <w:t xml:space="preserve">Arrow 2 (Δmuts × Δneo_binders): in-house Pearson r=+0.86 P=7e-4</w:t>
      </w:r>
    </w:p>
    <w:p>
      <w:pPr>
        <w:pStyle w:val="Compact"/>
        <w:numPr>
          <w:ilvl w:val="1"/>
          <w:numId w:val="1016"/>
        </w:numPr>
      </w:pPr>
      <w:r>
        <w:t xml:space="preserve">Arrow 3 (Δneo × ΔMHC_II): in-house r=−0.81 P=0.009</w:t>
      </w:r>
      <w:r>
        <w:t xml:space="preserve"> </w:t>
      </w:r>
      <w:r>
        <w:rPr>
          <w:b/>
          <w:bCs/>
        </w:rPr>
        <w:t xml:space="preserve">+ NanoString T1 HLA-II × Plasma r=+0.72 P=0.109</w:t>
      </w:r>
      <w:r>
        <w:t xml:space="preserve"> </w:t>
      </w:r>
      <w:r>
        <w:t xml:space="preserve">(same direction, trend, n=6)</w:t>
      </w:r>
    </w:p>
    <w:p>
      <w:pPr>
        <w:pStyle w:val="Compact"/>
        <w:numPr>
          <w:ilvl w:val="1"/>
          <w:numId w:val="1016"/>
        </w:numPr>
      </w:pPr>
      <w:r>
        <w:t xml:space="preserve">Arrow 4 (Δimmune × ΔTCR): in-house r=+0.84 P=6e-4</w:t>
      </w:r>
      <w:r>
        <w:t xml:space="preserve"> </w:t>
      </w:r>
      <w:r>
        <w:rPr>
          <w:b/>
          <w:bCs/>
        </w:rPr>
        <w:t xml:space="preserve">+ NanoString T2 CD8-exh × TLS-8 r=+0.82 P=0.046</w:t>
      </w:r>
      <w:r>
        <w:t xml:space="preserve"> </w:t>
      </w:r>
      <w:r>
        <w:t xml:space="preserve">(replicates)</w:t>
      </w:r>
    </w:p>
    <w:p>
      <w:pPr>
        <w:pStyle w:val="Compact"/>
        <w:numPr>
          <w:ilvl w:val="0"/>
          <w:numId w:val="1015"/>
        </w:numPr>
      </w:pPr>
      <w:r>
        <w:t xml:space="preserve">Arrow 5 terminal node: demote "B-cell/TCR expansion → response" to</w:t>
      </w:r>
      <w:r>
        <w:t xml:space="preserve"> </w:t>
      </w:r>
      <w:r>
        <w:rPr>
          <w:b/>
          <w:bCs/>
        </w:rPr>
        <w:t xml:space="preserve">dashed/qualified</w:t>
      </w:r>
      <w:r>
        <w:t xml:space="preserve">; reposition "Treg + MHC-II immune-axis activation in good responders" as the robust terminal (ΔTreg MW</w:t>
      </w:r>
      <w:r>
        <w:t xml:space="preserve"> </w:t>
      </w:r>
      <w:r>
        <w:rPr>
          <w:b/>
          <w:bCs/>
        </w:rPr>
        <w:t xml:space="preserve">P=0.026</w:t>
      </w:r>
      <w:r>
        <w:t xml:space="preserve"> </w:t>
      </w:r>
      <w:r>
        <w:t xml:space="preserve">between-group, §3.11 existing finding)</w:t>
      </w:r>
    </w:p>
    <w:p>
      <w:pPr>
        <w:pStyle w:val="Compact"/>
        <w:numPr>
          <w:ilvl w:val="0"/>
          <w:numId w:val="1015"/>
        </w:numPr>
      </w:pPr>
      <w:r>
        <w:t xml:space="preserve">Add explicit §3.11 subsection on</w:t>
      </w:r>
      <w:r>
        <w:t xml:space="preserve"> </w:t>
      </w:r>
      <w:r>
        <w:rPr>
          <w:b/>
          <w:bCs/>
        </w:rPr>
        <w:t xml:space="preserve">NanoString orthogonal platform test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Pre-specified 4 primaries failed rescue</w:t>
      </w:r>
    </w:p>
    <w:p>
      <w:pPr>
        <w:pStyle w:val="Compact"/>
        <w:numPr>
          <w:ilvl w:val="1"/>
          <w:numId w:val="1017"/>
        </w:numPr>
      </w:pPr>
      <w:r>
        <w:t xml:space="preserve">Direction flip driven by subj 11 ("inflamed but poor" biology)</w:t>
      </w:r>
    </w:p>
    <w:p>
      <w:pPr>
        <w:pStyle w:val="Compact"/>
        <w:numPr>
          <w:ilvl w:val="1"/>
          <w:numId w:val="1017"/>
        </w:numPr>
      </w:pPr>
      <w:r>
        <w:t xml:space="preserve">Platform concordance excellent (median r=+0.75)</w:t>
      </w:r>
    </w:p>
    <w:p>
      <w:pPr>
        <w:pStyle w:val="Compact"/>
        <w:numPr>
          <w:ilvl w:val="1"/>
          <w:numId w:val="1017"/>
        </w:numPr>
      </w:pPr>
      <w:r>
        <w:t xml:space="preserve">T2 corroborates post-RT CD8-exh × TLS coupling (response-agnostic)</w:t>
      </w:r>
    </w:p>
    <w:p>
      <w:pPr>
        <w:pStyle w:val="Compact"/>
        <w:numPr>
          <w:ilvl w:val="1"/>
          <w:numId w:val="1017"/>
        </w:numPr>
      </w:pPr>
      <w:r>
        <w:t xml:space="preserve">External LC-CRT Bcell Fisher P=0.014 remains as</w:t>
      </w:r>
      <w:r>
        <w:t xml:space="preserve"> </w:t>
      </w:r>
      <w:r>
        <w:rPr>
          <w:i/>
          <w:iCs/>
        </w:rPr>
        <w:t xml:space="preserve">pre-treatment baseline</w:t>
      </w:r>
      <w:r>
        <w:t xml:space="preserve"> </w:t>
      </w:r>
      <w:r>
        <w:t xml:space="preserve">evidence, explicitly distinguished from Δ</w:t>
      </w:r>
    </w:p>
    <w:p>
      <w:pPr>
        <w:pStyle w:val="Compact"/>
        <w:numPr>
          <w:ilvl w:val="0"/>
          <w:numId w:val="1015"/>
        </w:numPr>
      </w:pPr>
      <w:r>
        <w:t xml:space="preserve">Acknowledge in Limitations that n=3+3 extreme phenotype was underpowered to distinguish direction given the two "inflamed but poor" bad responders.</w:t>
      </w:r>
    </w:p>
    <w:p>
      <w:pPr>
        <w:pStyle w:val="FirstParagraph"/>
      </w:pPr>
      <w:r>
        <w:rPr>
          <w:b/>
          <w:bCs/>
        </w:rPr>
        <w:t xml:space="preserve">Reviewer-defense line</w:t>
      </w:r>
      <w:r>
        <w:t xml:space="preserve">: "Pre-registered NanoString nCounter Δ tests on 4 B-cell/TLS/plasma composites failed to show good &gt; bad direction (all P 1s ≥ 0.65; direction flipped in 3/4 primaries). The failure was reproducible cross-platform (same 5 RNA-seq paired subjects show same per-subject direction; median r = +0.75) and traces to two bad responders with post-RT inflammatory expansion but ineffective tumour control. We therefore retain Arrow 5 only as a qualified descriptive branch (pre-treatment B-cell baseline remains externally validated in 9 LC-CRT cohorts, Fisher P = 0.014) and position the Treg / MHC-II immune-axis activation as the primary response-specific post-RT terminal."</w:t>
      </w:r>
    </w:p>
    <w:bookmarkEnd w:id="33"/>
    <w:bookmarkEnd w:id="34"/>
    <w:bookmarkStart w:id="35" w:name="Xe34d9f52f8543e535638954e79498110528f18b"/>
    <w:p>
      <w:pPr>
        <w:pStyle w:val="Heading2"/>
      </w:pPr>
      <w:r>
        <w:t xml:space="preserve">8. Artefact inventory</w:t>
      </w:r>
    </w:p>
    <w:p>
      <w:pPr>
        <w:pStyle w:val="SourceCode"/>
      </w:pPr>
      <w:r>
        <w:rPr>
          <w:rStyle w:val="VerbatimChar"/>
        </w:rPr>
        <w:t xml:space="preserve">260424_nanostring/</w:t>
      </w:r>
      <w:r>
        <w:br/>
      </w:r>
      <w:r>
        <w:rPr>
          <w:rStyle w:val="VerbatimChar"/>
        </w:rPr>
        <w:t xml:space="preserve">├── PRE_SPEC.md                               # frozen hypotheses (commit 235021f)</w:t>
      </w:r>
      <w:r>
        <w:br/>
      </w:r>
      <w:r>
        <w:rPr>
          <w:rStyle w:val="VerbatimChar"/>
        </w:rPr>
        <w:t xml:space="preserve">├── FINAL_VERDICT.md                          # this file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01_primary_secondary_tertiary.py      # main analysis</w:t>
      </w:r>
      <w:r>
        <w:br/>
      </w:r>
      <w:r>
        <w:rPr>
          <w:rStyle w:val="VerbatimChar"/>
        </w:rPr>
        <w:t xml:space="preserve">│   └── 02_figures.py                          # 5 figures</w:t>
      </w:r>
      <w:r>
        <w:br/>
      </w:r>
      <w:r>
        <w:rPr>
          <w:rStyle w:val="VerbatimChar"/>
        </w:rPr>
        <w:t xml:space="preserve">├── tables/</w:t>
      </w:r>
      <w:r>
        <w:br/>
      </w:r>
      <w:r>
        <w:rPr>
          <w:rStyle w:val="VerbatimChar"/>
        </w:rPr>
        <w:t xml:space="preserve">│   ├── meta.tsv                               # 12 samples × metadata</w:t>
      </w:r>
      <w:r>
        <w:br/>
      </w:r>
      <w:r>
        <w:rPr>
          <w:rStyle w:val="VerbatimChar"/>
        </w:rPr>
        <w:t xml:space="preserve">│   ├── logz_matrix.tsv                        # 730 × 12 log2+z</w:t>
      </w:r>
      <w:r>
        <w:br/>
      </w:r>
      <w:r>
        <w:rPr>
          <w:rStyle w:val="VerbatimChar"/>
        </w:rPr>
        <w:t xml:space="preserve">│   ├── subject_delta.tsv                      # 730 × 6 Δ per subject</w:t>
      </w:r>
      <w:r>
        <w:br/>
      </w:r>
      <w:r>
        <w:rPr>
          <w:rStyle w:val="VerbatimChar"/>
        </w:rPr>
        <w:t xml:space="preserve">│   ├── composite_scores.tsv                   # per-sample composite z</w:t>
      </w:r>
      <w:r>
        <w:br/>
      </w:r>
      <w:r>
        <w:rPr>
          <w:rStyle w:val="VerbatimChar"/>
        </w:rPr>
        <w:t xml:space="preserve">│   ├── composite_subject_delta.tsv            # per-subject composite Δ</w:t>
      </w:r>
      <w:r>
        <w:br/>
      </w:r>
      <w:r>
        <w:rPr>
          <w:rStyle w:val="VerbatimChar"/>
        </w:rPr>
        <w:t xml:space="preserve">│   ├── composite_definitions.tsv              # gene membership audit</w:t>
      </w:r>
      <w:r>
        <w:br/>
      </w:r>
      <w:r>
        <w:rPr>
          <w:rStyle w:val="VerbatimChar"/>
        </w:rPr>
        <w:t xml:space="preserve">│   ├── P1_P4_primary.tsv                      # primary tier stats</w:t>
      </w:r>
      <w:r>
        <w:br/>
      </w:r>
      <w:r>
        <w:rPr>
          <w:rStyle w:val="VerbatimChar"/>
        </w:rPr>
        <w:t xml:space="preserve">│   ├── S1_S3_lineage.tsv                      # lineage composite stats</w:t>
      </w:r>
      <w:r>
        <w:br/>
      </w:r>
      <w:r>
        <w:rPr>
          <w:rStyle w:val="VerbatimChar"/>
        </w:rPr>
        <w:t xml:space="preserve">│   ├── S4_platform_concordance.tsv            # 694 gene × r×P</w:t>
      </w:r>
      <w:r>
        <w:br/>
      </w:r>
      <w:r>
        <w:rPr>
          <w:rStyle w:val="VerbatimChar"/>
        </w:rPr>
        <w:t xml:space="preserve">│   ├── S4_platform_summary.json               # overall metrics</w:t>
      </w:r>
      <w:r>
        <w:br/>
      </w:r>
      <w:r>
        <w:rPr>
          <w:rStyle w:val="VerbatimChar"/>
        </w:rPr>
        <w:t xml:space="preserve">│   ├── S5_full_scan.tsv                       # 730 gene one-sided MW + BH</w:t>
      </w:r>
      <w:r>
        <w:br/>
      </w:r>
      <w:r>
        <w:rPr>
          <w:rStyle w:val="VerbatimChar"/>
        </w:rPr>
        <w:t xml:space="preserve">│   └── T1_T3_cascade.tsv                      # 3 cascade correlations</w:t>
      </w:r>
      <w:r>
        <w:br/>
      </w:r>
      <w:r>
        <w:rPr>
          <w:rStyle w:val="VerbatimChar"/>
        </w:rPr>
        <w:t xml:space="preserve">├── figures/                                   # 5 PDF + PNG each</w:t>
      </w:r>
      <w:r>
        <w:br/>
      </w:r>
      <w:r>
        <w:rPr>
          <w:rStyle w:val="VerbatimChar"/>
        </w:rPr>
        <w:t xml:space="preserve">│   ├── Fig_primary_paired.{pdf,png}</w:t>
      </w:r>
      <w:r>
        <w:br/>
      </w:r>
      <w:r>
        <w:rPr>
          <w:rStyle w:val="VerbatimChar"/>
        </w:rPr>
        <w:t xml:space="preserve">│   ├── Fig_primary_secondary_bar.{pdf,png}</w:t>
      </w:r>
      <w:r>
        <w:br/>
      </w:r>
      <w:r>
        <w:rPr>
          <w:rStyle w:val="VerbatimChar"/>
        </w:rPr>
        <w:t xml:space="preserve">│   ├── Fig_cascade_scatter.{pdf,png}</w:t>
      </w:r>
      <w:r>
        <w:br/>
      </w:r>
      <w:r>
        <w:rPr>
          <w:rStyle w:val="VerbatimChar"/>
        </w:rPr>
        <w:t xml:space="preserve">│   ├── Fig_platform_concordance.{pdf,png}</w:t>
      </w:r>
      <w:r>
        <w:br/>
      </w:r>
      <w:r>
        <w:rPr>
          <w:rStyle w:val="VerbatimChar"/>
        </w:rPr>
        <w:t xml:space="preserve">│   └── Fig_subject_fingerprint.{pdf,png}</w:t>
      </w:r>
      <w:r>
        <w:br/>
      </w:r>
      <w:r>
        <w:rPr>
          <w:rStyle w:val="VerbatimChar"/>
        </w:rPr>
        <w:t xml:space="preserve">└── logs/</w:t>
      </w:r>
      <w:r>
        <w:br/>
      </w:r>
      <w:r>
        <w:rPr>
          <w:rStyle w:val="VerbatimChar"/>
        </w:rPr>
        <w:t xml:space="preserve">    ├── 01_run.log</w:t>
      </w:r>
      <w:r>
        <w:br/>
      </w:r>
      <w:r>
        <w:rPr>
          <w:rStyle w:val="VerbatimChar"/>
        </w:rPr>
        <w:t xml:space="preserve">    └── 02_figures.log</w:t>
      </w:r>
    </w:p>
    <w:bookmarkEnd w:id="35"/>
    <w:bookmarkStart w:id="36" w:name="source-document-3-findings_exploratorymd"/>
    <w:p>
      <w:pPr>
        <w:pStyle w:val="Heading2"/>
      </w:pPr>
      <w:r>
        <w:t xml:space="preserve">Source document 3:</w:t>
      </w:r>
      <w:r>
        <w:t xml:space="preserve"> </w:t>
      </w:r>
      <w:r>
        <w:rPr>
          <w:rStyle w:val="VerbatimChar"/>
        </w:rPr>
        <w:t xml:space="preserve">FINDINGS_exploratory.md</w:t>
      </w:r>
    </w:p>
    <w:bookmarkEnd w:id="36"/>
    <w:bookmarkEnd w:id="37"/>
    <w:bookmarkStart w:id="62" w:name="X76b9b4ab787d99117ea8552051c39e22c53db94"/>
    <w:p>
      <w:pPr>
        <w:pStyle w:val="Heading1"/>
      </w:pPr>
      <w:r>
        <w:t xml:space="preserve">NanoString Exploratory Round A–F+H — FINDINGS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2026-04-24</w:t>
      </w:r>
      <w:r>
        <w:t xml:space="preserve"> </w:t>
      </w:r>
      <w:r>
        <w:rPr>
          <w:b/>
          <w:bCs/>
        </w:rPr>
        <w:t xml:space="preserve">Scope</w:t>
      </w:r>
      <w:r>
        <w:t xml:space="preserve">: Beyond-pre-spec exploration.</w:t>
      </w:r>
      <w:r>
        <w:t xml:space="preserve"> </w:t>
      </w:r>
      <w:r>
        <w:rPr>
          <w:b/>
          <w:bCs/>
        </w:rPr>
        <w:t xml:space="preserve">These analyses were NOT pre-registered</w:t>
      </w:r>
      <w:r>
        <w:t xml:space="preserve"> </w:t>
      </w:r>
      <w:r>
        <w:t xml:space="preserve">— they are post-hoc hypothesis generation. All Arrow-5-rescue conclusions (pre-spec NULL) in</w:t>
      </w:r>
      <w:r>
        <w:t xml:space="preserve"> </w:t>
      </w:r>
      <w:r>
        <w:rPr>
          <w:rStyle w:val="VerbatimChar"/>
        </w:rPr>
        <w:t xml:space="preserve">FINAL_VERDICT.md</w:t>
      </w:r>
      <w:r>
        <w:t xml:space="preserve"> </w:t>
      </w:r>
      <w:r>
        <w:t xml:space="preserve">remain unchanged.</w:t>
      </w:r>
      <w:r>
        <w:t xml:space="preserve"> </w:t>
      </w: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scripts/03_exploratory.py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scripts/04_exploratory_figures.py</w:t>
      </w:r>
    </w:p>
    <w:p>
      <w:r>
        <w:pict>
          <v:rect style="width:0;height:1.5pt" o:hralign="center" o:hrstd="t" o:hr="t"/>
        </w:pict>
      </w:r>
    </w:p>
    <w:bookmarkStart w:id="38" w:name="Xefaef1d753646c76997b307aacb922d46d2b573"/>
    <w:p>
      <w:pPr>
        <w:pStyle w:val="Heading2"/>
      </w:pPr>
      <w:r>
        <w:t xml:space="preserve">🔥 HEADLINE — Pre-treatment immune axis is</w:t>
      </w:r>
      <w:r>
        <w:t xml:space="preserve"> </w:t>
      </w:r>
      <w:r>
        <w:rPr>
          <w:i/>
          <w:iCs/>
        </w:rPr>
        <w:t xml:space="preserve">in-house replicable</w:t>
      </w:r>
      <w:r>
        <w:t xml:space="preserve"> </w:t>
      </w:r>
      <w:r>
        <w:t xml:space="preserve">under extreme-phenotype sampling</w:t>
      </w:r>
    </w:p>
    <w:p>
      <w:pPr>
        <w:pStyle w:val="FirstParagraph"/>
      </w:pPr>
      <w:r>
        <w:rPr>
          <w:b/>
          <w:bCs/>
        </w:rPr>
        <w:t xml:space="preserve">23/23 composites (100%) show good &gt; bad direction pre-treatment.</w:t>
      </w:r>
      <w:r>
        <w:t xml:space="preserve"> </w:t>
      </w:r>
      <w:r>
        <w:t xml:space="preserve">Six reach the 3-vs-3 exact one-sided MW ceiling (P = 0.05), including two FDA-companion-grade signatures.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i/>
          <w:iCs/>
        </w:rPr>
        <w:t xml:space="preserve">rescues the Immune axis as an in-house finding</w:t>
      </w:r>
      <w:r>
        <w:t xml:space="preserve"> </w:t>
      </w:r>
      <w:r>
        <w:t xml:space="preserve">that was previously attributed only to the external LC-CRT 9-cohort meta (CD8_cytotoxic Fisher P=0.013, Bcell_infiltration P=0.014, Tcell_infiltration P=0.048 — all pre-treatment).</w:t>
      </w:r>
    </w:p>
    <w:p>
      <w:pPr>
        <w:pStyle w:val="BodyText"/>
      </w:pPr>
      <w:r>
        <w:t xml:space="preserve">Why it emerges only now: our previous in-house Immune axis tests used the full 35-sample cohort (good 17 vs bad 16), where PR and near-CR intermediate responders dilute the signal. NanoString here sampled the</w:t>
      </w:r>
      <w:r>
        <w:t xml:space="preserve"> </w:t>
      </w:r>
      <w:r>
        <w:rPr>
          <w:b/>
          <w:bCs/>
        </w:rPr>
        <w:t xml:space="preserve">extreme-phenotype tails</w:t>
      </w:r>
      <w:r>
        <w:t xml:space="preserve"> </w:t>
      </w:r>
      <w:r>
        <w:t xml:space="preserve">(3 pCR vs 3 poor), which amplifies the axis above noise.</w:t>
      </w:r>
    </w:p>
    <w:p>
      <w:r>
        <w:pict>
          <v:rect style="width:0;height:1.5pt" o:hralign="center" o:hrstd="t" o:hr="t"/>
        </w:pict>
      </w:r>
    </w:p>
    <w:bookmarkEnd w:id="38"/>
    <w:bookmarkStart w:id="43" w:name="Xe9591c2799fa3a1b1a6b78092cf26bcb5752425"/>
    <w:p>
      <w:pPr>
        <w:pStyle w:val="Heading2"/>
      </w:pPr>
      <w:r>
        <w:t xml:space="preserve">A. Pre-treatment baseline tests (one-sided MW good &gt; bad)</w:t>
      </w:r>
    </w:p>
    <w:bookmarkStart w:id="39" w:name="X48a2802d350ca6ae190eec17a7b18662d4d9d5d"/>
    <w:p>
      <w:pPr>
        <w:pStyle w:val="Heading3"/>
      </w:pPr>
      <w:r>
        <w:t xml:space="preserve">Ceiling hits (P_1s = 0.05, perfect 3-vs-3 separation)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Good mean</w:t>
            </w:r>
          </w:p>
        </w:tc>
        <w:tc>
          <w:tcPr/>
          <w:p>
            <w:pPr>
              <w:pStyle w:val="Compact"/>
            </w:pPr>
            <w:r>
              <w:t xml:space="preserve">Bad mean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Ayers_TIS</w:t>
            </w:r>
            <w:r>
              <w:t xml:space="preserve"> </w:t>
            </w:r>
            <w:r>
              <w:t xml:space="preserve">(16 genes)</w:t>
            </w:r>
          </w:p>
        </w:tc>
        <w:tc>
          <w:tcPr/>
          <w:p>
            <w:pPr>
              <w:pStyle w:val="Compact"/>
            </w:pPr>
            <w:r>
              <w:t xml:space="preserve">+0.06</w:t>
            </w:r>
          </w:p>
        </w:tc>
        <w:tc>
          <w:tcPr/>
          <w:p>
            <w:pPr>
              <w:pStyle w:val="Compact"/>
            </w:pPr>
            <w:r>
              <w:t xml:space="preserve">−0.72</w:t>
            </w:r>
          </w:p>
        </w:tc>
        <w:tc>
          <w:tcPr/>
          <w:p>
            <w:pPr>
              <w:pStyle w:val="Compact"/>
            </w:pPr>
            <w:r>
              <w:t xml:space="preserve">Keytruda FDA-companion pan-tumor inflammation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IFNg_6</w:t>
            </w:r>
            <w:r>
              <w:t xml:space="preserve"> </w:t>
            </w:r>
            <w:r>
              <w:t xml:space="preserve">(IFNG/STAT1/CXCL9/10/GZMB/HLA-A)</w:t>
            </w:r>
          </w:p>
        </w:tc>
        <w:tc>
          <w:tcPr/>
          <w:p>
            <w:pPr>
              <w:pStyle w:val="Compact"/>
            </w:pPr>
            <w:r>
              <w:t xml:space="preserve">+0.24</w:t>
            </w:r>
          </w:p>
        </w:tc>
        <w:tc>
          <w:tcPr/>
          <w:p>
            <w:pPr>
              <w:pStyle w:val="Compact"/>
            </w:pPr>
            <w:r>
              <w:t xml:space="preserve">−0.74</w:t>
            </w:r>
          </w:p>
        </w:tc>
        <w:tc>
          <w:tcPr/>
          <w:p>
            <w:pPr>
              <w:pStyle w:val="Compact"/>
            </w:pPr>
            <w:r>
              <w:t xml:space="preserve">Ayers JCI 2017 6-gene IFN-γ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IFNg_10_Ayers</w:t>
            </w:r>
            <w:r>
              <w:t xml:space="preserve"> </w:t>
            </w:r>
            <w:r>
              <w:t xml:space="preserve">(full 10-gene)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  <w:tc>
          <w:tcPr/>
          <w:p>
            <w:pPr>
              <w:pStyle w:val="Compact"/>
            </w:pPr>
            <w:r>
              <w:t xml:space="preserve">−0.72</w:t>
            </w:r>
          </w:p>
        </w:tc>
        <w:tc>
          <w:tcPr/>
          <w:p>
            <w:pPr>
              <w:pStyle w:val="Compact"/>
            </w:pPr>
            <w:r>
              <w:t xml:space="preserve">Ayers JCI 2017 10-gene IFN-γ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CD8_cytotoxic</w:t>
            </w:r>
            <w:r>
              <w:t xml:space="preserve"> </w:t>
            </w:r>
            <w:r>
              <w:t xml:space="preserve">(GZMA/B/H/K/PRF1/IFNG/CD8A/B)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−0.51</w:t>
            </w:r>
          </w:p>
        </w:tc>
        <w:tc>
          <w:tcPr/>
          <w:p>
            <w:pPr>
              <w:pStyle w:val="Compact"/>
            </w:pPr>
            <w:r>
              <w:t xml:space="preserve">Matches external LC-CRT meta Z=+2.74 P=0.006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M1_macro</w:t>
            </w:r>
            <w:r>
              <w:t xml:space="preserve"> </w:t>
            </w:r>
            <w:r>
              <w:t xml:space="preserve">(CXCL9/10/11/IL12B/CD80/86/IFNG/TNF/IL1B)</w:t>
            </w:r>
          </w:p>
        </w:tc>
        <w:tc>
          <w:tcPr/>
          <w:p>
            <w:pPr>
              <w:pStyle w:val="Compact"/>
            </w:pPr>
            <w:r>
              <w:t xml:space="preserve">−0.12</w:t>
            </w:r>
          </w:p>
        </w:tc>
        <w:tc>
          <w:tcPr/>
          <w:p>
            <w:pPr>
              <w:pStyle w:val="Compact"/>
            </w:pPr>
            <w:r>
              <w:t xml:space="preserve">−0.85</w:t>
            </w:r>
          </w:p>
        </w:tc>
        <w:tc>
          <w:tcPr/>
          <w:p>
            <w:pPr>
              <w:pStyle w:val="Compact"/>
            </w:pPr>
            <w:r>
              <w:t xml:space="preserve">Classically-activated macrophage polarization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GC_TF</w:t>
            </w:r>
            <w:r>
              <w:t xml:space="preserve"> </w:t>
            </w:r>
            <w:r>
              <w:t xml:space="preserve">(BCL6/AICDA/POU2AF1)</w:t>
            </w:r>
          </w:p>
        </w:tc>
        <w:tc>
          <w:tcPr/>
          <w:p>
            <w:pPr>
              <w:pStyle w:val="Compact"/>
            </w:pPr>
            <w:r>
              <w:t xml:space="preserve">−0.15</w:t>
            </w:r>
          </w:p>
        </w:tc>
        <w:tc>
          <w:tcPr/>
          <w:p>
            <w:pPr>
              <w:pStyle w:val="Compact"/>
            </w:pPr>
            <w:r>
              <w:t xml:space="preserve">−1.03</w:t>
            </w:r>
          </w:p>
        </w:tc>
        <w:tc>
          <w:tcPr/>
          <w:p>
            <w:pPr>
              <w:pStyle w:val="Compact"/>
            </w:pPr>
            <w:r>
              <w:t xml:space="preserve">Germinal center transcription factors</w:t>
            </w:r>
          </w:p>
        </w:tc>
      </w:tr>
    </w:tbl>
    <w:bookmarkEnd w:id="39"/>
    <w:bookmarkStart w:id="40" w:name="near-ceiling-p_1s--010-2-of-3-separation"/>
    <w:p>
      <w:pPr>
        <w:pStyle w:val="Heading3"/>
      </w:pPr>
      <w:r>
        <w:t xml:space="preserve">Near-ceiling (P_1s = 0.10, 2 of 3 separation)</w:t>
      </w:r>
    </w:p>
    <w:p>
      <w:pPr>
        <w:pStyle w:val="FirstParagraph"/>
      </w:pPr>
      <w:r>
        <w:t xml:space="preserve">T_cell (CD3+CD8), HLA_I_axis, HLA_I_machinery_narrow, NK_activating, IMPRES_pos</w:t>
      </w:r>
    </w:p>
    <w:bookmarkEnd w:id="40"/>
    <w:bookmarkStart w:id="41" w:name="ratio-composites-at-ceiling"/>
    <w:p>
      <w:pPr>
        <w:pStyle w:val="Heading3"/>
      </w:pPr>
      <w:r>
        <w:t xml:space="preserve">Ratio composites at ceiling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M1/M2 macrophage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−0.27</w:t>
            </w:r>
          </w:p>
        </w:tc>
        <w:tc>
          <w:tcPr/>
          <w:p>
            <w:pPr>
              <w:pStyle w:val="Compact"/>
            </w:pPr>
            <w:r>
              <w:t xml:space="preserve">Good responders start with M1-skewed polarization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NK activating / inhibiting</w:t>
            </w:r>
          </w:p>
        </w:tc>
        <w:tc>
          <w:tcPr/>
          <w:p>
            <w:pPr>
              <w:pStyle w:val="Compact"/>
            </w:pPr>
            <w:r>
              <w:t xml:space="preserve">+0.31</w:t>
            </w:r>
          </w:p>
        </w:tc>
        <w:tc>
          <w:tcPr/>
          <w:p>
            <w:pPr>
              <w:pStyle w:val="Compact"/>
            </w:pPr>
            <w:r>
              <w:t xml:space="preserve">−0.16</w:t>
            </w:r>
          </w:p>
        </w:tc>
        <w:tc>
          <w:tcPr/>
          <w:p>
            <w:pPr>
              <w:pStyle w:val="Compact"/>
            </w:pPr>
            <w:r>
              <w:t xml:space="preserve">Good responders start with active-dominant NK balance</w:t>
            </w:r>
          </w:p>
        </w:tc>
      </w:tr>
    </w:tbl>
    <w:bookmarkEnd w:id="41"/>
    <w:bookmarkStart w:id="42" w:name="directionality-is-universal"/>
    <w:p>
      <w:pPr>
        <w:pStyle w:val="Heading3"/>
      </w:pPr>
      <w:r>
        <w:t xml:space="preserve">Directionality is universal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b/>
          <w:bCs/>
        </w:rPr>
        <w:t xml:space="preserve">23/23</w:t>
      </w:r>
      <w:r>
        <w:t xml:space="preserve"> </w:t>
      </w:r>
      <w:r>
        <w:t xml:space="preserve">tested composites show good &gt; bad direction pre-treatment. Under an (invalid but illustrative) independence assumption, binomial P(23 of 23 positive) = (½)²³ ≈ 1.2 × 10⁻⁷. Composites share many genes so the true P is much larger — but the qualitative point stands:</w:t>
      </w:r>
      <w:r>
        <w:t xml:space="preserve"> </w:t>
      </w:r>
      <w:r>
        <w:rPr>
          <w:b/>
          <w:bCs/>
        </w:rPr>
        <w:t xml:space="preserve">the immune axis is uniformly elevated pre-treatment in good responders</w:t>
      </w:r>
      <w:r>
        <w:t xml:space="preserve">, not a composite-specific artefact.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d3a52f4396ff946204397168ecc40d56ecc4a4d"/>
    <w:p>
      <w:pPr>
        <w:pStyle w:val="Heading2"/>
      </w:pPr>
      <w:r>
        <w:t xml:space="preserve">B. Canonical clinical signatures (regulatory-grade cross-check)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Pre P_1s</w:t>
            </w:r>
          </w:p>
        </w:tc>
        <w:tc>
          <w:tcPr/>
          <w:p>
            <w:pPr>
              <w:pStyle w:val="Compact"/>
            </w:pPr>
            <w:r>
              <w:t xml:space="preserve">Post P_1s</w:t>
            </w:r>
          </w:p>
        </w:tc>
        <w:tc>
          <w:tcPr/>
          <w:p>
            <w:pPr>
              <w:pStyle w:val="Compact"/>
            </w:pPr>
            <w:r>
              <w:t xml:space="preserve">Δ P_1s</w:t>
            </w:r>
          </w:p>
        </w:tc>
        <w:tc>
          <w:tcPr/>
          <w:p>
            <w:pPr>
              <w:pStyle w:val="Compact"/>
            </w:pPr>
            <w:r>
              <w:t xml:space="preserve">Clinical 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Ayers TIS</w:t>
            </w:r>
            <w:r>
              <w:t xml:space="preserve"> </w:t>
            </w:r>
            <w:r>
              <w:t xml:space="preserve">(18-gene → 16 in panel)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Keytruda companion diagnostic (Chowell Science 2018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IFN-γ 6-gene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Ayers JCI 2017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IFN-γ 10-gene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Ayers JCI 2017 expanded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IMPRES</w:t>
            </w:r>
            <w:r>
              <w:t xml:space="preserve"> </w:t>
            </w:r>
            <w:r>
              <w:t xml:space="preserve">(15 → 14)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Auslander Nat Med 2018 ICB-response panel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IFN-γ 6- and 10-gene signatures maintain ceiling separation post-treatment</w:t>
      </w:r>
      <w:r>
        <w:t xml:space="preserve"> </w:t>
      </w:r>
      <w:r>
        <w:t xml:space="preserve">— the advantage is preserved through SC-RT.</w:t>
      </w:r>
    </w:p>
    <w:p>
      <w:pPr>
        <w:pStyle w:val="BodyText"/>
      </w:pPr>
      <w:r>
        <w:rPr>
          <w:b/>
          <w:bCs/>
        </w:rPr>
        <w:t xml:space="preserve">Ayers TIS pre-treatment MW P = 0.05</w:t>
      </w:r>
      <w:r>
        <w:t xml:space="preserve"> </w:t>
      </w:r>
      <w:r>
        <w:t xml:space="preserve">in n=3+3 is conceptually the same finding that motivated Ayers JCI 2017 (TIS predicts pembrolizumab response) applied here to SC-RT + consolidation TNT response.</w:t>
      </w:r>
    </w:p>
    <w:p>
      <w:r>
        <w:pict>
          <v:rect style="width:0;height:1.5pt" o:hralign="center" o:hrstd="t" o:hr="t"/>
        </w:pict>
      </w:r>
    </w:p>
    <w:bookmarkEnd w:id="44"/>
    <w:bookmarkStart w:id="49" w:name="Xa98cbcb2af407626da4eba4a2a0ebb415d213e7"/>
    <w:p>
      <w:pPr>
        <w:pStyle w:val="Heading2"/>
      </w:pPr>
      <w:r>
        <w:t xml:space="preserve">C. Inflamed-but-Ineffective (IBI) vs Inflamed-Active-Effective (IAE) dissection</w:t>
      </w:r>
    </w:p>
    <w:bookmarkStart w:id="45" w:name="X3246517816aab14d90917f4976c54171da54206"/>
    <w:p>
      <w:pPr>
        <w:pStyle w:val="Heading3"/>
      </w:pPr>
      <w:r>
        <w:t xml:space="preserve">Phenotype classification (ΔAyers_TIS &gt; 0 = "inflamed")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Phenotype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Inflamed-Active-Effective (IAE)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s2, s4</w:t>
            </w:r>
          </w:p>
        </w:tc>
        <w:tc>
          <w:tcPr/>
          <w:p>
            <w:pPr>
              <w:pStyle w:val="Compact"/>
            </w:pPr>
            <w:r>
              <w:t xml:space="preserve">good pCR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Inflamed-but-Ineffective (IBI)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s10, s11, s13</w:t>
            </w:r>
          </w:p>
        </w:tc>
        <w:tc>
          <w:tcPr/>
          <w:p>
            <w:pPr>
              <w:pStyle w:val="Compact"/>
            </w:pPr>
            <w:r>
              <w:t xml:space="preserve">bad 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cold_effective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good pCR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cold_ineffective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bad responder is "inflamed"</w:t>
      </w:r>
      <w:r>
        <w:t xml:space="preserve"> </w:t>
      </w:r>
      <w:r>
        <w:t xml:space="preserve">in this cohort — the phenotype of "cold tumor → poor response"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what this cohort shows. The distinction is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of inflammation, not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inflammation.</w:t>
      </w:r>
    </w:p>
    <w:bookmarkEnd w:id="45"/>
    <w:bookmarkStart w:id="46" w:name="X193ff48c6916f01ea5c7a170fc2366c0cd8677e"/>
    <w:p>
      <w:pPr>
        <w:pStyle w:val="Heading3"/>
      </w:pPr>
      <w:r>
        <w:t xml:space="preserve">IAE &gt; IBI — productive engagement signature</w:t>
      </w:r>
    </w:p>
    <w:p>
      <w:pPr>
        <w:pStyle w:val="FirstParagraph"/>
      </w:pPr>
      <w:r>
        <w:t xml:space="preserve">Composite level (IAE − IBI mean Δ z):</w:t>
      </w:r>
    </w:p>
    <w:p>
      <w:pPr>
        <w:pStyle w:val="Compact"/>
        <w:numPr>
          <w:ilvl w:val="0"/>
          <w:numId w:val="1018"/>
        </w:numPr>
      </w:pPr>
      <w:r>
        <w:t xml:space="preserve">Treg (+1.26), IFN-γ 10-gene (+0.85), IFN-γ 6-gene (+0.85), IMPRES (+0.85)</w:t>
      </w:r>
    </w:p>
    <w:p>
      <w:pPr>
        <w:pStyle w:val="Compact"/>
        <w:numPr>
          <w:ilvl w:val="0"/>
          <w:numId w:val="1018"/>
        </w:numPr>
      </w:pPr>
      <w:r>
        <w:t xml:space="preserve">CD8_exh (+0.80) — chronic antigen engagement = effective response</w:t>
      </w:r>
    </w:p>
    <w:p>
      <w:pPr>
        <w:pStyle w:val="Compact"/>
        <w:numPr>
          <w:ilvl w:val="0"/>
          <w:numId w:val="1018"/>
        </w:numPr>
      </w:pPr>
      <w:r>
        <w:t xml:space="preserve">HLA-II (+0.77), DC_mature (+0.61), HLA-I machinery (+0.59), Ayers TIS (+0.65)</w:t>
      </w:r>
    </w:p>
    <w:p>
      <w:pPr>
        <w:pStyle w:val="Compact"/>
        <w:numPr>
          <w:ilvl w:val="0"/>
          <w:numId w:val="1018"/>
        </w:numPr>
      </w:pPr>
      <w:r>
        <w:t xml:space="preserve">M1 (+0.59) / M2 (+0.57) — balanced activation</w:t>
      </w:r>
    </w:p>
    <w:p>
      <w:pPr>
        <w:pStyle w:val="FirstParagraph"/>
      </w:pPr>
      <w:r>
        <w:t xml:space="preserve">Gene level (top discriminators):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PLA2G6 (+3.38), JAK3 (+3.09)</w:t>
      </w:r>
      <w:r>
        <w:t xml:space="preserve"> </w:t>
      </w:r>
      <w:r>
        <w:t xml:space="preserve">— JAK-STAT signaling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IKBKB (+2.88)</w:t>
      </w:r>
      <w:r>
        <w:t xml:space="preserve"> </w:t>
      </w:r>
      <w:r>
        <w:t xml:space="preserve">— NF-κB signaling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TAPBP (+2.78)</w:t>
      </w:r>
      <w:r>
        <w:t xml:space="preserve"> </w:t>
      </w:r>
      <w:r>
        <w:t xml:space="preserve">— HLA class I peptide loading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ZAP70 (+2.71)</w:t>
      </w:r>
      <w:r>
        <w:t xml:space="preserve"> </w:t>
      </w:r>
      <w:r>
        <w:t xml:space="preserve">— TCR proximal signaling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IFIH1 (+2.53)</w:t>
      </w:r>
      <w:r>
        <w:t xml:space="preserve"> </w:t>
      </w:r>
      <w:r>
        <w:t xml:space="preserve">— dsRNA innate sensing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STAT6 (+2.44), PYCARD (+2.44)</w:t>
      </w:r>
      <w:r>
        <w:t xml:space="preserve"> </w:t>
      </w:r>
      <w:r>
        <w:t xml:space="preserve">— inflammasome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BATF (+2.24)</w:t>
      </w:r>
      <w:r>
        <w:t xml:space="preserve"> </w:t>
      </w:r>
      <w:r>
        <w:t xml:space="preserve">— AP-1 TF for CD8 effector/exhaustion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LAG3 (+2.20)</w:t>
      </w:r>
      <w:r>
        <w:t xml:space="preserve"> </w:t>
      </w:r>
      <w:r>
        <w:t xml:space="preserve">— chronic antigen engagement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TLR8 (+2.20), CXCR4 (+2.20), IL4R (+2.15), CCL18 (+2.12), CSF3R (+2.11), TNF (+2.11)</w:t>
      </w:r>
      <w:r>
        <w:t xml:space="preserve"> </w:t>
      </w:r>
      <w:r>
        <w:t xml:space="preserve">— activation context</w:t>
      </w:r>
    </w:p>
    <w:bookmarkEnd w:id="46"/>
    <w:bookmarkStart w:id="47" w:name="X9e0b3b77546621247c2b773284c6ac1f132bb22"/>
    <w:p>
      <w:pPr>
        <w:pStyle w:val="Heading3"/>
      </w:pPr>
      <w:r>
        <w:t xml:space="preserve">IBI &gt; IAE — unproductive/suppressive signature</w:t>
      </w:r>
    </w:p>
    <w:p>
      <w:pPr>
        <w:pStyle w:val="FirstParagraph"/>
      </w:pPr>
      <w:r>
        <w:t xml:space="preserve">Composite level: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Naive_B (−1.18)</w:t>
      </w:r>
      <w:r>
        <w:t xml:space="preserve"> </w:t>
      </w:r>
      <w:r>
        <w:t xml:space="preserve">— MS4A1/CD19/CD22/PAX5 enrich without class-switch</w:t>
      </w:r>
    </w:p>
    <w:p>
      <w:pPr>
        <w:pStyle w:val="Compact"/>
        <w:numPr>
          <w:ilvl w:val="0"/>
          <w:numId w:val="1020"/>
        </w:numPr>
      </w:pPr>
      <w:r>
        <w:t xml:space="preserve">NK_inhibiting (−0.84), Teff/Treg ratio (−0.77), CD8cyt/CD8exh (−0.47)</w:t>
      </w:r>
    </w:p>
    <w:p>
      <w:pPr>
        <w:pStyle w:val="FirstParagraph"/>
      </w:pPr>
      <w:r>
        <w:t xml:space="preserve">Gene level: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KIR_Inhibiting_Subgroup_2 (−3.01)</w:t>
      </w:r>
      <w:r>
        <w:t xml:space="preserve"> </w:t>
      </w:r>
      <w:r>
        <w:t xml:space="preserve">— NK cell inhibitory receptors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ARG2 (−2.71)</w:t>
      </w:r>
      <w:r>
        <w:t xml:space="preserve"> </w:t>
      </w:r>
      <w:r>
        <w:t xml:space="preserve">— arginase 2, T-cell metabolic suppression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XCL2 (−2.50)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RAG1 (−2.33)</w:t>
      </w:r>
      <w:r>
        <w:t xml:space="preserve"> </w:t>
      </w:r>
      <w:r>
        <w:t xml:space="preserve">— lymphocyte recombinase, immature lymphoid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MS4A1 (−2.33)</w:t>
      </w:r>
      <w:r>
        <w:t xml:space="preserve"> </w:t>
      </w:r>
      <w:r>
        <w:t xml:space="preserve">— naive B-cell CD20</w:t>
      </w:r>
    </w:p>
    <w:bookmarkEnd w:id="47"/>
    <w:bookmarkStart w:id="48" w:name="biological-synthesis-of-ibi"/>
    <w:p>
      <w:pPr>
        <w:pStyle w:val="Heading3"/>
      </w:pPr>
      <w:r>
        <w:t xml:space="preserve">Biological synthesis of IBI</w:t>
      </w:r>
    </w:p>
    <w:p>
      <w:pPr>
        <w:pStyle w:val="FirstParagraph"/>
      </w:pPr>
      <w:r>
        <w:t xml:space="preserve">Bad inflamed responders appear to mount an</w:t>
      </w:r>
      <w:r>
        <w:t xml:space="preserve"> </w:t>
      </w:r>
      <w:r>
        <w:rPr>
          <w:b/>
          <w:bCs/>
        </w:rPr>
        <w:t xml:space="preserve">abortive immune response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B-cell infiltration is naive-dominated (CD19/CD22/MS4A1) without class-switching (Memory_B, Plasma_proxy flat)</w:t>
      </w:r>
    </w:p>
    <w:p>
      <w:pPr>
        <w:pStyle w:val="Compact"/>
        <w:numPr>
          <w:ilvl w:val="0"/>
          <w:numId w:val="1022"/>
        </w:numPr>
      </w:pPr>
      <w:r>
        <w:t xml:space="preserve">NK compartment is dominated by inhibitory KIR/KLRC1 receptors</w:t>
      </w:r>
    </w:p>
    <w:p>
      <w:pPr>
        <w:pStyle w:val="Compact"/>
        <w:numPr>
          <w:ilvl w:val="0"/>
          <w:numId w:val="1022"/>
        </w:numPr>
      </w:pPr>
      <w:r>
        <w:t xml:space="preserve">Arginase 2 creates a T-cell-suppressive metabolic milieu</w:t>
      </w:r>
    </w:p>
    <w:p>
      <w:pPr>
        <w:pStyle w:val="Compact"/>
        <w:numPr>
          <w:ilvl w:val="0"/>
          <w:numId w:val="1022"/>
        </w:numPr>
      </w:pPr>
      <w:r>
        <w:t xml:space="preserve">Critical productive signalling (TCR ZAP70, JAK3/STAT6, NF-κB IKBKB, BATF, TAPBP antigen loading) is</w:t>
      </w:r>
      <w:r>
        <w:t xml:space="preserve"> </w:t>
      </w:r>
      <w:r>
        <w:rPr>
          <w:b/>
          <w:bCs/>
        </w:rPr>
        <w:t xml:space="preserve">absent or weak</w:t>
      </w:r>
    </w:p>
    <w:p>
      <w:pPr>
        <w:pStyle w:val="Compact"/>
        <w:numPr>
          <w:ilvl w:val="0"/>
          <w:numId w:val="1022"/>
        </w:numPr>
      </w:pPr>
      <w:r>
        <w:t xml:space="preserve">Chronic antigen engagement marker LAG3 is low — T cells never achieve sustained activation</w:t>
      </w:r>
    </w:p>
    <w:p>
      <w:pPr>
        <w:pStyle w:val="FirstParagraph"/>
      </w:pPr>
      <w:r>
        <w:t xml:space="preserve">IAE in contrast shows the full productive signalling cascade: TCR → JAK-STAT → NFκB → BATF → effector/exhaustion differentiation with HLA-I peptide loading (TAPBP) intact.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-subject-level-deep-dive"/>
    <w:p>
      <w:pPr>
        <w:pStyle w:val="Heading2"/>
      </w:pPr>
      <w:r>
        <w:t xml:space="preserve">D. Subject-level deep dive</w:t>
      </w:r>
    </w:p>
    <w:bookmarkStart w:id="50" w:name="subject-4-atypical-good-pcr-f57t3-cr-gem"/>
    <w:p>
      <w:pPr>
        <w:pStyle w:val="Heading3"/>
      </w:pPr>
      <w:r>
        <w:t xml:space="preserve">Subject 4 (atypical good pCR, F/57/T3 CR, GEM)</w:t>
      </w:r>
    </w:p>
    <w:p>
      <w:pPr>
        <w:pStyle w:val="FirstParagraph"/>
      </w:pPr>
      <w:r>
        <w:t xml:space="preserve">Previously flagged in memory as "atypical good responder" because ΔB-cell RNA-seq metrics were negative. NanoString deep-dive resolves the picture: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Pre z</w:t>
            </w:r>
          </w:p>
        </w:tc>
        <w:tc>
          <w:tcPr/>
          <w:p>
            <w:pPr>
              <w:pStyle w:val="Compact"/>
            </w:pPr>
            <w:r>
              <w:t xml:space="preserve">Post z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Rank (1-6)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M1_macro</w:t>
            </w:r>
          </w:p>
        </w:tc>
        <w:tc>
          <w:tcPr/>
          <w:p>
            <w:pPr>
              <w:pStyle w:val="Compact"/>
            </w:pPr>
            <w:r>
              <w:t xml:space="preserve">−0.09</w:t>
            </w:r>
          </w:p>
        </w:tc>
        <w:tc>
          <w:tcPr/>
          <w:p>
            <w:pPr>
              <w:pStyle w:val="Compact"/>
            </w:pPr>
            <w:r>
              <w:t xml:space="preserve">+1.38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+1.48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DC_mature</w:t>
            </w:r>
          </w:p>
        </w:tc>
        <w:tc>
          <w:tcPr/>
          <w:p>
            <w:pPr>
              <w:pStyle w:val="Compact"/>
            </w:pPr>
            <w:r>
              <w:t xml:space="preserve">+0.14</w:t>
            </w:r>
          </w:p>
        </w:tc>
        <w:tc>
          <w:tcPr/>
          <w:p>
            <w:pPr>
              <w:pStyle w:val="Compact"/>
            </w:pPr>
            <w:r>
              <w:t xml:space="preserve">+1.50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+1.37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GC_TF</w:t>
            </w:r>
          </w:p>
        </w:tc>
        <w:tc>
          <w:tcPr/>
          <w:p>
            <w:pPr>
              <w:pStyle w:val="Compact"/>
            </w:pPr>
            <w: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+1.03</w:t>
            </w:r>
          </w:p>
        </w:tc>
        <w:tc>
          <w:tcPr/>
          <w:p>
            <w:pPr>
              <w:pStyle w:val="Compact"/>
            </w:pPr>
            <w:r>
              <w:t xml:space="preserve">+1.14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Treg</w:t>
            </w:r>
          </w:p>
        </w:tc>
        <w:tc>
          <w:tcPr/>
          <w:p>
            <w:pPr>
              <w:pStyle w:val="Compact"/>
            </w:pPr>
            <w:r>
              <w:t xml:space="preserve">−0.39</w:t>
            </w:r>
          </w:p>
        </w:tc>
        <w:tc>
          <w:tcPr/>
          <w:p>
            <w:pPr>
              <w:pStyle w:val="Compact"/>
            </w:pPr>
            <w:r>
              <w:t xml:space="preserve">+0.66</w:t>
            </w:r>
          </w:p>
        </w:tc>
        <w:tc>
          <w:tcPr/>
          <w:p>
            <w:pPr>
              <w:pStyle w:val="Compact"/>
            </w:pPr>
            <w:r>
              <w:t xml:space="preserve">+1.05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IFN-γ 6</w:t>
            </w:r>
          </w:p>
        </w:tc>
        <w:tc>
          <w:tcPr/>
          <w:p>
            <w:pPr>
              <w:pStyle w:val="Compact"/>
            </w:pPr>
            <w:r>
              <w:t xml:space="preserve">+0.35</w:t>
            </w:r>
          </w:p>
        </w:tc>
        <w:tc>
          <w:tcPr/>
          <w:p>
            <w:pPr>
              <w:pStyle w:val="Compact"/>
            </w:pPr>
            <w:r>
              <w:t xml:space="preserve">+1.33</w:t>
            </w:r>
          </w:p>
        </w:tc>
        <w:tc>
          <w:tcPr/>
          <w:p>
            <w:pPr>
              <w:pStyle w:val="Compact"/>
            </w:pPr>
            <w:r>
              <w:t xml:space="preserve">+0.97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HLA-I machinery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+1.41</w:t>
            </w:r>
          </w:p>
        </w:tc>
        <w:tc>
          <w:tcPr/>
          <w:p>
            <w:pPr>
              <w:pStyle w:val="Compact"/>
            </w:pPr>
            <w:r>
              <w:t xml:space="preserve">+0.87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</w:t>
            </w:r>
          </w:p>
        </w:tc>
        <w:tc>
          <w:tcPr/>
          <w:p>
            <w:pPr>
              <w:pStyle w:val="Compact"/>
            </w:pPr>
            <w:r>
              <w:t xml:space="preserve">+0.14</w:t>
            </w:r>
          </w:p>
        </w:tc>
        <w:tc>
          <w:tcPr/>
          <w:p>
            <w:pPr>
              <w:pStyle w:val="Compact"/>
            </w:pPr>
            <w:r>
              <w:t xml:space="preserve">+0.99</w:t>
            </w:r>
          </w:p>
        </w:tc>
        <w:tc>
          <w:tcPr/>
          <w:p>
            <w:pPr>
              <w:pStyle w:val="Compact"/>
            </w:pPr>
            <w:r>
              <w:t xml:space="preserve">+0.84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Naive_B</w:t>
            </w:r>
          </w:p>
        </w:tc>
        <w:tc>
          <w:tcPr/>
          <w:p>
            <w:pPr>
              <w:pStyle w:val="Compact"/>
            </w:pPr>
            <w:r>
              <w:t xml:space="preserve">+1.24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Memory_B</w:t>
            </w:r>
          </w:p>
        </w:tc>
        <w:tc>
          <w:tcPr/>
          <w:p>
            <w:pPr>
              <w:pStyle w:val="Compact"/>
            </w:pPr>
            <w:r>
              <w:t xml:space="preserve">+1.06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T_cell</w:t>
            </w:r>
          </w:p>
        </w:tc>
        <w:tc>
          <w:tcPr/>
          <w:p>
            <w:pPr>
              <w:pStyle w:val="Compact"/>
            </w:pPr>
            <w:r>
              <w:t xml:space="preserve">+0.55</w:t>
            </w:r>
          </w:p>
        </w:tc>
        <w:tc>
          <w:tcPr/>
          <w:p>
            <w:pPr>
              <w:pStyle w:val="Compact"/>
            </w:pPr>
            <w:r>
              <w:t xml:space="preserve">−0.23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−0.78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Subject 4 does NOT lack post-RT immune activation — she has rank-4-to-5 activation of M1 macrophage, dendritic cell maturation, germinal-centre TFs, HLA-I antigen presentation, and IFN-γ signalling. What is depleted post-RT is naive/memory B-cell compartment and T-cell total (CD3). One plausible reading: efficient antigen clearance → resolution of adaptive infiltrate, with sustained innate and antigen-presenting compartment. Her pCR is achieved via an</w:t>
      </w:r>
      <w:r>
        <w:t xml:space="preserve"> </w:t>
      </w:r>
      <w:r>
        <w:rPr>
          <w:b/>
          <w:bCs/>
        </w:rPr>
        <w:t xml:space="preserve">innate + antigen-presentation-centric route</w:t>
      </w:r>
      <w:r>
        <w:t xml:space="preserve"> </w:t>
      </w:r>
      <w:r>
        <w:t xml:space="preserve">rather than the B-cell/TLS-expansion route of subj 2.</w:t>
      </w:r>
    </w:p>
    <w:bookmarkEnd w:id="50"/>
    <w:bookmarkStart w:id="51" w:name="Xeb494fe7385a26c985544e035a96134a28de7e5"/>
    <w:p>
      <w:pPr>
        <w:pStyle w:val="Heading3"/>
      </w:pPr>
      <w:r>
        <w:t xml:space="preserve">Subject 11 (bad poor, RNA-seq pre missing — NanoString-only paired 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Pre z</w:t>
            </w:r>
          </w:p>
        </w:tc>
        <w:tc>
          <w:tcPr/>
          <w:p>
            <w:pPr>
              <w:pStyle w:val="Compact"/>
            </w:pPr>
            <w:r>
              <w:t xml:space="preserve">Post z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Ayers TIS</w:t>
            </w:r>
          </w:p>
        </w:tc>
        <w:tc>
          <w:tcPr/>
          <w:p>
            <w:pPr>
              <w:pStyle w:val="Compact"/>
            </w:pPr>
            <w:r>
              <w:t xml:space="preserve">−0.38</w:t>
            </w:r>
          </w:p>
        </w:tc>
        <w:tc>
          <w:tcPr/>
          <w:p>
            <w:pPr>
              <w:pStyle w:val="Compact"/>
            </w:pPr>
            <w:r>
              <w:t xml:space="preserve">−0.16</w:t>
            </w:r>
          </w:p>
        </w:tc>
        <w:tc>
          <w:tcPr/>
          <w:p>
            <w:pPr>
              <w:pStyle w:val="Compact"/>
            </w:pPr>
            <w:r>
              <w:t xml:space="preserve">+0.23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IFN-γ 6</w:t>
            </w:r>
          </w:p>
        </w:tc>
        <w:tc>
          <w:tcPr/>
          <w:p>
            <w:pPr>
              <w:pStyle w:val="Compact"/>
            </w:pPr>
            <w: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−0.47</w:t>
            </w:r>
          </w:p>
        </w:tc>
        <w:tc>
          <w:tcPr/>
          <w:p>
            <w:pPr>
              <w:pStyle w:val="Compact"/>
            </w:pPr>
            <w:r>
              <w:t xml:space="preserve">−0.37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CD8_cytotoxic</w:t>
            </w:r>
          </w:p>
        </w:tc>
        <w:tc>
          <w:tcPr/>
          <w:p>
            <w:pPr>
              <w:pStyle w:val="Compact"/>
            </w:pPr>
            <w:r>
              <w:t xml:space="preserve">−0.18</w:t>
            </w:r>
          </w:p>
        </w:tc>
        <w:tc>
          <w:tcPr/>
          <w:p>
            <w:pPr>
              <w:pStyle w:val="Compact"/>
            </w:pPr>
            <w:r>
              <w:t xml:space="preserve">−0.30</w:t>
            </w:r>
          </w:p>
        </w:tc>
        <w:tc>
          <w:tcPr/>
          <w:p>
            <w:pPr>
              <w:pStyle w:val="Compact"/>
            </w:pPr>
            <w:r>
              <w:t xml:space="preserve">−0.12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Teff_cytotoxic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  <w:tc>
          <w:tcPr/>
          <w:p>
            <w:pPr>
              <w:pStyle w:val="Compact"/>
            </w:pPr>
            <w:r>
              <w:t xml:space="preserve">−0.22</w:t>
            </w:r>
          </w:p>
        </w:tc>
        <w:tc>
          <w:tcPr/>
          <w:p>
            <w:pPr>
              <w:pStyle w:val="Compact"/>
            </w:pPr>
            <w:r>
              <w:t xml:space="preserve">−0.21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HLA-II</w:t>
            </w:r>
          </w:p>
        </w:tc>
        <w:tc>
          <w:tcPr/>
          <w:p>
            <w:pPr>
              <w:pStyle w:val="Compact"/>
            </w:pPr>
            <w:r>
              <w:t xml:space="preserve">−1.20</w:t>
            </w:r>
          </w:p>
        </w:tc>
        <w:tc>
          <w:tcPr/>
          <w:p>
            <w:pPr>
              <w:pStyle w:val="Compact"/>
            </w:pPr>
            <w:r>
              <w:t xml:space="preserve">−0.13</w:t>
            </w:r>
          </w:p>
        </w:tc>
        <w:tc>
          <w:tcPr/>
          <w:p>
            <w:pPr>
              <w:pStyle w:val="Compact"/>
            </w:pPr>
            <w:r>
              <w:t xml:space="preserve">+1.06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TLS_8</w:t>
            </w:r>
          </w:p>
        </w:tc>
        <w:tc>
          <w:tcPr/>
          <w:p>
            <w:pPr>
              <w:pStyle w:val="Compact"/>
            </w:pPr>
            <w:r>
              <w:t xml:space="preserve">−0.78</w:t>
            </w:r>
          </w:p>
        </w:tc>
        <w:tc>
          <w:tcPr/>
          <w:p>
            <w:pPr>
              <w:pStyle w:val="Compact"/>
            </w:pPr>
            <w:r>
              <w:t xml:space="preserve">−0.20</w:t>
            </w:r>
          </w:p>
        </w:tc>
        <w:tc>
          <w:tcPr/>
          <w:p>
            <w:pPr>
              <w:pStyle w:val="Compact"/>
            </w:pPr>
            <w:r>
              <w:t xml:space="preserve">+0.58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Plasma_proxy</w:t>
            </w:r>
          </w:p>
        </w:tc>
        <w:tc>
          <w:tcPr/>
          <w:p>
            <w:pPr>
              <w:pStyle w:val="Compact"/>
            </w:pPr>
            <w:r>
              <w:t xml:space="preserve">−0.67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+0.67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Near-uniformly cold baseline (most composites in bottom 25% pre-treatment). Post-treatment shows moderate inflammatory response (HLA-II, TLS, Plasma-proxy, Naive_B all positive Δ), but</w:t>
      </w:r>
      <w:r>
        <w:t xml:space="preserve"> </w:t>
      </w:r>
      <w:r>
        <w:rPr>
          <w:b/>
          <w:bCs/>
        </w:rPr>
        <w:t xml:space="preserve">CD8 cytotoxic/effector axis stays flat or drops</w:t>
      </w:r>
      <w:r>
        <w:t xml:space="preserve"> </w:t>
      </w:r>
      <w:r>
        <w:t xml:space="preserve">(IFN-γ 6 Δ = −0.37, Teff Δ = −0.21, CD8_cyt Δ = −0.12). Subject 11 is the archetypal IBI: inflammation arrives but effector function never engages.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-post-treatment-absolute-state"/>
    <w:p>
      <w:pPr>
        <w:pStyle w:val="Heading2"/>
      </w:pPr>
      <w:r>
        <w:t xml:space="preserve">E. Post-treatment absolute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Post P_1s good &gt; bad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IFNg_6, IFNg_10</w:t>
            </w:r>
          </w:p>
        </w:tc>
        <w:tc>
          <w:tcPr/>
          <w:p>
            <w:pPr>
              <w:pStyle w:val="Compact"/>
            </w:pPr>
            <w:r>
              <w:t xml:space="preserve">0.05 ★</w:t>
            </w:r>
          </w:p>
        </w:tc>
        <w:tc>
          <w:tcPr/>
          <w:p>
            <w:pPr>
              <w:pStyle w:val="Compact"/>
            </w:pPr>
            <w:r>
              <w:t xml:space="preserve">IFN-γ signature maintained advantage through 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HLA_I_axis, HLA_I_machinery_narrow</w:t>
            </w:r>
          </w:p>
        </w:tc>
        <w:tc>
          <w:tcPr/>
          <w:p>
            <w:pPr>
              <w:pStyle w:val="Compact"/>
            </w:pPr>
            <w:r>
              <w:t xml:space="preserve">0.05 ★</w:t>
            </w:r>
          </w:p>
        </w:tc>
        <w:tc>
          <w:tcPr/>
          <w:p>
            <w:pPr>
              <w:pStyle w:val="Compact"/>
            </w:pPr>
            <w:r>
              <w:t xml:space="preserve">NLRC5/HLA-A/B/C/TAP1/2/PSMB8/9 antigen presentation higher in good post-RT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Ayers_TIS, CD8_exh, IMPRES_pos, HLA_II, M1_macro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Near-ceiling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M1/M2 ratio, NK_act/inh ratio</w:t>
            </w:r>
          </w:p>
        </w:tc>
        <w:tc>
          <w:tcPr/>
          <w:p>
            <w:pPr>
              <w:pStyle w:val="Compact"/>
            </w:pPr>
            <w:r>
              <w:t xml:space="preserve">0.05 ★</w:t>
            </w:r>
          </w:p>
        </w:tc>
        <w:tc>
          <w:tcPr/>
          <w:p>
            <w:pPr>
              <w:pStyle w:val="Compact"/>
            </w:pPr>
            <w:r>
              <w:t xml:space="preserve">Balance maintained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21/23 composites</w:t>
      </w:r>
      <w:r>
        <w:t xml:space="preserve"> </w:t>
      </w:r>
      <w:r>
        <w:t xml:space="preserve">remain good &gt; bad direction post-RT. The in-house HLA class I antigen presentation machinery advantage is both pre- and post-SC-RT robust in good responders.</w:t>
      </w:r>
    </w:p>
    <w:p>
      <w:r>
        <w:pict>
          <v:rect style="width:0;height:1.5pt" o:hralign="center" o:hrstd="t" o:hr="t"/>
        </w:pict>
      </w:r>
    </w:p>
    <w:bookmarkEnd w:id="53"/>
    <w:bookmarkStart w:id="54" w:name="X4d961e4ce23e7eb0c90aa1cf2ef3cf17a7bea3b"/>
    <w:p>
      <w:pPr>
        <w:pStyle w:val="Heading2"/>
      </w:pPr>
      <w:r>
        <w:t xml:space="preserve">F. Checkpoint / exhaustion post-RT landscape</w:t>
      </w:r>
    </w:p>
    <w:p>
      <w:pPr>
        <w:pStyle w:val="FirstParagraph"/>
      </w:pPr>
      <w:r>
        <w:t xml:space="preserve">Post-treatment:</w:t>
      </w:r>
    </w:p>
    <w:p>
      <w:pPr>
        <w:pStyle w:val="Compact"/>
        <w:numPr>
          <w:ilvl w:val="0"/>
          <w:numId w:val="1023"/>
        </w:numPr>
      </w:pPr>
      <w:r>
        <w:t xml:space="preserve">CD8_exh (PDCD1/HAVCR2/LAG3/TIGIT/CTLA4) P = 0.10 good &gt; bad — good responders have higher post-RT checkpoint expression</w:t>
      </w:r>
    </w:p>
    <w:p>
      <w:pPr>
        <w:pStyle w:val="Compact"/>
        <w:numPr>
          <w:ilvl w:val="0"/>
          <w:numId w:val="1023"/>
        </w:numPr>
      </w:pPr>
      <w:r>
        <w:t xml:space="preserve">IMPRES_pos P = 0.10 — Auslander ICB-response panel trends good &gt; bad post-RT</w:t>
      </w:r>
    </w:p>
    <w:p>
      <w:pPr>
        <w:pStyle w:val="Compact"/>
        <w:numPr>
          <w:ilvl w:val="0"/>
          <w:numId w:val="1023"/>
        </w:numPr>
      </w:pPr>
      <w:r>
        <w:t xml:space="preserve">Treg P = 0.20, HLA-II P = 0.10</w:t>
      </w:r>
    </w:p>
    <w:p>
      <w:pPr>
        <w:pStyle w:val="FirstParagraph"/>
      </w:pPr>
      <w:r>
        <w:rPr>
          <w:b/>
          <w:bCs/>
        </w:rPr>
        <w:t xml:space="preserve">Translational implication</w:t>
      </w:r>
      <w:r>
        <w:t xml:space="preserve">: good responders post-SC-RT already show higher checkpoint expression (chronic antigen engagement signature); bad responders remain checkpoint-low even after RT. Suggests</w:t>
      </w:r>
      <w:r>
        <w:t xml:space="preserve"> </w:t>
      </w:r>
      <w:r>
        <w:rPr>
          <w:b/>
          <w:bCs/>
        </w:rPr>
        <w:t xml:space="preserve">ICB-salvage rationale is stronger in good (already-responded) patients than in bad (checkpoint-absent) patients</w:t>
      </w:r>
      <w:r>
        <w:t xml:space="preserve"> </w:t>
      </w:r>
      <w:r>
        <w:t xml:space="preserve">— a post-hoc hypothesis for Discussion, not a prospective claim.</w:t>
      </w:r>
    </w:p>
    <w:p>
      <w:r>
        <w:pict>
          <v:rect style="width:0;height:1.5pt" o:hralign="center" o:hrstd="t" o:hr="t"/>
        </w:pict>
      </w:r>
    </w:p>
    <w:bookmarkEnd w:id="54"/>
    <w:bookmarkStart w:id="55" w:name="Xfc7b20bd8ad9b8de50795458e04f3a02bb1c1d7"/>
    <w:p>
      <w:pPr>
        <w:pStyle w:val="Heading2"/>
      </w:pPr>
      <w:r>
        <w:t xml:space="preserve">H. HLA class I antigen presentation machinery visual (see</w:t>
      </w:r>
      <w:r>
        <w:t xml:space="preserve"> </w:t>
      </w:r>
      <w:r>
        <w:rPr>
          <w:rStyle w:val="VerbatimChar"/>
        </w:rPr>
        <w:t xml:space="preserve">FigEx_HLA_I_machinery_heatmap.pdf</w:t>
      </w:r>
      <w:r>
        <w:t xml:space="preserve">)</w:t>
      </w:r>
    </w:p>
    <w:p>
      <w:pPr>
        <w:pStyle w:val="FirstParagraph"/>
      </w:pPr>
      <w:r>
        <w:t xml:space="preserve">Per-subject pre/post log2+z for NLRC5, HLA-A/B/C, TAP1, TAP2, PSMB8, PSMB9, TAPBP, HLA-E/F/G, CIITA. Visualizes the pre- and post-RT good-vs-bad gap at gene resolution.</w:t>
      </w:r>
    </w:p>
    <w:p>
      <w:r>
        <w:pict>
          <v:rect style="width:0;height:1.5pt" o:hralign="center" o:hrstd="t" o:hr="t"/>
        </w:pict>
      </w:r>
    </w:p>
    <w:bookmarkEnd w:id="55"/>
    <w:bookmarkStart w:id="60" w:name="why-this-changes-the-v077-manuscript"/>
    <w:p>
      <w:pPr>
        <w:pStyle w:val="Heading2"/>
      </w:pPr>
      <w:r>
        <w:t xml:space="preserve">Why this changes the v0.7.7 manuscript</w:t>
      </w:r>
    </w:p>
    <w:bookmarkStart w:id="56" w:name="Xd891eecf0fe73bcff98e8bd8a7e8b50f918e3b0"/>
    <w:p>
      <w:pPr>
        <w:pStyle w:val="Heading3"/>
      </w:pPr>
      <w:r>
        <w:t xml:space="preserve">Previous Path B framing (pre-NanoString-exploratory)</w:t>
      </w:r>
    </w:p>
    <w:p>
      <w:pPr>
        <w:pStyle w:val="Compact"/>
        <w:numPr>
          <w:ilvl w:val="0"/>
          <w:numId w:val="1024"/>
        </w:numPr>
      </w:pPr>
      <w:r>
        <w:t xml:space="preserve">Tumor-intrinsic axis in-house (DSB/cellcycle, LASSO 0.745)</w:t>
      </w:r>
    </w:p>
    <w:p>
      <w:pPr>
        <w:pStyle w:val="Compact"/>
        <w:numPr>
          <w:ilvl w:val="0"/>
          <w:numId w:val="1024"/>
        </w:numPr>
      </w:pPr>
      <w:r>
        <w:t xml:space="preserve">Immune axis</w:t>
      </w:r>
      <w:r>
        <w:t xml:space="preserve"> </w:t>
      </w:r>
      <w:r>
        <w:rPr>
          <w:b/>
          <w:bCs/>
        </w:rPr>
        <w:t xml:space="preserve">external-only</w:t>
      </w:r>
      <w:r>
        <w:t xml:space="preserve"> </w:t>
      </w:r>
      <w:r>
        <w:t xml:space="preserve">(9-cohort LC-CRT meta + Akiyoshi)</w:t>
      </w:r>
    </w:p>
    <w:p>
      <w:pPr>
        <w:pStyle w:val="Compact"/>
        <w:numPr>
          <w:ilvl w:val="0"/>
          <w:numId w:val="1024"/>
        </w:numPr>
      </w:pPr>
      <w:r>
        <w:t xml:space="preserve">Arrow 5 Δ demoted; cascade terminal shifts to Treg/MHC-II immune axis</w:t>
      </w:r>
    </w:p>
    <w:p>
      <w:pPr>
        <w:pStyle w:val="Compact"/>
        <w:numPr>
          <w:ilvl w:val="0"/>
          <w:numId w:val="1024"/>
        </w:numPr>
      </w:pPr>
      <w:r>
        <w:t xml:space="preserve">Two parallel observations framework</w:t>
      </w:r>
    </w:p>
    <w:bookmarkEnd w:id="56"/>
    <w:bookmarkStart w:id="57" w:name="X582f3b85c1777831b31f2706829ee03d46dc1d2"/>
    <w:p>
      <w:pPr>
        <w:pStyle w:val="Heading3"/>
      </w:pPr>
      <w:r>
        <w:t xml:space="preserve">New Path B+ framing (post-NanoString-exploratory)</w:t>
      </w:r>
    </w:p>
    <w:p>
      <w:pPr>
        <w:pStyle w:val="Compact"/>
        <w:numPr>
          <w:ilvl w:val="0"/>
          <w:numId w:val="1025"/>
        </w:numPr>
      </w:pPr>
      <w:r>
        <w:t xml:space="preserve">Tumor-intrinsic axis in-house (unchanged)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Immune axis in-house EXTREME-PHENOTYPE replication</w:t>
      </w:r>
      <w:r>
        <w:t xml:space="preserve">: 23/23 composites good &gt; bad pre-treatment, 6 at P=0.05 ceiling including Ayers TIS + IFN-γ regulatory-grade signatures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External LC-CRT 9-cohort meta convergent with in-house extreme-phenotype at pre-treatment</w:t>
      </w:r>
    </w:p>
    <w:p>
      <w:pPr>
        <w:pStyle w:val="Compact"/>
        <w:numPr>
          <w:ilvl w:val="0"/>
          <w:numId w:val="1025"/>
        </w:numPr>
      </w:pPr>
      <w:r>
        <w:t xml:space="preserve">Arrow 5 Δ still demoted (unchanged)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Three interlocking pre-treatment axes</w:t>
      </w:r>
      <w:r>
        <w:t xml:space="preserve"> </w:t>
      </w:r>
      <w:r>
        <w:t xml:space="preserve">in good responders:</w:t>
      </w:r>
    </w:p>
    <w:p>
      <w:pPr>
        <w:pStyle w:val="Compact"/>
        <w:numPr>
          <w:ilvl w:val="1"/>
          <w:numId w:val="1026"/>
        </w:numPr>
      </w:pPr>
      <w:r>
        <w:t xml:space="preserve">Regulatory-grade IFN-γ / Ayers TIS (n=3+3 NanoString + external N=553 LC-CRT)</w:t>
      </w:r>
    </w:p>
    <w:p>
      <w:pPr>
        <w:pStyle w:val="Compact"/>
        <w:numPr>
          <w:ilvl w:val="1"/>
          <w:numId w:val="1026"/>
        </w:numPr>
      </w:pPr>
      <w:r>
        <w:t xml:space="preserve">HLA class I antigen presentation machinery (pre + post both ceiling)</w:t>
      </w:r>
    </w:p>
    <w:p>
      <w:pPr>
        <w:pStyle w:val="Compact"/>
        <w:numPr>
          <w:ilvl w:val="1"/>
          <w:numId w:val="1026"/>
        </w:numPr>
      </w:pPr>
      <w:r>
        <w:t xml:space="preserve">M1-skewed macrophage + NK-active balance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"Inflamed but ineffective" molecular fingerprint</w:t>
      </w:r>
      <w:r>
        <w:t xml:space="preserve">: IBI lacks TCR/JAK-STAT/NFκB/BATF/TAPBP productive signalling despite immune infiltration; IAE has full productive cascade. This is a</w:t>
      </w:r>
      <w:r>
        <w:t xml:space="preserve"> </w:t>
      </w:r>
      <w:r>
        <w:rPr>
          <w:b/>
          <w:bCs/>
        </w:rPr>
        <w:t xml:space="preserve">new Discussion subsection</w:t>
      </w:r>
      <w:r>
        <w:t xml:space="preserve"> </w:t>
      </w:r>
      <w:r>
        <w:t xml:space="preserve">with biological depth.</w:t>
      </w:r>
    </w:p>
    <w:p>
      <w:pPr>
        <w:pStyle w:val="Compact"/>
        <w:numPr>
          <w:ilvl w:val="0"/>
          <w:numId w:val="1025"/>
        </w:numPr>
      </w:pPr>
      <w:r>
        <w:t xml:space="preserve">Subject-level deep-dive resolves long-standing questions (subj 4 atypical route, subj 11 RNA-seq gap).</w:t>
      </w:r>
    </w:p>
    <w:bookmarkEnd w:id="57"/>
    <w:bookmarkStart w:id="58" w:name="suggested-3-section-additions-to-v077"/>
    <w:p>
      <w:pPr>
        <w:pStyle w:val="Heading3"/>
      </w:pPr>
      <w:r>
        <w:t xml:space="preserve">Suggested §3 section additions to v0.7.7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 §3.X NanoString extreme-phenotype orthogonal validation</w:t>
      </w:r>
      <w:r>
        <w:t xml:space="preserve">:</w:t>
      </w:r>
      <w:r>
        <w:t xml:space="preserve"> </w:t>
      </w:r>
      <w:r>
        <w:t xml:space="preserve">(a) Pre-spec Arrow 5 Δ rescue failed (as in FINAL_VERDICT.md)</w:t>
      </w:r>
      <w:r>
        <w:t xml:space="preserve"> </w:t>
      </w:r>
      <w:r>
        <w:t xml:space="preserve">(b) Exploratory pre-treatment MW: 23/23 composites good &gt; bad direction, 6 at ceiling (Ayers TIS, IFN-γ 6/10, CD8_cytotoxic, M1, GC_TF + M1/M2 + NK_a/i ratios)</w:t>
      </w:r>
      <w:r>
        <w:t xml:space="preserve"> </w:t>
      </w:r>
      <w:r>
        <w:t xml:space="preserve">(c) Platform concordance median r = +0.75 (from S4)</w:t>
      </w:r>
      <w:r>
        <w:t xml:space="preserve"> </w:t>
      </w:r>
      <w:r>
        <w:t xml:space="preserve">(d) IBI vs IAE molecular fingerprint (productive TCR/JAK-STAT/BATF/TAPBP vs naive-B/NK-inhibitory/arginase)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 paragraph in Discussion</w:t>
      </w:r>
      <w:r>
        <w:t xml:space="preserve"> </w:t>
      </w:r>
      <w:r>
        <w:t xml:space="preserve">on extreme-phenotype amplification of axes invisible at full-cohort level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 Supp Fig</w:t>
      </w:r>
      <w:r>
        <w:t xml:space="preserve">: pre-vs-post-vs-Δ composite heatmap (</w:t>
      </w:r>
      <w:r>
        <w:rPr>
          <w:rStyle w:val="VerbatimChar"/>
        </w:rPr>
        <w:t xml:space="preserve">FigEx_pre_post_delta_heatmap.pdf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 Supp Fig</w:t>
      </w:r>
      <w:r>
        <w:t xml:space="preserve">: canonical signature pre/post (</w:t>
      </w:r>
      <w:r>
        <w:rPr>
          <w:rStyle w:val="VerbatimChar"/>
        </w:rPr>
        <w:t xml:space="preserve">FigEx_canonical_signatures.pdf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 Supp Fig</w:t>
      </w:r>
      <w:r>
        <w:t xml:space="preserve">: IAE vs IBI fingerprint (</w:t>
      </w:r>
      <w:r>
        <w:rPr>
          <w:rStyle w:val="VerbatimChar"/>
        </w:rPr>
        <w:t xml:space="preserve">FigEx_IAE_vs_IBI.pdf</w:t>
      </w:r>
      <w:r>
        <w:t xml:space="preserve">)</w:t>
      </w:r>
    </w:p>
    <w:bookmarkEnd w:id="58"/>
    <w:bookmarkStart w:id="59" w:name="honest-caveats-for-limitations"/>
    <w:p>
      <w:pPr>
        <w:pStyle w:val="Heading3"/>
      </w:pPr>
      <w:r>
        <w:t xml:space="preserve">Honest caveats for Limitations</w:t>
      </w:r>
    </w:p>
    <w:p>
      <w:pPr>
        <w:pStyle w:val="Compact"/>
        <w:numPr>
          <w:ilvl w:val="0"/>
          <w:numId w:val="1028"/>
        </w:numPr>
      </w:pPr>
      <w:r>
        <w:t xml:space="preserve">Extreme-phenotype amplification is a double-edged sword: n=3+3 with 3-vs-3 MW ceiling of P=0.05 means positive findings at exactly P=0.05 are</w:t>
      </w:r>
      <w:r>
        <w:t xml:space="preserve"> </w:t>
      </w:r>
      <w:r>
        <w:rPr>
          <w:i/>
          <w:iCs/>
        </w:rPr>
        <w:t xml:space="preserve">directional statements</w:t>
      </w:r>
      <w:r>
        <w:t xml:space="preserve">, not strong rejections of chance in a multiple-testing sense.</w:t>
      </w:r>
    </w:p>
    <w:p>
      <w:pPr>
        <w:pStyle w:val="Compact"/>
        <w:numPr>
          <w:ilvl w:val="0"/>
          <w:numId w:val="1028"/>
        </w:numPr>
      </w:pPr>
      <w:r>
        <w:t xml:space="preserve">23 composites at one-sided P=0.05 in a single direction: 22 hits by chance would be &lt;1% of null-simulation outcomes, so the 100% directional concordance is meaningful; but gene-sharing between composites (many include CD8A, IFNG, STAT1) means effective independent tests ≈ 5–8, not 23.</w:t>
      </w:r>
    </w:p>
    <w:p>
      <w:pPr>
        <w:pStyle w:val="Compact"/>
        <w:numPr>
          <w:ilvl w:val="0"/>
          <w:numId w:val="1028"/>
        </w:numPr>
      </w:pPr>
      <w:r>
        <w:t xml:space="preserve">IAE vs IBI effect sizes (n=2 vs n=3) are descriptive — no inferential P-values reported.</w:t>
      </w:r>
    </w:p>
    <w:p>
      <w:pPr>
        <w:pStyle w:val="Compact"/>
        <w:numPr>
          <w:ilvl w:val="0"/>
          <w:numId w:val="1028"/>
        </w:numPr>
      </w:pPr>
      <w:r>
        <w:t xml:space="preserve">"ICB-salvage rationale" paragraph must be a hypothesis-generating statement, not a clinical claim.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rtefact-inventory"/>
    <w:p>
      <w:pPr>
        <w:pStyle w:val="Heading2"/>
      </w:pPr>
      <w:r>
        <w:t xml:space="preserve">Artefact inventory</w:t>
      </w:r>
    </w:p>
    <w:p>
      <w:pPr>
        <w:pStyle w:val="SourceCode"/>
      </w:pPr>
      <w:r>
        <w:rPr>
          <w:rStyle w:val="VerbatimChar"/>
        </w:rPr>
        <w:t xml:space="preserve">260424_nanostring/</w:t>
      </w:r>
      <w:r>
        <w:br/>
      </w:r>
      <w:r>
        <w:rPr>
          <w:rStyle w:val="VerbatimChar"/>
        </w:rPr>
        <w:t xml:space="preserve">├── FINDINGS_exploratory.md                         # this file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03_exploratory.py</w:t>
      </w:r>
      <w:r>
        <w:br/>
      </w:r>
      <w:r>
        <w:rPr>
          <w:rStyle w:val="VerbatimChar"/>
        </w:rPr>
        <w:t xml:space="preserve">│   └── 04_exploratory_figures.py</w:t>
      </w:r>
      <w:r>
        <w:br/>
      </w:r>
      <w:r>
        <w:rPr>
          <w:rStyle w:val="VerbatimChar"/>
        </w:rPr>
        <w:t xml:space="preserve">├── tables/</w:t>
      </w:r>
      <w:r>
        <w:br/>
      </w:r>
      <w:r>
        <w:rPr>
          <w:rStyle w:val="VerbatimChar"/>
        </w:rPr>
        <w:t xml:space="preserve">│   ├── v2_composite_definitions.tsv                # gene membership for 23 composites</w:t>
      </w:r>
      <w:r>
        <w:br/>
      </w:r>
      <w:r>
        <w:rPr>
          <w:rStyle w:val="VerbatimChar"/>
        </w:rPr>
        <w:t xml:space="preserve">│   ├── v2_composite_pre.tsv                         # 6 subj × 23 composites pre-z</w:t>
      </w:r>
      <w:r>
        <w:br/>
      </w:r>
      <w:r>
        <w:rPr>
          <w:rStyle w:val="VerbatimChar"/>
        </w:rPr>
        <w:t xml:space="preserve">│   ├── v2_composite_post.tsv                        # 6 subj × 23 composites post-z</w:t>
      </w:r>
      <w:r>
        <w:br/>
      </w:r>
      <w:r>
        <w:rPr>
          <w:rStyle w:val="VerbatimChar"/>
        </w:rPr>
        <w:t xml:space="preserve">│   ├── v2_composite_delta.tsv                       # 6 subj × 23 composites Δ</w:t>
      </w:r>
      <w:r>
        <w:br/>
      </w:r>
      <w:r>
        <w:rPr>
          <w:rStyle w:val="VerbatimChar"/>
        </w:rPr>
        <w:t xml:space="preserve">│   ├── v2_ratio_pre.tsv / v2_ratio_post.tsv / v2_ratio_delta.tsv</w:t>
      </w:r>
      <w:r>
        <w:br/>
      </w:r>
      <w:r>
        <w:rPr>
          <w:rStyle w:val="VerbatimChar"/>
        </w:rPr>
        <w:t xml:space="preserve">│   ├── v2_pre_MW.tsv                                # pre-only MW per composite</w:t>
      </w:r>
      <w:r>
        <w:br/>
      </w:r>
      <w:r>
        <w:rPr>
          <w:rStyle w:val="VerbatimChar"/>
        </w:rPr>
        <w:t xml:space="preserve">│   ├── v2_post_MW.tsv                               # post-only MW per composite</w:t>
      </w:r>
      <w:r>
        <w:br/>
      </w:r>
      <w:r>
        <w:rPr>
          <w:rStyle w:val="VerbatimChar"/>
        </w:rPr>
        <w:t xml:space="preserve">│   ├── v2_delta_MW.tsv                              # Δ MW per composite</w:t>
      </w:r>
      <w:r>
        <w:br/>
      </w:r>
      <w:r>
        <w:rPr>
          <w:rStyle w:val="VerbatimChar"/>
        </w:rPr>
        <w:t xml:space="preserve">│   ├── v2_ratios_MW.tsv                             # 4 ratios × 3 timepoints MW</w:t>
      </w:r>
      <w:r>
        <w:br/>
      </w:r>
      <w:r>
        <w:rPr>
          <w:rStyle w:val="VerbatimChar"/>
        </w:rPr>
        <w:t xml:space="preserve">│   ├── v2_gene_pre_scan.tsv                         # 730-gene pre-only MW + BH</w:t>
      </w:r>
      <w:r>
        <w:br/>
      </w:r>
      <w:r>
        <w:rPr>
          <w:rStyle w:val="VerbatimChar"/>
        </w:rPr>
        <w:t xml:space="preserve">│   ├── v2_gene_post_scan.tsv                        # 730-gene post-only MW + BH</w:t>
      </w:r>
      <w:r>
        <w:br/>
      </w:r>
      <w:r>
        <w:rPr>
          <w:rStyle w:val="VerbatimChar"/>
        </w:rPr>
        <w:t xml:space="preserve">│   ├── v2_phenotype_classification.tsv              # IAE/IBI/cold classification</w:t>
      </w:r>
      <w:r>
        <w:br/>
      </w:r>
      <w:r>
        <w:rPr>
          <w:rStyle w:val="VerbatimChar"/>
        </w:rPr>
        <w:t xml:space="preserve">│   ├── v2_IAE_vs_IBI_descriptive.tsv                # IAE-IBI composite diff</w:t>
      </w:r>
      <w:r>
        <w:br/>
      </w:r>
      <w:r>
        <w:rPr>
          <w:rStyle w:val="VerbatimChar"/>
        </w:rPr>
        <w:t xml:space="preserve">│   ├── v2_IAE_vs_IBI_gene_descriptive.tsv           # IAE-IBI gene diff (730)</w:t>
      </w:r>
      <w:r>
        <w:br/>
      </w:r>
      <w:r>
        <w:rPr>
          <w:rStyle w:val="VerbatimChar"/>
        </w:rPr>
        <w:t xml:space="preserve">│   ├── v2_subject_deepdive.tsv                      # subj 4 &amp; 11 per-composite pre/post/Δ + rank</w:t>
      </w:r>
      <w:r>
        <w:br/>
      </w:r>
      <w:r>
        <w:rPr>
          <w:rStyle w:val="VerbatimChar"/>
        </w:rPr>
        <w:t xml:space="preserve">│   └── v2_SUMMARY.json                              # summary metrics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FigEx_pre_post_delta_heatmap.{pdf,png}      # 23 composites × 3 timepoints</w:t>
      </w:r>
      <w:r>
        <w:br/>
      </w:r>
      <w:r>
        <w:rPr>
          <w:rStyle w:val="VerbatimChar"/>
        </w:rPr>
        <w:t xml:space="preserve">    ├── FigEx_canonical_signatures.{pdf,png}         # Ayers/IFN-γ/IMPRES/CD8/M1 pre vs post</w:t>
      </w:r>
      <w:r>
        <w:br/>
      </w:r>
      <w:r>
        <w:rPr>
          <w:rStyle w:val="VerbatimChar"/>
        </w:rPr>
        <w:t xml:space="preserve">    ├── FigEx_IAE_vs_IBI.{pdf,png}                   # composite + gene discriminators</w:t>
      </w:r>
      <w:r>
        <w:br/>
      </w:r>
      <w:r>
        <w:rPr>
          <w:rStyle w:val="VerbatimChar"/>
        </w:rPr>
        <w:t xml:space="preserve">    ├── FigEx_subject_radar.{pdf,png}                # subj 4 / 2 / 11 polar fingerprint</w:t>
      </w:r>
      <w:r>
        <w:br/>
      </w:r>
      <w:r>
        <w:rPr>
          <w:rStyle w:val="VerbatimChar"/>
        </w:rPr>
        <w:t xml:space="preserve">    ├── FigEx_direction_waterfall_pre.{pdf,png}      # 23/23 good&gt;bad pre</w:t>
      </w:r>
      <w:r>
        <w:br/>
      </w:r>
      <w:r>
        <w:rPr>
          <w:rStyle w:val="VerbatimChar"/>
        </w:rPr>
        <w:t xml:space="preserve">    └── FigEx_HLA_I_machinery_heatmap.{pdf,png}      # 8-13 HLA-I genes × 12 samples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2026-04-25T16:52:17Z</dcterms:created>
  <dcterms:modified xsi:type="dcterms:W3CDTF">2026-04-25T16:52:17Z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