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To: The Editor-in-Chief,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Microbial Biotechnology</w:t>
      </w:r>
      <w:r>
        <w:t xml:space="preserve"> </w:t>
      </w:r>
      <w:r>
        <w:rPr>
          <w:b/>
          <w:bCs/>
        </w:rPr>
        <w:t xml:space="preserve">From: [Corresponding Author], [Affiliation]</w:t>
      </w:r>
      <w:r>
        <w:t xml:space="preserve"> </w:t>
      </w:r>
      <w:r>
        <w:rPr>
          <w:b/>
          <w:bCs/>
        </w:rPr>
        <w:t xml:space="preserve">Date: [Submission date, 2026]</w:t>
      </w:r>
    </w:p>
    <w:p>
      <w:pPr>
        <w:pStyle w:val="BodyText"/>
      </w:pPr>
      <w:r>
        <w:rPr>
          <w:b/>
          <w:bCs/>
        </w:rPr>
        <w:t xml:space="preserve">Subject: Submission of an original research article —</w:t>
      </w:r>
      <w:r>
        <w:rPr>
          <w:b/>
          <w:bCs/>
        </w:rPr>
        <w:t xml:space="preserve"> </w:t>
      </w:r>
      <w:r>
        <w:rPr>
          <w:b/>
          <w:bCs/>
        </w:rPr>
        <w:t xml:space="preserve">“Comparative genomics of 111 livestock-waste MAGs nominates novel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Sphingobacterium</w:t>
      </w:r>
      <w:r>
        <w:rPr>
          <w:b/>
          <w:bCs/>
        </w:rPr>
        <w:t xml:space="preserve"> </w:t>
      </w:r>
      <w:r>
        <w:rPr>
          <w:b/>
          <w:bCs/>
        </w:rPr>
        <w:t xml:space="preserve">species with a vertically inherited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ure–cah</w:t>
      </w:r>
      <w:r>
        <w:rPr>
          <w:b/>
          <w:bCs/>
        </w:rPr>
        <w:t xml:space="preserve"> </w:t>
      </w:r>
      <w:r>
        <w:rPr>
          <w:b/>
          <w:bCs/>
        </w:rPr>
        <w:t xml:space="preserve">module for alkali-tolerant MICP”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 for consideration as an Original Research article in</w:t>
      </w:r>
      <w:r>
        <w:t xml:space="preserve"> </w:t>
      </w:r>
      <w:r>
        <w:rPr>
          <w:i/>
          <w:iCs/>
        </w:rPr>
        <w:t xml:space="preserve">Microbial Biotechnology</w:t>
      </w:r>
      <w:r>
        <w:t xml:space="preserve">. The work applies an integrated comparative-genomic pipeline — spanning Bakta, Panaroo, GTDB-Tk, IQ-TREE, DRAM, dbCAN-HMMER, skani and mmseqs2 — to</w:t>
      </w:r>
      <w:r>
        <w:t xml:space="preserve"> </w:t>
      </w:r>
      <w:r>
        <w:rPr>
          <w:b/>
          <w:bCs/>
        </w:rPr>
        <w:t xml:space="preserve">111 metagenome-assembled genomes</w:t>
      </w:r>
      <w:r>
        <w:t xml:space="preserve"> </w:t>
      </w:r>
      <w:r>
        <w:t xml:space="preserve">(MAGs) recovered from four livestock-waste microbiomes (cattle, swine, sheep, poultry). We believe the manuscript aligns closely with the journal’s mission to publish microbial research that couples mechanistic insight with biotechnological relevance.</w:t>
      </w:r>
    </w:p>
    <w:p>
      <w:pPr>
        <w:pStyle w:val="BodyText"/>
      </w:pPr>
      <w:r>
        <w:rPr>
          <w:b/>
          <w:bCs/>
        </w:rPr>
        <w:t xml:space="preserve">Main findings.</w:t>
      </w:r>
      <w:r>
        <w:t xml:space="preserve"> </w:t>
      </w:r>
      <w:r>
        <w:t xml:space="preserve">From the 111-MAG panel we identify a six-member set of MICP-complete MAGs distributed across</w:t>
      </w:r>
      <w:r>
        <w:t xml:space="preserve"> </w:t>
      </w:r>
      <w:r>
        <w:rPr>
          <w:b/>
          <w:bCs/>
        </w:rPr>
        <w:t xml:space="preserve">two functionally convergent lineages</w:t>
      </w:r>
      <w:r>
        <w:t xml:space="preserve"> </w:t>
      </w:r>
      <w:r>
        <w:t xml:space="preserve">— four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and two</w:t>
      </w:r>
      <w:r>
        <w:t xml:space="preserve"> </w:t>
      </w:r>
      <w:r>
        <w:rPr>
          <w:i/>
          <w:iCs/>
        </w:rPr>
        <w:t xml:space="preserve">Pseudomonas</w:t>
      </w:r>
      <w:r>
        <w:t xml:space="preserve">_E MAGs — that retain the complete</w:t>
      </w:r>
      <w:r>
        <w:t xml:space="preserve"> </w:t>
      </w:r>
      <w:r>
        <w:rPr>
          <w:i/>
          <w:iCs/>
        </w:rPr>
        <w:t xml:space="preserve">ureABCDEFG</w:t>
      </w:r>
      <w:r>
        <w:t xml:space="preserve"> </w:t>
      </w:r>
      <w:r>
        <w:t xml:space="preserve">operon together with at least one carbonic-anhydrase gene. The operon is vertically inherited within each lineage: no transposase, integrase, prophage or relaxase is detected in a ±15 kb flanking window, and regional GC content matches the genomic mean. Rigorous permutation testing (10,000 iterations, Benjamini–Hochberg FDR) identifies nine trait modules significantly enriched in the hero lineages — most notably Mrp Na⁺/H⁺-antiporter complexes (10.9-fold), oxidative-defence enzymes (4.8-fold), glycoside hydrolases (4.7-fold) and carbohydrate-binding modules (9.8-fold), with bootstrap CIs excluding unity. Reference-grade HMMER dbCAN analysis corroborates the CAZyme signal independently. Principal coordinates analysis further reveals a</w:t>
      </w:r>
      <w:r>
        <w:t xml:space="preserve"> </w:t>
      </w:r>
      <w:r>
        <w:rPr>
          <w:b/>
          <w:bCs/>
        </w:rPr>
        <w:t xml:space="preserve">dual structuring axis</w:t>
      </w:r>
      <w:r>
        <w:t xml:space="preserve">: pan-genome composition is primarily organised by taxonomy (PERMANOVA pseudo-F = 8.21, p = 0.001), whereas trait-module distribution is primarily organised by waste source (pseudo-F = 34.19, p = 0.001). Finally, two MAGs (S13 and S16) satisfy both GTDB-Tk and AAI criteria (&lt; 95 %) for candidate novel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species when benchmarked against the full RefSeq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collection (63 reference genomes), nominating them as priority chassis for subsequent experimental validation of waste-coupled MICP.</w:t>
      </w:r>
    </w:p>
    <w:p>
      <w:pPr>
        <w:pStyle w:val="BodyText"/>
      </w:pPr>
      <w:r>
        <w:rPr>
          <w:b/>
          <w:bCs/>
        </w:rPr>
        <w:t xml:space="preserve">Significance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Microbial Biotechnology</w:t>
      </w:r>
      <w:r>
        <w:rPr>
          <w:b/>
          <w:bCs/>
        </w:rPr>
        <w:t xml:space="preserve">.</w:t>
      </w:r>
      <w:r>
        <w:t xml:space="preserve"> </w:t>
      </w:r>
      <w:r>
        <w:t xml:space="preserve">Field-grade MICP has relied almost exclusively on</w:t>
      </w:r>
      <w:r>
        <w:t xml:space="preserve"> </w:t>
      </w:r>
      <w:r>
        <w:rPr>
          <w:i/>
          <w:iCs/>
        </w:rPr>
        <w:t xml:space="preserve">Sporosarcina pasteurii</w:t>
      </w:r>
      <w:r>
        <w:t xml:space="preserve"> </w:t>
      </w:r>
      <w:r>
        <w:t xml:space="preserve">and a small set of</w:t>
      </w:r>
      <w:r>
        <w:t xml:space="preserve"> </w:t>
      </w:r>
      <w:r>
        <w:rPr>
          <w:i/>
          <w:iCs/>
        </w:rPr>
        <w:t xml:space="preserve">Bacillus</w:t>
      </w:r>
      <w:r>
        <w:t xml:space="preserve">/</w:t>
      </w:r>
      <w:r>
        <w:rPr>
          <w:i/>
          <w:iCs/>
        </w:rPr>
        <w:t xml:space="preserve">Lysinibacillus</w:t>
      </w:r>
      <w:r>
        <w:t xml:space="preserve"> </w:t>
      </w:r>
      <w:r>
        <w:t xml:space="preserve">strains whose growth optima are incompatible with real livestock-slurry conditions. Our work expands the MICP chassis palette to include two candidate novel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species whose co-encoded trait stack (urease + CA + Mrp antiporter + oxidative defence + polysaccharide-degrading CAZymes) is mechanistically tailored to high-pH, polysaccharide-rich waste streams. The analysis deliberately uses non-canonical bioprospecting: rather than activity-first screening of culturable isolates, we mine directly environmental MAGs and statistically validate the candidate phenotype before committing to wet-lab effort. This strategy — and the open-source pipeline that implements it (https://github.com/Soonlab/Upcycling) — should be directly portable to other high-nitrogen waste streams worldwide.</w:t>
      </w:r>
    </w:p>
    <w:p>
      <w:pPr>
        <w:pStyle w:val="BodyText"/>
      </w:pPr>
      <w:r>
        <w:rPr>
          <w:b/>
          <w:bCs/>
        </w:rPr>
        <w:t xml:space="preserve">Scope disclosure.</w:t>
      </w:r>
      <w:r>
        <w:t xml:space="preserve"> </w:t>
      </w:r>
      <w:r>
        <w:t xml:space="preserve">This is an in-silico study. All genomic predictions are statistically supported, but biochemical and field validation (urease activity, CaCO₃ yield, sand-column UCS) are outside the present scope and are clearly framed as the next experimental step in the Discussion. We chose to submit the comparative-genomic work as a free-standing manuscript because its principal value is a prioritised, hypothesis-rich target list for the MICP community; we would welcome reviewer guidance on the extent to which such explicit framing is acceptable within</w:t>
      </w:r>
      <w:r>
        <w:t xml:space="preserve"> </w:t>
      </w:r>
      <w:r>
        <w:rPr>
          <w:i/>
          <w:iCs/>
        </w:rPr>
        <w:t xml:space="preserve">MB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Originality and ethics.</w:t>
      </w:r>
      <w:r>
        <w:t xml:space="preserve"> </w:t>
      </w:r>
      <w:r>
        <w:t xml:space="preserve">The manuscript has not been published and is not under consideration elsewhere. All authors have contributed to and approved the final manuscript. There are no competing interests. No human-subject or vertebrate-animal experimentation was performed. Sequencing reads and final MAGs will be deposited to NCBI BioProject PRJNA-XXXXXXX; all analysis code and derived tables are already public under CC-BY / MIT.</w:t>
      </w:r>
    </w:p>
    <w:p>
      <w:pPr>
        <w:pStyle w:val="BodyText"/>
      </w:pPr>
      <w:r>
        <w:rPr>
          <w:b/>
          <w:bCs/>
        </w:rPr>
        <w:t xml:space="preserve">Suggested reviewers.</w:t>
      </w:r>
      <w:r>
        <w:t xml:space="preserve"> </w:t>
      </w:r>
      <w:r>
        <w:t xml:space="preserve">We respectfully suggest the following reviewers, none of whom has a collaborative conflict with us: [Reviewer 1 — MICP / ureolytic biomineralization expert], [Reviewer 2 — environmental MAG / pan-genomics expert], [Reviewer 3 —</w:t>
      </w:r>
      <w:r>
        <w:t xml:space="preserve"> </w:t>
      </w:r>
      <w:r>
        <w:rPr>
          <w:i/>
          <w:iCs/>
        </w:rPr>
        <w:t xml:space="preserve">Sphingobacterium</w:t>
      </w:r>
      <w:r>
        <w:t xml:space="preserve"> </w:t>
      </w:r>
      <w:r>
        <w:t xml:space="preserve">/ Bacteroidota ecology expert]. Full contact details are provided in the online submission system.</w:t>
      </w:r>
    </w:p>
    <w:p>
      <w:pPr>
        <w:pStyle w:val="BodyText"/>
      </w:pPr>
      <w:r>
        <w:t xml:space="preserve">We thank you for considering our submission and look forward to your response.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[Corresponding Author], [Title]</w:t>
      </w:r>
      <w:r>
        <w:t xml:space="preserve"> </w:t>
      </w:r>
      <w:r>
        <w:t xml:space="preserve">[Affiliation] · [Address]</w:t>
      </w:r>
      <w:r>
        <w:t xml:space="preserve"> </w:t>
      </w:r>
      <w:r>
        <w:t xml:space="preserve">[Email] · [Phone] · [ORCID]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2026-04-12T09:36:11Z</dcterms:created>
  <dcterms:modified xsi:type="dcterms:W3CDTF">2026-04-12T09:36:11Z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