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 The Editor-in-Chief,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mSystems</w:t>
      </w:r>
      <w:r>
        <w:rPr>
          <w:b/>
          <w:bCs/>
        </w:rPr>
        <w:t xml:space="preserve"> </w:t>
      </w:r>
      <w:r>
        <w:rPr>
          <w:b/>
          <w:bCs/>
        </w:rPr>
        <w:t xml:space="preserve">(American Society for Microbiology)</w:t>
      </w:r>
      <w:r>
        <w:t xml:space="preserve"> </w:t>
      </w:r>
      <w:r>
        <w:rPr>
          <w:b/>
          <w:bCs/>
        </w:rPr>
        <w:t xml:space="preserve">From: [Corresponding Author], [Affiliation]</w:t>
      </w:r>
      <w:r>
        <w:t xml:space="preserve"> </w:t>
      </w:r>
      <w:r>
        <w:rPr>
          <w:b/>
          <w:bCs/>
        </w:rPr>
        <w:t xml:space="preserve">Date: [Submission date, 2026]</w:t>
      </w:r>
    </w:p>
    <w:p>
      <w:pPr>
        <w:pStyle w:val="BodyText"/>
      </w:pPr>
      <w:r>
        <w:rPr>
          <w:b/>
          <w:bCs/>
        </w:rPr>
        <w:t xml:space="preserve">Subject: Submission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mSystems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“Comparative genomics of 111 livestock-waste MAGs nominates novel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Sphingobacterium</w:t>
      </w:r>
      <w:r>
        <w:rPr>
          <w:b/>
          <w:bCs/>
        </w:rPr>
        <w:t xml:space="preserve"> </w:t>
      </w:r>
      <w:r>
        <w:rPr>
          <w:b/>
          <w:bCs/>
        </w:rPr>
        <w:t xml:space="preserve">species with a vertically inherited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ure–cah</w:t>
      </w:r>
      <w:r>
        <w:rPr>
          <w:b/>
          <w:bCs/>
        </w:rPr>
        <w:t xml:space="preserve"> </w:t>
      </w:r>
      <w:r>
        <w:rPr>
          <w:b/>
          <w:bCs/>
        </w:rPr>
        <w:t xml:space="preserve">module for alkali-tolerant MICP”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for consideration as a Research Article in</w:t>
      </w:r>
      <w:r>
        <w:t xml:space="preserve"> </w:t>
      </w:r>
      <w:r>
        <w:rPr>
          <w:i/>
          <w:iCs/>
        </w:rPr>
        <w:t xml:space="preserve">mSystems</w:t>
      </w:r>
      <w:r>
        <w:t xml:space="preserve">. The work is a systems-level comparative-genomic analysis of</w:t>
      </w:r>
      <w:r>
        <w:t xml:space="preserve"> </w:t>
      </w:r>
      <w:r>
        <w:rPr>
          <w:b/>
          <w:bCs/>
        </w:rPr>
        <w:t xml:space="preserve">111 metagenome-assembled genomes</w:t>
      </w:r>
      <w:r>
        <w:t xml:space="preserve"> </w:t>
      </w:r>
      <w:r>
        <w:t xml:space="preserve">(MAGs) recovered from four livestock-waste microbiomes, and its methodology, scope, and open-science deliverables are, in our view, a close fit for</w:t>
      </w:r>
      <w:r>
        <w:t xml:space="preserve"> </w:t>
      </w:r>
      <w:r>
        <w:rPr>
          <w:i/>
          <w:iCs/>
        </w:rPr>
        <w:t xml:space="preserve">mSystems</w:t>
      </w:r>
      <w:r>
        <w:t xml:space="preserve">’ tradition of publishing genome-resolved, ecologically contextualised microbial-systems analyses.</w:t>
      </w:r>
    </w:p>
    <w:p>
      <w:pPr>
        <w:pStyle w:val="BodyText"/>
      </w:pPr>
      <w:r>
        <w:rPr>
          <w:b/>
          <w:bCs/>
        </w:rPr>
        <w:t xml:space="preserve">What the paper does.</w:t>
      </w:r>
      <w:r>
        <w:t xml:space="preserve"> </w:t>
      </w:r>
      <w:r>
        <w:t xml:space="preserve">We integrate eight orthogonal analyses — Bakta annotation, Panaroo pan-genomics, GTDB-Tk/IQ-TREE phylogenomics, skani whole-genome ANI, reciprocal-best mmseqs2 AAI, DRAM metabolic reconstruction, dbCAN-HMMER CAZyme profiling, and permutation-tested trait-module enrichment — into a single reproducible pipeline (https://github.com/Soonlab/Upcycling). Applied to the livestock-waste MAG panel, the pipeline identifies a six-member set of</w:t>
      </w:r>
      <w:r>
        <w:t xml:space="preserve"> </w:t>
      </w:r>
      <w:r>
        <w:rPr>
          <w:b/>
          <w:bCs/>
        </w:rPr>
        <w:t xml:space="preserve">functionally convergent</w:t>
      </w:r>
      <w:r>
        <w:t xml:space="preserve"> </w:t>
      </w:r>
      <w:r>
        <w:t xml:space="preserve">MAGs (four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+ two</w:t>
      </w:r>
      <w:r>
        <w:t xml:space="preserve"> </w:t>
      </w:r>
      <w:r>
        <w:rPr>
          <w:i/>
          <w:iCs/>
        </w:rPr>
        <w:t xml:space="preserve">Pseudomonas</w:t>
      </w:r>
      <w:r>
        <w:t xml:space="preserve">_E) that retain a complete</w:t>
      </w:r>
      <w:r>
        <w:t xml:space="preserve"> </w:t>
      </w:r>
      <w:r>
        <w:rPr>
          <w:i/>
          <w:iCs/>
        </w:rPr>
        <w:t xml:space="preserve">ureABCDEFG–cah</w:t>
      </w:r>
      <w:r>
        <w:t xml:space="preserve"> </w:t>
      </w:r>
      <w:r>
        <w:t xml:space="preserve">module characteristic of microbially induced carbonate precipitation (MICP). Within each lineage, the module shows no mobile-element flanking and no regional GC deviation, consistent with vertical inheritance rather than horizontal acquisition. Ten-thousand-iteration permutation with Benjamini–Hochberg FDR identifies nine trait modules significantly enriched (q &lt; 0.05) in the hero lineages — including Mrp Na⁺/H⁺ antiporters (fold change 10.9), oxidative-defence enzymes (4.8), glycoside hydrolases (4.7) and carbohydrate-binding modules (9.8) — forming a mechanistically coherent stack for survival and catalysis in alkaline, polysaccharide-rich slurry. Principal coordinates analysis reveals a striking dichotomy: pan-genome structure is primarily explained by GTDB genus (pseudo-F = 8.21, p = 0.001), whereas trait-module structure is primarily explained by waste source (pseudo-F = 34.19, p = 0.001). Finally, pairwise ANI against 63 RefSeq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genomes identifies</w:t>
      </w:r>
      <w:r>
        <w:t xml:space="preserve"> </w:t>
      </w:r>
      <w:r>
        <w:rPr>
          <w:b/>
          <w:bCs/>
        </w:rPr>
        <w:t xml:space="preserve">S13 and S16 as candidate novel species</w:t>
      </w:r>
      <w:r>
        <w:t xml:space="preserve"> </w:t>
      </w:r>
      <w:r>
        <w:t xml:space="preserve">(&lt; 95 % ANI), nominating them as priority chassis for future experimental validation of waste-coupled MICP.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mSystems</w:t>
      </w:r>
      <w:r>
        <w:rPr>
          <w:b/>
          <w:bCs/>
        </w:rPr>
        <w:t xml:space="preserve">.</w:t>
      </w:r>
      <w:r>
        <w:t xml:space="preserve"> </w:t>
      </w:r>
      <w:r>
        <w:t xml:space="preserve">The manuscript embodies the five features that</w:t>
      </w:r>
      <w:r>
        <w:t xml:space="preserve"> </w:t>
      </w:r>
      <w:r>
        <w:rPr>
          <w:i/>
          <w:iCs/>
        </w:rPr>
        <w:t xml:space="preserve">mSystems</w:t>
      </w:r>
      <w:r>
        <w:t xml:space="preserve"> </w:t>
      </w:r>
      <w:r>
        <w:t xml:space="preserve">has historically prioritised: (i)</w:t>
      </w:r>
      <w:r>
        <w:t xml:space="preserve"> </w:t>
      </w:r>
      <w:r>
        <w:rPr>
          <w:b/>
          <w:bCs/>
        </w:rPr>
        <w:t xml:space="preserve">systems scope</w:t>
      </w:r>
      <w:r>
        <w:t xml:space="preserve"> </w:t>
      </w:r>
      <w:r>
        <w:t xml:space="preserve">(111 MAGs × 98 metabolic modules × 38 trait subcategories); (ii)</w:t>
      </w:r>
      <w:r>
        <w:t xml:space="preserve"> </w:t>
      </w:r>
      <w:r>
        <w:rPr>
          <w:b/>
          <w:bCs/>
        </w:rPr>
        <w:t xml:space="preserve">rigorous statistical controls</w:t>
      </w:r>
      <w:r>
        <w:t xml:space="preserve"> </w:t>
      </w:r>
      <w:r>
        <w:t xml:space="preserve">for effect-size claims (permutation with FDR and bootstrap CIs, instead of unqualified fold changes); (iii)</w:t>
      </w:r>
      <w:r>
        <w:t xml:space="preserve"> </w:t>
      </w:r>
      <w:r>
        <w:rPr>
          <w:b/>
          <w:bCs/>
        </w:rPr>
        <w:t xml:space="preserve">open-science deliverables</w:t>
      </w:r>
      <w:r>
        <w:t xml:space="preserve"> </w:t>
      </w:r>
      <w:r>
        <w:t xml:space="preserve">(all code, derived tables, intermediate files and figures are already available on GitHub under CC-BY / MIT); (iv)</w:t>
      </w:r>
      <w:r>
        <w:t xml:space="preserve"> </w:t>
      </w:r>
      <w:r>
        <w:rPr>
          <w:b/>
          <w:bCs/>
        </w:rPr>
        <w:t xml:space="preserve">translation-ready framing</w:t>
      </w:r>
      <w:r>
        <w:t xml:space="preserve"> </w:t>
      </w:r>
      <w:r>
        <w:t xml:space="preserve">(the analysis directly supports circular-bioeconomy MICP applications in livestock waste management); (v)</w:t>
      </w:r>
      <w:r>
        <w:t xml:space="preserve"> </w:t>
      </w:r>
      <w:r>
        <w:rPr>
          <w:b/>
          <w:bCs/>
        </w:rPr>
        <w:t xml:space="preserve">honest treatment of limitations</w:t>
      </w:r>
      <w:r>
        <w:t xml:space="preserve"> </w:t>
      </w:r>
      <w:r>
        <w:t xml:space="preserve">— we explicitly flag that the study is computational and identify the specific wet-lab experiments required to complete the biotechnological argument.</w:t>
      </w:r>
    </w:p>
    <w:p>
      <w:pPr>
        <w:pStyle w:val="BodyText"/>
      </w:pPr>
      <w:r>
        <w:rPr>
          <w:b/>
          <w:bCs/>
        </w:rPr>
        <w:t xml:space="preserve">Scope disclosure.</w:t>
      </w:r>
      <w:r>
        <w:t xml:space="preserve"> </w:t>
      </w:r>
      <w:r>
        <w:t xml:space="preserve">This is an in-silico study. We have not performed urease-activity assays, CaCO₃-yield measurements or field tests; these are clearly framed as the next experimental step. We believe, and hope the editorial team agrees, that a statistically tested and fully reproducible comparative-genomic resource paper is valuable to the field in its own right, and that requiring wet-lab validation as a precondition would unnecessarily delay dissemination of a useful target list to the MICP community.</w:t>
      </w:r>
    </w:p>
    <w:p>
      <w:pPr>
        <w:pStyle w:val="BodyText"/>
      </w:pPr>
      <w:r>
        <w:rPr>
          <w:b/>
          <w:bCs/>
        </w:rPr>
        <w:t xml:space="preserve">Standard declarations.</w:t>
      </w:r>
      <w:r>
        <w:t xml:space="preserve"> </w:t>
      </w:r>
      <w:r>
        <w:t xml:space="preserve">The manuscript has not been published and is not under consideration elsewhere; all authors have contributed to and approved the final draft; there are no competing interests; no human-subject or vertebrate-animal experimentation was performed; sequencing reads and final MAGs will be deposited to NCBI BioProject PRJNA-XXXXXXX on acceptance.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[Reviewer 1 — environmental MAG / pan-genomics]; [Reviewer 2 — MICP / ureolytic biomineralization]; [Reviewer 3 —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/ Bacteroidota functional ecology]. None has a collaborative conflict with us; full contact details are provided in the submission system.</w:t>
      </w:r>
    </w:p>
    <w:p>
      <w:pPr>
        <w:pStyle w:val="BodyText"/>
      </w:pPr>
      <w:r>
        <w:t xml:space="preserve">We thank you for the editorial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Author], [Title]</w:t>
      </w:r>
      <w:r>
        <w:t xml:space="preserve"> </w:t>
      </w:r>
      <w:r>
        <w:t xml:space="preserve">[Affiliation] · [Address]</w:t>
      </w:r>
      <w:r>
        <w:t xml:space="preserve"> </w:t>
      </w:r>
      <w:r>
        <w:t xml:space="preserve">[Email] · [Phone] · [ORCID]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2026-04-12T09:36:11Z</dcterms:created>
  <dcterms:modified xsi:type="dcterms:W3CDTF">2026-04-12T09:36:11Z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