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03a5e639d7e49819cdf6c0f34c774ae7b5d423"/>
    <w:p>
      <w:pPr>
        <w:pStyle w:val="Heading1"/>
      </w:pPr>
      <w:r>
        <w:t xml:space="preserve">Figure, Table and Supplementary Legends (revised)</w:t>
      </w:r>
    </w:p>
    <w:p>
      <w:pPr>
        <w:pStyle w:val="FirstParagraph"/>
      </w:pPr>
      <w:r>
        <w:t xml:space="preserve">All figures are provided as 300-dpi PNG and vector PDF files at</w:t>
      </w:r>
      <w:r>
        <w:t xml:space="preserve"> </w:t>
      </w:r>
      <w:r>
        <w:rPr>
          <w:rStyle w:val="VerbatimChar"/>
        </w:rPr>
        <w:t xml:space="preserve">/data/data/Upcycling/research/</w:t>
      </w:r>
      <w:r>
        <w:t xml:space="preserve"> </w:t>
      </w:r>
      <w:r>
        <w:t xml:space="preserve">(main figures) and</w:t>
      </w:r>
      <w:r>
        <w:t xml:space="preserve"> </w:t>
      </w:r>
      <w:r>
        <w:rPr>
          <w:rStyle w:val="VerbatimChar"/>
        </w:rPr>
        <w:t xml:space="preserve">/data/data/Upcycling/research/extra/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/data/data/Upcycling/research/revision/</w:t>
      </w:r>
      <w:r>
        <w:t xml:space="preserve"> </w:t>
      </w:r>
      <w:r>
        <w:t xml:space="preserve">(supplementary figures). Sample codes: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cattle,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swine,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sheep,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poultry. The six</w:t>
      </w:r>
      <w:r>
        <w:t xml:space="preserve"> </w:t>
      </w:r>
      <w:r>
        <w:t xml:space="preserve">“hero-lineage”</w:t>
      </w:r>
      <w:r>
        <w:t xml:space="preserve"> </w:t>
      </w:r>
      <w:r>
        <w:t xml:space="preserve">MAGs (C22, M1, S13, S16, S23, S26) are consistently highlighted in red/bold across all figures.</w:t>
      </w:r>
    </w:p>
    <w:p>
      <w:r>
        <w:pict>
          <v:rect style="width:0;height:1.5pt" o:hralign="center" o:hrstd="t" o:hr="t"/>
        </w:pict>
      </w:r>
    </w:p>
    <w:bookmarkStart w:id="15" w:name="main-figures"/>
    <w:p>
      <w:pPr>
        <w:pStyle w:val="Heading2"/>
      </w:pPr>
      <w:r>
        <w:t xml:space="preserve">Main figures</w:t>
      </w:r>
    </w:p>
    <w:bookmarkStart w:id="9" w:name="X8f10d6c050607e938a8ec1e267cf1c6a4c03cd6"/>
    <w:p>
      <w:pPr>
        <w:pStyle w:val="Heading3"/>
      </w:pPr>
      <w:r>
        <w:t xml:space="preserve">Figure 1 | Phylogenomic distribution of MICP-related genes across 111 livestock-waste MAGs.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Fig1_Phylogeny_MICP_heatmap.png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Maximum-likelihood phylogenomic tree of 111 MAGs inferred from the GTDB-Tk bac120 concatenated alignment (IQ-TREE v2.3, ModelFinder, 1,000 ultrafast bootstrap replicates; midpoint-rooted for display). The left colour strip encodes GTDB-Tk genus assignment (legend: top ten genera with sample counts). MAG identifiers and, where available, GTDB species annotations follow the colour strip; hero-lineage MAGs are highlighted in red bold. The right-hand heat map shows presence (dark green) or absence (white) of the eight MICP-associated genes</w:t>
      </w:r>
      <w:r>
        <w:t xml:space="preserve"> </w:t>
      </w:r>
      <w:r>
        <w:rPr>
          <w:i/>
          <w:iCs/>
        </w:rPr>
        <w:t xml:space="preserve">ureA, ureB, ureC, ureD, ureE, ureF, ureG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cah</w:t>
      </w:r>
      <w:r>
        <w:t xml:space="preserve">. The complete 8/8 module is restricted to four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MAGs (C22, S13, S16, S23) and two</w:t>
      </w:r>
      <w:r>
        <w:t xml:space="preserve"> </w:t>
      </w:r>
      <w:r>
        <w:rPr>
          <w:i/>
          <w:iCs/>
        </w:rPr>
        <w:t xml:space="preserve">Pseudomonas</w:t>
      </w:r>
      <w:r>
        <w:t xml:space="preserve">_E MAGs (M1, S26); these taxa are distributed across two, non-monophyletic, functionally convergent lineages. Scale bar, substitutions per site.</w:t>
      </w:r>
    </w:p>
    <w:bookmarkEnd w:id="9"/>
    <w:bookmarkStart w:id="10" w:name="X3db2769a0a692bb249508a0bffbcee1b98cd308"/>
    <w:p>
      <w:pPr>
        <w:pStyle w:val="Heading3"/>
      </w:pPr>
      <w:r>
        <w:t xml:space="preserve">Figure 2 | MICP module completeness across genera and gene-level prevalence in hero-lineage MAGs.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Fig2_MICP_completeness_by_genus.png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MICP module score (sum of</w:t>
      </w:r>
      <w:r>
        <w:t xml:space="preserve"> </w:t>
      </w:r>
      <w:r>
        <w:rPr>
          <w:i/>
          <w:iCs/>
        </w:rPr>
        <w:t xml:space="preserve">ureA–G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cah</w:t>
      </w:r>
      <w:r>
        <w:t xml:space="preserve">; maximum = 8) by GTDB-Tk genus, sorted by mean. Boxes show median and inter-quartile range; individual MAGs are overlaid as grey points; hero-lineage MAGs are superimposed as enlarged red circles.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Per-gene prevalence of the eight MICP genes in the hero-lineage set (red, n = 6) versus the remaining 105 MAGs (grey). Hero-lineage MAGs maintain 100 % prevalence of every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gene and</w:t>
      </w:r>
      <w:r>
        <w:t xml:space="preserve"> </w:t>
      </w:r>
      <w:r>
        <w:rPr>
          <w:i/>
          <w:iCs/>
        </w:rPr>
        <w:t xml:space="preserve">cah</w:t>
      </w:r>
      <w:r>
        <w:t xml:space="preserve">, whereas the non-hero background retains the same genes at 55–85 %.</w:t>
      </w:r>
    </w:p>
    <w:bookmarkEnd w:id="10"/>
    <w:bookmarkStart w:id="11" w:name="X58602ceb74034cf488bc04a3066e8859bf1fbaa"/>
    <w:p>
      <w:pPr>
        <w:pStyle w:val="Heading3"/>
      </w:pPr>
      <w:r>
        <w:t xml:space="preserve">Figure 3 | Gene-order conservation of the</w:t>
      </w:r>
      <w:r>
        <w:t xml:space="preserve"> </w:t>
      </w:r>
      <w:r>
        <w:rPr>
          <w:i/>
          <w:iCs/>
        </w:rPr>
        <w:t xml:space="preserve">ureABCDEFG</w:t>
      </w:r>
      <w:r>
        <w:t xml:space="preserve"> </w:t>
      </w:r>
      <w:r>
        <w:t xml:space="preserve">operon across hero-lineage MAGs.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Fig3_ureCah_cluster_synteny.png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Synteny diagrams of the densest</w:t>
      </w:r>
      <w:r>
        <w:t xml:space="preserve"> </w:t>
      </w:r>
      <w:r>
        <w:rPr>
          <w:i/>
          <w:iCs/>
        </w:rPr>
        <w:t xml:space="preserve">ure</w:t>
      </w:r>
      <w:r>
        <w:t xml:space="preserve">-containing contig in each hero-lineage Bakta annotation. Each horizontal track represents the ≤ 40 kb window with the greatest number of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genes for one MAG (C22, M1, S13, S16, S23, S26). Arrows are drawn to scale; arrow direction encodes strand; colours encode gene identity (legend:</w:t>
      </w:r>
      <w:r>
        <w:t xml:space="preserve"> </w:t>
      </w:r>
      <w:r>
        <w:rPr>
          <w:i/>
          <w:iCs/>
        </w:rPr>
        <w:t xml:space="preserve">ureA</w:t>
      </w:r>
      <w:r>
        <w:t xml:space="preserve"> </w:t>
      </w:r>
      <w:r>
        <w:t xml:space="preserve">blue,</w:t>
      </w:r>
      <w:r>
        <w:t xml:space="preserve"> </w:t>
      </w:r>
      <w:r>
        <w:rPr>
          <w:i/>
          <w:iCs/>
        </w:rPr>
        <w:t xml:space="preserve">ureB</w:t>
      </w:r>
      <w:r>
        <w:t xml:space="preserve"> </w:t>
      </w:r>
      <w:r>
        <w:t xml:space="preserve">green,</w:t>
      </w:r>
      <w:r>
        <w:t xml:space="preserve"> </w:t>
      </w:r>
      <w:r>
        <w:rPr>
          <w:i/>
          <w:iCs/>
        </w:rPr>
        <w:t xml:space="preserve">ureC</w:t>
      </w:r>
      <w:r>
        <w:t xml:space="preserve"> </w:t>
      </w:r>
      <w:r>
        <w:t xml:space="preserve">red,</w:t>
      </w:r>
      <w:r>
        <w:t xml:space="preserve"> </w:t>
      </w:r>
      <w:r>
        <w:rPr>
          <w:i/>
          <w:iCs/>
        </w:rPr>
        <w:t xml:space="preserve">ureD</w:t>
      </w:r>
      <w:r>
        <w:t xml:space="preserve"> </w:t>
      </w:r>
      <w:r>
        <w:t xml:space="preserve">purple,</w:t>
      </w:r>
      <w:r>
        <w:t xml:space="preserve"> </w:t>
      </w:r>
      <w:r>
        <w:rPr>
          <w:i/>
          <w:iCs/>
        </w:rPr>
        <w:t xml:space="preserve">ureE</w:t>
      </w:r>
      <w:r>
        <w:t xml:space="preserve"> </w:t>
      </w:r>
      <w:r>
        <w:t xml:space="preserve">brown,</w:t>
      </w:r>
      <w:r>
        <w:t xml:space="preserve"> </w:t>
      </w:r>
      <w:r>
        <w:rPr>
          <w:i/>
          <w:iCs/>
        </w:rPr>
        <w:t xml:space="preserve">ureF</w:t>
      </w:r>
      <w:r>
        <w:t xml:space="preserve"> </w:t>
      </w:r>
      <w:r>
        <w:t xml:space="preserve">pink,</w:t>
      </w:r>
      <w:r>
        <w:t xml:space="preserve"> </w:t>
      </w:r>
      <w:r>
        <w:rPr>
          <w:i/>
          <w:iCs/>
        </w:rPr>
        <w:t xml:space="preserve">ureG</w:t>
      </w:r>
      <w:r>
        <w:t xml:space="preserve"> </w:t>
      </w:r>
      <w:r>
        <w:t xml:space="preserve">cyan,</w:t>
      </w:r>
      <w:r>
        <w:t xml:space="preserve"> </w:t>
      </w:r>
      <w:r>
        <w:rPr>
          <w:i/>
          <w:iCs/>
        </w:rPr>
        <w:t xml:space="preserve">cah</w:t>
      </w:r>
      <w:r>
        <w:t xml:space="preserve"> </w:t>
      </w:r>
      <w:r>
        <w:t xml:space="preserve">orange, other grey). All 7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genes are recovered on a single contig within a 5.9–28.6 kb window in the three best-assembled hero MAGs (M1, S13, S16); in C22, S23 and S26 a subset of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genes is retained on the main contig (4–5 / 7) with the remainder on secondary contigs, consistent with assembly fragmentation (Table 1). No transposase, integrase, prophage or relaxase gene is detected in ±15 kb flanking any hero cluster (Supplementary Table S3).</w:t>
      </w:r>
    </w:p>
    <w:bookmarkEnd w:id="11"/>
    <w:bookmarkStart w:id="12" w:name="X1f52c185367d692a9cffa6b67f677e26f00a7c2"/>
    <w:p>
      <w:pPr>
        <w:pStyle w:val="Heading3"/>
      </w:pPr>
      <w:r>
        <w:t xml:space="preserve">Figure 4 | DRAM metabolic-module heat map and hero-vs-rest comparison of MICP-critical modules.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extra/Fig4_DRAM_metabolism_heatmap.png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extra/Fig4b_DRAM_HeroVsRest.png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Module-completeness heat map (DRAM v1.5</w:t>
      </w:r>
      <w:r>
        <w:t xml:space="preserve"> </w:t>
      </w:r>
      <w:r>
        <w:rPr>
          <w:rStyle w:val="VerbatimChar"/>
        </w:rPr>
        <w:t xml:space="preserve">distill/product.tsv</w:t>
      </w:r>
      <w:r>
        <w:t xml:space="preserve">) for 111 MAGs × 35 curated KEGG/custom modules spanning central carbon metabolism, nitrogen metabolism, stress response, vitamin (cobalamin / B12) biosynthesis, and CAZyme categories. Row labels give MAG identifier and GTDB genus; hero-lineage rows are highlighted in red bold. Colour intensity encodes fractional module completeness (0 to 1). Housekeeping modules (glycolysis, TCA, fatty-acid biosynthesis) are comparably complete in hero and non-hero MAGs.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Mean module completeness of MICP-critical modules (urease, carbonic anhydrase, nitrogen metabolism, Na⁺/H⁺ antiport, cobalamin biosynthesis, CAZymes/carbohydrate metabolism) in hero MAGs (red, n = 6) versus the remaining MAGs (grey, n = 105).</w:t>
      </w:r>
    </w:p>
    <w:bookmarkEnd w:id="12"/>
    <w:bookmarkStart w:id="13" w:name="X7835a0e59b0908540adc549dde0b35c5c26daba"/>
    <w:p>
      <w:pPr>
        <w:pStyle w:val="Heading3"/>
      </w:pPr>
      <w:r>
        <w:t xml:space="preserve">Figure 5 | Novel-species delineation of S13 and S16 within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extra/Fig_T2d_Novelty_overview.png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extra/novel_species/Fig_NovelSp_AAI.png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Novelty screen. Each MAG is one point; the y-axis is the GTDB closest-reference ANI, and the dashed red line marks the 95 % species cutoff. Hero-lineage MAGs are enlarged and red-labelled. Twenty-one of 111 MAGs fall below 95 %, including S13 and S16 (no species-level ANI available).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Amino-acid identity of S13 (left) and S16 (right) versus the other five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MAGs, computed from reciprocal-best mmseqs2 easy-search hits. Dashed vertical lines mark the 95 % (species) and 70 % (genus) AAI thresholds. Maximum AAI = 93.15 % (S13 vs V3) and 93.49 % (S16 vs S23); both well below the species threshold.</w:t>
      </w:r>
    </w:p>
    <w:bookmarkEnd w:id="13"/>
    <w:bookmarkStart w:id="14" w:name="Xed3472ef6d18e024fad45c881cde15f74758ee2"/>
    <w:p>
      <w:pPr>
        <w:pStyle w:val="Heading3"/>
      </w:pPr>
      <w:r>
        <w:t xml:space="preserve">Figure 6 | Permutation-tested hero-vs-rest enrichment of trait modules.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revision/Fig_Permutation_forest.png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Forest-style plot of fold-change enrichment (log-scale x-axis) for trait subcategories with fold change &gt; 1, ranked by magnitude. Points are fold change; error bars are 2,000-iteration bootstrap 95 % CI. Point colour encodes significance level after Benjamini–Hochberg FDR correction on 10,000-iteration one-sided permutation p-values: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q &lt; 0.05,</w:t>
      </w:r>
      <w:r>
        <w:t xml:space="preserve"> </w:t>
      </w:r>
      <w:r>
        <w:rPr>
          <w:b/>
          <w:bCs/>
        </w:rPr>
        <w:t xml:space="preserve">orange</w:t>
      </w:r>
      <w:r>
        <w:t xml:space="preserve"> </w:t>
      </w:r>
      <w:r>
        <w:t xml:space="preserve">q &lt; 0.10,</w:t>
      </w:r>
      <w:r>
        <w:t xml:space="preserve"> </w:t>
      </w:r>
      <w:r>
        <w:rPr>
          <w:b/>
          <w:bCs/>
        </w:rPr>
        <w:t xml:space="preserve">grey</w:t>
      </w:r>
      <w:r>
        <w:t xml:space="preserve"> </w:t>
      </w:r>
      <w:r>
        <w:t xml:space="preserve">n.s. Modules significantly enriched in the hero lineage include Mrp complex (FC 10.85), CBM (9.78), oxidative-stress defence (4.76), glycoside hydrolase (4.66), quorum sensing (2.13) and Na⁺/H⁺ antiporter (2.30). Complete statistics in Supplementary Table S2 (</w:t>
      </w:r>
      <w:r>
        <w:rPr>
          <w:rStyle w:val="VerbatimChar"/>
        </w:rPr>
        <w:t xml:space="preserve">Hero_vs_Rest_permutation_stats.csv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supplementary-figures"/>
    <w:p>
      <w:pPr>
        <w:pStyle w:val="Heading2"/>
      </w:pPr>
      <w:r>
        <w:t xml:space="preserve">Supplementary figures</w:t>
      </w:r>
    </w:p>
    <w:bookmarkStart w:id="16" w:name="X5cec45ac5acae7c05c6663a264b2439597e784c"/>
    <w:p>
      <w:pPr>
        <w:pStyle w:val="Heading3"/>
      </w:pPr>
      <w:r>
        <w:t xml:space="preserve">Figure S1 | Biofilm / EPS gene modules across the 111-MAG panel.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extra/Fig_T1a_Biofilm_EPS_heatmap.png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  <w:r>
        <w:t xml:space="preserve"> </w:t>
      </w:r>
      <w:r>
        <w:t xml:space="preserve">Keyword-based EPS/biofilm heat map (per 10³ CDS) covering pel, psl, pga, cellulose (bcs), alginate (alg), curli (csg), colanic (wca), capsule (wz*/cps), adhesin/autotransporter, and quorum-sensing subcategories. Hero-lineage rows red bold.</w:t>
      </w:r>
    </w:p>
    <w:bookmarkEnd w:id="16"/>
    <w:bookmarkStart w:id="17" w:name="Xb9af130ca78e79ff2ca30de0cf8bc3cae98b63c"/>
    <w:p>
      <w:pPr>
        <w:pStyle w:val="Heading3"/>
      </w:pPr>
      <w:r>
        <w:t xml:space="preserve">Figure S2 | Ammonia-handling and nitrogen-assimilation modules.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extra/Fig_T1b_Ammonia_detox_heatmap.png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  <w:r>
        <w:t xml:space="preserve"> </w:t>
      </w:r>
      <w:r>
        <w:t xml:space="preserve">Heat map of urea transport (urt, urea transporter), GS-GOGAT (glnA, gltBD), GDH, AmtB, PII regulators (glnB/K) and nitrate/nitrite reductase pathways.</w:t>
      </w:r>
    </w:p>
    <w:bookmarkEnd w:id="17"/>
    <w:bookmarkStart w:id="18" w:name="X147a0854000d6ee2654e899492ebad4fbd338d0"/>
    <w:p>
      <w:pPr>
        <w:pStyle w:val="Heading3"/>
      </w:pPr>
      <w:r>
        <w:t xml:space="preserve">Figure S3 | Alkaline and osmotic-stress tolerance modules.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extra/Fig_T2a_Alkaline_stress_heatmap.png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  <w:r>
        <w:t xml:space="preserve"> </w:t>
      </w:r>
      <w:r>
        <w:t xml:space="preserve">Per-MAG counts of</w:t>
      </w:r>
      <w:r>
        <w:t xml:space="preserve"> </w:t>
      </w:r>
      <w:r>
        <w:rPr>
          <w:i/>
          <w:iCs/>
        </w:rPr>
        <w:t xml:space="preserve">nhaA–C</w:t>
      </w:r>
      <w:r>
        <w:t xml:space="preserve">, Mrp complex, Kdp / Trk K⁺ uptake, compatible-solute biosynthesis (</w:t>
      </w:r>
      <w:r>
        <w:rPr>
          <w:i/>
          <w:iCs/>
        </w:rPr>
        <w:t xml:space="preserve">opu</w:t>
      </w:r>
      <w:r>
        <w:t xml:space="preserve">,</w:t>
      </w:r>
      <w:r>
        <w:t xml:space="preserve"> </w:t>
      </w:r>
      <w:r>
        <w:rPr>
          <w:i/>
          <w:iCs/>
        </w:rPr>
        <w:t xml:space="preserve">pro</w:t>
      </w:r>
      <w:r>
        <w:t xml:space="preserve">,</w:t>
      </w:r>
      <w:r>
        <w:t xml:space="preserve"> </w:t>
      </w:r>
      <w:r>
        <w:rPr>
          <w:i/>
          <w:iCs/>
        </w:rPr>
        <w:t xml:space="preserve">betA/B</w:t>
      </w:r>
      <w:r>
        <w:t xml:space="preserve">,</w:t>
      </w:r>
      <w:r>
        <w:t xml:space="preserve"> </w:t>
      </w:r>
      <w:r>
        <w:rPr>
          <w:i/>
          <w:iCs/>
        </w:rPr>
        <w:t xml:space="preserve">ect</w:t>
      </w:r>
      <w:r>
        <w:t xml:space="preserve">), chaperones (</w:t>
      </w:r>
      <w:r>
        <w:rPr>
          <w:i/>
          <w:iCs/>
        </w:rPr>
        <w:t xml:space="preserve">groEL/ES</w:t>
      </w:r>
      <w:r>
        <w:t xml:space="preserve">,</w:t>
      </w:r>
      <w:r>
        <w:t xml:space="preserve"> </w:t>
      </w:r>
      <w:r>
        <w:rPr>
          <w:i/>
          <w:iCs/>
        </w:rPr>
        <w:t xml:space="preserve">dnaK/J</w:t>
      </w:r>
      <w:r>
        <w:t xml:space="preserve">,</w:t>
      </w:r>
      <w:r>
        <w:t xml:space="preserve"> </w:t>
      </w:r>
      <w:r>
        <w:rPr>
          <w:i/>
          <w:iCs/>
        </w:rPr>
        <w:t xml:space="preserve">clpB</w:t>
      </w:r>
      <w:r>
        <w:t xml:space="preserve">) and oxidative-stress defences (</w:t>
      </w:r>
      <w:r>
        <w:rPr>
          <w:i/>
          <w:iCs/>
        </w:rPr>
        <w:t xml:space="preserve">katA/B/G</w:t>
      </w:r>
      <w:r>
        <w:t xml:space="preserve">,</w:t>
      </w:r>
      <w:r>
        <w:t xml:space="preserve"> </w:t>
      </w:r>
      <w:r>
        <w:rPr>
          <w:i/>
          <w:iCs/>
        </w:rPr>
        <w:t xml:space="preserve">sodA/B/C</w:t>
      </w:r>
      <w:r>
        <w:t xml:space="preserve">,</w:t>
      </w:r>
      <w:r>
        <w:t xml:space="preserve"> </w:t>
      </w:r>
      <w:r>
        <w:rPr>
          <w:i/>
          <w:iCs/>
        </w:rPr>
        <w:t xml:space="preserve">ahpCF</w:t>
      </w:r>
      <w:r>
        <w:t xml:space="preserve">).</w:t>
      </w:r>
    </w:p>
    <w:bookmarkEnd w:id="18"/>
    <w:bookmarkStart w:id="19" w:name="Xd1dbe410483cbb45ec461504988f1ff7bee79fe"/>
    <w:p>
      <w:pPr>
        <w:pStyle w:val="Heading3"/>
      </w:pPr>
      <w:r>
        <w:t xml:space="preserve">Figure S4 | CAZyme profile: keyword proxy and DRAM/dbCAN validation.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extra/Fig_T2b_CAZyme_heatmap.png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revision/Fig_dbCAN_classes.png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revision/Fig_dbCAN_topFamilies.png</w:t>
      </w:r>
      <w:r>
        <w:rPr>
          <w:i/>
          <w:iCs/>
        </w:rPr>
        <w:t xml:space="preserve">)</w:t>
      </w:r>
      <w:r>
        <w:t xml:space="preserve"> </w:t>
      </w:r>
      <w:r>
        <w:t xml:space="preserve">Keyword-based CAZy proxy heat map and dbCAN-derived class-level and family-level profiles. Both approaches identify hero-lineage enrichment of glycoside hydrolases and carbohydrate-binding modules.</w:t>
      </w:r>
    </w:p>
    <w:bookmarkEnd w:id="19"/>
    <w:bookmarkStart w:id="20" w:name="Xb83b25db44490160c281bba94175869c92956cb"/>
    <w:p>
      <w:pPr>
        <w:pStyle w:val="Heading3"/>
      </w:pPr>
      <w:r>
        <w:t xml:space="preserve">Figure S5 | Heavy-metal and antibiotic-resistance gene modules.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extra/Fig_T2c_MetalAMR_heatmap.png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  <w:r>
        <w:t xml:space="preserve"> </w:t>
      </w:r>
      <w:r>
        <w:t xml:space="preserve">Heavy-metal efflux (</w:t>
      </w:r>
      <w:r>
        <w:rPr>
          <w:i/>
          <w:iCs/>
        </w:rPr>
        <w:t xml:space="preserve">czc, cop, cus, ars, mer, znt</w:t>
      </w:r>
      <w:r>
        <w:t xml:space="preserve">), metallothioneins, β-lactamases, MDR efflux (</w:t>
      </w:r>
      <w:r>
        <w:rPr>
          <w:i/>
          <w:iCs/>
        </w:rPr>
        <w:t xml:space="preserve">acr, mex,</w:t>
      </w:r>
      <w:r>
        <w:t xml:space="preserve"> </w:t>
      </w:r>
      <w:r>
        <w:t xml:space="preserve">MATE), aminoglycoside/tetracycline/macrolide determinants.</w:t>
      </w:r>
    </w:p>
    <w:bookmarkEnd w:id="20"/>
    <w:bookmarkStart w:id="21" w:name="X4b4279f941ed1a9d75c4cba0d4dd57a74ea43ce"/>
    <w:p>
      <w:pPr>
        <w:pStyle w:val="Heading3"/>
      </w:pPr>
      <w:r>
        <w:t xml:space="preserve">Figure S6 | Pairwise ANI within hero lineages.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extra/Fig_T2d_HeroANI.png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.pdf</w:t>
      </w:r>
      <w:r>
        <w:rPr>
          <w:i/>
          <w:iCs/>
        </w:rPr>
        <w:t xml:space="preserve">)</w:t>
      </w:r>
      <w:r>
        <w:t xml:space="preserve"> </w:t>
      </w:r>
      <w:r>
        <w:t xml:space="preserve">skani whole-genome ANI heat map among the six hero-lineage MAGs.</w:t>
      </w:r>
    </w:p>
    <w:bookmarkEnd w:id="21"/>
    <w:bookmarkStart w:id="22" w:name="figure-s7-urec-gene-tree-topology."/>
    <w:p>
      <w:pPr>
        <w:pStyle w:val="Heading3"/>
      </w:pPr>
      <w:r>
        <w:t xml:space="preserve">Figure S7 | UreC gene tree topology.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revision/ureC_tree/ureC.treefile</w:t>
      </w:r>
      <w:r>
        <w:rPr>
          <w:i/>
          <w:iCs/>
        </w:rPr>
        <w:t xml:space="preserve">; pruned versions for comparison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revision/ureC_tree/</w:t>
      </w:r>
      <w:r>
        <w:rPr>
          <w:i/>
          <w:iCs/>
        </w:rPr>
        <w:t xml:space="preserve">)</w:t>
      </w:r>
      <w:r>
        <w:t xml:space="preserve"> </w:t>
      </w:r>
      <w:r>
        <w:t xml:space="preserve">ML UreC gene tree (n = 46 ureC-encoding MAGs) with ultrafast bootstrap support. Hero-lineage tips marked. The gene tree is topologically incongruent with the GTDB-Tk bac120 species tree (normalised Robinson–Foulds = 0.58; SH test rejecting species tree against the</w:t>
      </w:r>
      <w:r>
        <w:t xml:space="preserve"> </w:t>
      </w:r>
      <w:r>
        <w:rPr>
          <w:i/>
          <w:iCs/>
        </w:rPr>
        <w:t xml:space="preserve">ureC</w:t>
      </w:r>
      <w:r>
        <w:t xml:space="preserve"> </w:t>
      </w:r>
      <w:r>
        <w:t xml:space="preserve">alignment, p &lt; 0.001), indicating lineage-specific evolutionary dynamics on urease. Within each hero lineage the topology is consistent with vertical inheritance.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supplementary-tables"/>
    <w:p>
      <w:pPr>
        <w:pStyle w:val="Heading2"/>
      </w:pPr>
      <w:r>
        <w:t xml:space="preserve">Supplementary tables</w:t>
      </w:r>
    </w:p>
    <w:bookmarkStart w:id="24" w:name="table-s1-mag-statistics-and-taxonomy."/>
    <w:p>
      <w:pPr>
        <w:pStyle w:val="Heading3"/>
      </w:pPr>
      <w:r>
        <w:t xml:space="preserve">Table S1 | MAG statistics and taxonomy.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MAGs_FASTA_files/ace_samples_list.csv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research/extra/novel_species/MIGS_lite_Sphingobacterium.csv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research/revision/hero_cluster_audit.csv</w:t>
      </w:r>
      <w:r>
        <w:t xml:space="preserve">.) Per-MAG waste source, genome size, N50, scaffold/contig counts, GC, CDS/tRNA/rRNA counts, GTDB classification, closest-reference ANI; expanded MIGS-lite view for the six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MAGs; and per-hero cluster-contiguity audit.</w:t>
      </w:r>
    </w:p>
    <w:bookmarkEnd w:id="24"/>
    <w:bookmarkStart w:id="25" w:name="Xdd1c4bdd0f1842936e72b49a620338be20a284d"/>
    <w:p>
      <w:pPr>
        <w:pStyle w:val="Heading3"/>
      </w:pPr>
      <w:r>
        <w:t xml:space="preserve">Table S2 | Trait-module keyword dictionaries, raw counts, and permutation statistics.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research/extra/gene_category_counts.csv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research/extra/gene_category_per1k_CDS.csv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research/revision/Hero_vs_Rest_permutation_stats.csv</w:t>
      </w:r>
      <w:r>
        <w:t xml:space="preserve">.) Keyword definitions for the six trait modules; raw and per-10³-CDS normalised hit counts for every MAG × subcategory; observed fold change, bootstrap 95 % CI, one-sided permutation p-value (10,000 iterations) and Mann–Whitney U p-value with Benjamini–Hochberg q-values at the module level.</w:t>
      </w:r>
    </w:p>
    <w:bookmarkEnd w:id="25"/>
    <w:bookmarkStart w:id="26" w:name="X62c05729cd0c7269cf61d40a4e4fa87f19f5bc0"/>
    <w:p>
      <w:pPr>
        <w:pStyle w:val="Heading3"/>
      </w:pPr>
      <w:r>
        <w:t xml:space="preserve">Table S3 | Mobile-element and GC analysis of the hero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cluster.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research/extra/HGT_ureCah_cluster.csv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research/revision/hero_cluster_audit.csv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research/revision/hero_gene_contig_distribution.csv</w:t>
      </w:r>
      <w:r>
        <w:t xml:space="preserve">.) Hero-MAG coordinates of the main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contig, detected mobile-element counts in ±15 kb, regional GC, and gene-to-contig distribution for every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cah</w:t>
      </w:r>
      <w:r>
        <w:t xml:space="preserve"> </w:t>
      </w:r>
      <w:r>
        <w:t xml:space="preserve">copy in every hero MAG.</w:t>
      </w:r>
    </w:p>
    <w:bookmarkEnd w:id="26"/>
    <w:bookmarkStart w:id="27" w:name="X0bd92b79d6ac8430da2d766ed72271ec47a3ea7"/>
    <w:p>
      <w:pPr>
        <w:pStyle w:val="Heading3"/>
      </w:pPr>
      <w:r>
        <w:t xml:space="preserve">Table S4 | Whole-genome and amino-acid identity matrices.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research/extra/skani_full_matrix.csv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research/extra/skani_triangle.tsv.af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research/extra/novel_species/AAI_S13_S16_vs_Sphingobacterium.csv</w:t>
      </w:r>
      <w:r>
        <w:t xml:space="preserve">.) Pairwise skani ANI (and alignment fraction) matrix for all 111 MAGs; reciprocal-best mmseqs2 AAI of S13/S16 against the remaining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MAGs.</w:t>
      </w:r>
    </w:p>
    <w:bookmarkEnd w:id="27"/>
    <w:bookmarkStart w:id="28" w:name="table-s5-dram-distillate-outputs."/>
    <w:p>
      <w:pPr>
        <w:pStyle w:val="Heading3"/>
      </w:pPr>
      <w:r>
        <w:t xml:space="preserve">Table S5 | DRAM distillate outputs.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/data/pangenome_work/dram_output/distillate/product.tsv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metabolism_summary.xlsx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genome_stats.tsv</w:t>
      </w:r>
      <w:r>
        <w:t xml:space="preserve">.) DRAM v1.5</w:t>
      </w:r>
      <w:r>
        <w:t xml:space="preserve"> </w:t>
      </w:r>
      <w:r>
        <w:rPr>
          <w:rStyle w:val="VerbatimChar"/>
        </w:rPr>
        <w:t xml:space="preserve">distill</w:t>
      </w:r>
      <w:r>
        <w:t xml:space="preserve"> </w:t>
      </w:r>
      <w:r>
        <w:t xml:space="preserve">output covering 98 modules across 111 MAGs, including Excel workbook and interactive HTML product report.</w:t>
      </w:r>
    </w:p>
    <w:bookmarkEnd w:id="28"/>
    <w:bookmarkStart w:id="29" w:name="table-s6-dbcan-cazyme-profile."/>
    <w:p>
      <w:pPr>
        <w:pStyle w:val="Heading3"/>
      </w:pPr>
      <w:r>
        <w:t xml:space="preserve">Table S6 | dbCAN CAZyme profile.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research/revision/dbCAN_class_counts.csv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dbCAN_class_per1k_CDS.csv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dbCAN_family_counts.csv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dbCAN_hero_vs_rest_class.csv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dbCAN_hero_vs_rest_family.csv</w:t>
      </w:r>
      <w:r>
        <w:t xml:space="preserve">.) CAZy class- and family-level counts and hero-vs-rest comparison derived from the DRAM dbCAN annotation column.</w:t>
      </w:r>
    </w:p>
    <w:bookmarkEnd w:id="29"/>
    <w:bookmarkStart w:id="30" w:name="Xcf70ee7649db2adab8334d20c1eb30dee460427"/>
    <w:p>
      <w:pPr>
        <w:pStyle w:val="Heading3"/>
      </w:pPr>
      <w:r>
        <w:t xml:space="preserve">Table S7 |</w:t>
      </w:r>
      <w:r>
        <w:t xml:space="preserve"> </w:t>
      </w:r>
      <w:r>
        <w:rPr>
          <w:i/>
          <w:iCs/>
        </w:rPr>
        <w:t xml:space="preserve">ureC</w:t>
      </w:r>
      <w:r>
        <w:t xml:space="preserve"> </w:t>
      </w:r>
      <w:r>
        <w:t xml:space="preserve">gene tree versus species tree congruence.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research/revision/ureC_tree/RF_result.txt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SHtest.iqtree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ureC.treefile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species_pruned.tre</w:t>
      </w:r>
      <w:r>
        <w:t xml:space="preserve">,</w:t>
      </w:r>
      <w:r>
        <w:t xml:space="preserve"> </w:t>
      </w:r>
      <w:r>
        <w:rPr>
          <w:rStyle w:val="VerbatimChar"/>
        </w:rPr>
        <w:t xml:space="preserve">ureC_pruned.tre</w:t>
      </w:r>
      <w:r>
        <w:t xml:space="preserve">,</w:t>
      </w:r>
      <w:r>
        <w:t xml:space="preserve"> </w:t>
      </w:r>
      <w:r>
        <w:rPr>
          <w:rStyle w:val="VerbatimChar"/>
        </w:rPr>
        <w:t xml:space="preserve">ureC_samples.csv</w:t>
      </w:r>
      <w:r>
        <w:t xml:space="preserve">.) Robinson–Foulds distance, Shimodaira–Hasegawa and approximately-unbiased test p-values, and the ML gene and species trees used for comparison.</w:t>
      </w:r>
    </w:p>
    <w:bookmarkEnd w:id="30"/>
    <w:bookmarkStart w:id="31" w:name="Xf0c1e612031f9b32ac6cad587e34962793cc57a"/>
    <w:p>
      <w:pPr>
        <w:pStyle w:val="Heading3"/>
      </w:pPr>
      <w:r>
        <w:t xml:space="preserve">Table S8 | Novelty screen and MIGS-lite for candidate novel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species.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research/extra/novelty_ANI_screen.csv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research/extra/novel_species/MIGS_lite_Sphingobacterium.csv</w:t>
      </w:r>
      <w:r>
        <w:t xml:space="preserve">.) Per-MAG ANI-based novelty classification for the full panel and MIGS-lite parameters for S13 and S16.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2026-04-12T08:49:52Z</dcterms:created>
  <dcterms:modified xsi:type="dcterms:W3CDTF">2026-04-12T08:49:52Z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