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② 처분의 내용</w:t>
      </w:r>
    </w:p>
    <w:p>
      <w:r>
        <w:t>건강보험료가 너무 많이 나왔습니다.</w:t>
        <w:br/>
        <w:t>공단에서 잘못 계산한 것 같아요.</w:t>
        <w:br/>
        <w:t>작년에 소득이 줄었는데 그대로 나와서 이상합니다.</w:t>
      </w:r>
    </w:p>
    <w:p>
      <w:pPr>
        <w:pStyle w:val="Heading2"/>
      </w:pPr>
      <w:r>
        <w:t>④ 이의신청의 취지와 사유</w:t>
      </w:r>
    </w:p>
    <w:p>
      <w:r>
        <w:t>돈이 너무 많이 나왔고, 계산이 잘못된 것 같습니다.</w:t>
        <w:br/>
        <w:t>다시 계산해 주셨으면 합니다.</w:t>
        <w:br/>
        <w:t>증빙자료는 나중에 제출하겠습니다.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