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공통 생성형 AI와 기관별 투자판단의 차이</w:t>
      </w:r>
    </w:p>
    <w:p>
      <w:pPr>
        <w:pStyle w:val="Subtitle"/>
      </w:pPr>
      <w:r>
        <w:t>공개 산업전망의 반영과 근거 검증 절차에 관한 탐색적 사례연구</w:t>
      </w:r>
    </w:p>
    <w:p>
      <w:pPr>
        <w:spacing w:after="180"/>
      </w:pPr>
      <w:r>
        <w:rPr>
          <w:sz w:val="18"/>
        </w:rPr>
        <w:t>2026년 10월 26일  |  v5.3</w:t>
      </w:r>
    </w:p>
    <w:p>
      <w:pPr>
        <w:pStyle w:val="Heading1"/>
      </w:pPr>
      <w:r>
        <w:t>국문초록</w:t>
      </w:r>
    </w:p>
    <w:p>
      <w:r>
        <w:t>공통 생성형 AI가 여러 기관의 검색·요약과 배분안 작성을 지원할 때, 기관별로 필요한 판단의 차이도 약해질 수 있다. 이 가능성을 검토하려면 서로 다른 기관 근거가 최종 선택까지 어떻게 이어지는지 확인해야 한다. 본 연구는 동일한 시장 자료와 미국 주식 11개 산업을 대상으로 Fidelity와 UBS의 공개 전망을 초기·후기에 제공하거나 제공하지 않은 다섯 조건을 분석하였다. 기관 원문, 모델의 설명, 제출 비중을 대조하고 원응답과 외부 계산으로 합계를 맞춘 파생 배분을 구분하였다. 네 기관 자료 조건과 대조군의 배분 거리는 4.76~12.98%였다. 그러나 자료 요약이 정확한 뒤에도 서로 다른 배분에 같은 수치 오류가 남았고, 선택 이유와 실제 비중이 어긋났다. 정규화가 원비중의 증감 방향을 뒤집는 사례도 확인하였다. 이 결과는 자료를 제공하고 배분이 달라졌다는 사실만으로 기관별 근거가 보존되었다고 평가하기 어렵다는 점을 보여준다. 이에 기관의 전망과 모델의 추가 판단을 구분하고, 근거가 지지한 변경이 확정 비중까지 이어지는지 검증하는 절차를 제안한다. 본 사례는 과잉수렴이나 실제 시장 동질화를 직접 검증한 것이 아니며, 제안의 효과는 후속 검증 대상이다.</w:t>
      </w:r>
    </w:p>
    <w:p>
      <w:r>
        <w:t>주제어  생성형 AI, 기관별 투자판단, 판단 차이, 산업배분, 근거 충실성</w:t>
      </w:r>
    </w:p>
    <w:p>
      <w:pPr>
        <w:pStyle w:val="Heading1"/>
      </w:pPr>
      <w:r>
        <w:t>1 서론</w:t>
      </w:r>
    </w:p>
    <w:p>
      <w:r>
        <w:t>서로 다른 금융기관이 같은 생성형 AI를 사용하면, 기관별로 달라야 할 투자판단까지 비슷해질 수 있는가. 본 연구는 이 문제에서 출발한다. 그 영향은 투자결정 전체를 AI에 맡기는 경우에만 생기는 것은 아니다. 자료 검색과 요약, 투자논거 작성, 위험요인 검토에 쓰인 AI의 산출물도 다음 단계가 어떤 정보와 대안을 중요하게 볼지에 영향을 줄 수 있다. 금융안정위원회는 생성형 AI의 정보 검색·문서 요약 활용과 함께 공통 모델·자료원 의존에 따른 시장 상관성 증가를 잠재적 취약성으로 제시하였다(FSB, 2024).</w:t>
      </w:r>
    </w:p>
    <w:p>
      <w:r>
        <w:t>이때 살펴볼 경로는 개별 업무에서 사용한 공통 AI가 여러 기관의 판단 방식에 누적해서 관여할 가능성이다. 기관들이 동일한 투자 규칙을 공식적으로 채택하지 않았더라도, 같은 모델이 고른 정보와 해석이 중간산출물에 담겨 다음 판단의 입력이 될 수 있다. 최종 승인자가 서로 다르다는 사실만으로 그 이전의 판단 과정까지 독립적이라고 볼 수는 없다. 공통 모델이 어느 단계에서 기관별 근거의 차이를 유지하거나 약화시키는지 확인할 필요가 있다.</w:t>
      </w:r>
    </w:p>
    <w:p>
      <w:r>
        <w:t>여러 기관의 배분이 비슷하다는 사실 자체가 문제는 아니다. 같은 시장정보와 제약이 같은 결론을 지지한다면 수렴은 합리적일 수 있다. 반면 전망, 투자목표, 기존 보유자산과 위험한도가 다르면 적절한 판단도 달라질 수 있다. 본 연구가 관심을 두는 과잉수렴은 이러한 조건상 필요한 차이까지 줄어드는 경우이다. 따라서 배분이 얼마나 다른지와 함께 그 차이 또는 유사성이 어떤 근거에서 나왔는지를 살펴야 한다. 이 구분은 공통 알고리즘과 결과 동질화를 분리한 연구와도 연결된다(Kleinberg와 Raghavan, 2021; Bommasani 등, 2022).</w:t>
      </w:r>
    </w:p>
    <w:p>
      <w:r>
        <w:t>기관별 자료를 AI에 연결하는 방식은 이 문제에 대응할 한 방법이다. 다만 자료를 더했다는 사실과 그 자료가 지지하는 판단을 최종 배분까지 유지했다는 것은 별개의 문제다. 자료가 요약에 정확히 등장해도 비중을 정할 때 다른 이유가 덧붙거나, 이전 초안의 잘못된 전제가 남을 수 있다. 금융배분의 정보 조건 비교와 설명 충실성 연구를 함께 보면, 자료의 의미에서 선택 이유와 실제 비중으로 이어지는 연결을 확인해야 한다(Hornuf 등, 2025; Matton 등, 2025).</w:t>
      </w:r>
    </w:p>
    <w:p>
      <w:r>
        <w:t>본고는 이 연결을 관찰하기 위해 동일한 AI에 Fidelity와 UBS의 공개 산업전망을 초기 또는 후기에 제공한 네 조건과 기관 전망을 제공하지 않은 대조군을 분석하였다. 공통 시장 자료와 새 자금을 미국 주식 11개 산업에 배분하는 과제는 유지하였다. 실제 기관의 보유자산·고객 목적·위험한도와 그에 따른 정답 배분은 관측하지 않았으므로, 필요한 차이의 크기나 과잉수렴을 직접 판정하지 않는다. 기관은 공개 문서를 부여한 자료 조건을 뜻한다. 기관 자료는 직접 제공하였으며 검색을 수행하는 RAG의 효과를 비교한 실험도 아니다.</w:t>
      </w:r>
    </w:p>
    <w:p>
      <w:r>
        <w:t>분석에서는 기관 자료 조건의 최종 배분이 대조군과 달랐지만, 정확한 자료 요약 뒤에도 설명과 실제 비중이 어긋났고 서로 다른 배분에 같은 수치 오류가 남았다. 원비중의 변화와 반대 방향으로 움직인 정규화 결과도 확인하였다. 본고의 기여는 기관 자료를 제공한 뒤 어느 연결이 유지되고 어느 지점에서 끊기는지 구체화한 데 있다. 이를 토대로 기관의 전망과 모델이 덧붙인 판단을 구분하고, 그 판단이 지지한 변경을 확정 비중과 대조하는 절차를 설계한다. 사후 분석 변경을 공개한 다섯 탐색 사례이며, 제안이 판단의 차이와 품질을 함께 보존하는지는 후속 검증에서 확인해야 한다.</w:t>
      </w:r>
    </w:p>
    <w:p>
      <w:pPr>
        <w:pStyle w:val="Heading1"/>
      </w:pPr>
      <w:r>
        <w:t>2 선행연구와 연구의 위치</w:t>
      </w:r>
    </w:p>
    <w:p>
      <w:pPr>
        <w:pStyle w:val="Heading2"/>
      </w:pPr>
      <w:r>
        <w:t>2 1 공통 AI와 산출물 다양성</w:t>
      </w:r>
    </w:p>
    <w:p>
      <w:r>
        <w:t>공통 도구의 품질과 산출물 사이의 다양성은 서로 다른 평가축이다. Doshi와 Hauser(2024)는 짧은 이야기 쓰기에서 생성형 AI의 도움을 받은 산출물의 평가가 높아지면서 집단 수준의 다양성은 낮아질 수 있음을 보고하였다. Bommasani 등(2022)의 공유 모델 연구 역시 공통 모델의 사용과 결과의 동질화를 같은 현상으로 취급하기 어렵다는 점을 보여준다. 창작이나 채용의 결과를 금융배분에 직접 이전할 수는 없지만, 한 산출물의 적절성과 여러 산출물의 유사성을 나누어 평가하는 관점은 참고할 수 있다.</w:t>
      </w:r>
    </w:p>
    <w:p>
      <w:r>
        <w:t>이에 본고는 배분 간 거리를 결과의 차이를 나타내는 값으로 사용하고, 기관 근거의 충실성은 원문·설명·비중의 대응으로 별도 검토한다. 유사한 배분을 곧바로 자료 무시로 판정하거나 큰 배분 차이를 자료 반영의 성공으로 간주하지 않는다.</w:t>
      </w:r>
    </w:p>
    <w:p>
      <w:pPr>
        <w:pStyle w:val="Heading2"/>
      </w:pPr>
      <w:r>
        <w:t>2 2 금융 배분과 정보 제공 절차</w:t>
      </w:r>
    </w:p>
    <w:p>
      <w:r>
        <w:t>금융배분에서 추가 정보의 역할을 비교하려면 공통 투자 과제와 달라지는 정보 조건을 구분해야 한다. Hornuf 등(2025)의 포트폴리오 실험은 이러한 비교의 선례이며, Quek 등(2025)의 산업배분 과제는 거시 자료를 명시적인 시점과 함께 구성하는 데 참고가 된다. 두 연구를 바탕으로 공통 시장 자료와 기관별 전망을 분리하되, 본고의 평가는 투자성과 대신 문서·설명·제출 비중의 대응에 둔다.</w:t>
      </w:r>
    </w:p>
    <w:p>
      <w:r>
        <w:t>Laban 등(2025)은 다중 턴 대화에서 정보 전달과 초기 가정이 결과의 불안정성과 관련될 수 있음을 보고하였다. 본고는 이를 참고하여 기관 자료의 초기 제공과 후기 제공을 비교한다. 두 절차에서는 자료 제공 시점과 함께 노출 횟수·초안 내용·대화 이력도 달라지므로, 관측된 수정량은 이러한 절차 차이의 맥락에서 해석한다.</w:t>
      </w:r>
    </w:p>
    <w:p>
      <w:pPr>
        <w:pStyle w:val="Heading2"/>
      </w:pPr>
      <w:r>
        <w:t>2 3 근거와 선택을 연결하는 평가</w:t>
      </w:r>
    </w:p>
    <w:p>
      <w:r>
        <w:t>자료를 설명에 언급했다는 사실과 그 자료가 선택을 지지한다는 판단은 구분해야 한다. Matton 등(2025)은 설명에서 중요하다고 한 개념과 입력 개입에 실제 반응하는 개념의 대응을 살폈고, Mayne 등(2026)은 자기설명이 관련 입력에 대한 행동 예측에 제공하는 정보를 평가하였다. 전자는 설명과 근거 영향의 관계를, 후자는 설명의 예측 유용성을 묻는다는 점에서 평가 질문이 다르다.</w:t>
      </w:r>
    </w:p>
    <w:p>
      <w:r>
        <w:t>금융 과제의 배분·위험·성과를 나누는 PortBench와 근거·설명·행동의 연결을 다루는 E2A-Bench도 평가 대상을 분리한다(Zhao 등, 2026; Wang 등, 2026). 본고는 공개자료의 의미, 모델이 밝힌 해석과 채택·조정·비채택 이유, 실제 비중 또는 수정량의 대응을 관찰 단위로 삼는다. 정답 비중이 없는 과제에 외부 벤치마크의 종합점수를 그대로 적용하지 않으며, 현재 수행한 검사는 문서·설명·숫자의 대조이다. 근거 제거·교체를 이용한 개입 검사는 후속 설계로 남긴다.</w:t>
      </w:r>
    </w:p>
    <w:p>
      <w:pPr>
        <w:pStyle w:val="Heading1"/>
      </w:pPr>
      <w:r>
        <w:t>3 연구질문과 비교 논리</w:t>
      </w:r>
    </w:p>
    <w:p>
      <w:r>
        <w:t>중심 질문은 공통 AI에 제공한 서로 다른 기관 전망이 요약을 넘어 배분 선택의 근거로 이어지는가이다. 이를 자료 해석, 배분 차이, 제공 절차라는 세 관찰 질문으로 나누었다.</w:t>
      </w:r>
    </w:p>
    <w:p>
      <w:r>
        <w:t>RQ1은 기관별 공개 산업전망의 의미가 설명과 실제 비중 사이에서 유지되는가이다. 원문의 방향·범위·이유를 산업행 요약과 선택 이유에 대조하고, 모델이 밝힌 이유가 제출 비중과 일치하는지 확인한다. 기관 전망을 따르지 않았더라도 원문을 정확히 이해하고 별도 판단의 이유를 밝혔으면 그 자체를 오독으로 분류하지 않는다.</w:t>
      </w:r>
    </w:p>
    <w:p>
      <w:r>
        <w:t>RQ2는 기관 전망을 제공한 조건의 최종 배분이 공통 시장 자료만 제공한 대조군과 어떻게 다른가이다. 동일한 외부 계산을 적용한 배분 사이의 거리를 비교한다. 이 값은 선택이 달라진 정도를 보여주며, 그 차이가 기관 근거에 충실한지는 RQ1의 대조로 별도 확인한다.</w:t>
      </w:r>
    </w:p>
    <w:p>
      <w:r>
        <w:t>RQ3은 기관 자료를 초안부터 제공한 경우와 최종 검토 때 처음 제공한 경우에 근거 해석과 배분 수정이 어떻게 다른가이다. 같은 기관의 초기·후기 조건 및 각 조건의 초안·최종안을 비교한다. 자료 제공과 함께 초안·노출 횟수·대화 이력도 달라지므로, 관측된 수정 양상을 순수한 시점 효과나 절차의 우열로 해석하지 않는다.</w:t>
      </w:r>
    </w:p>
    <w:p>
      <w:pPr>
        <w:pStyle w:val="Heading1"/>
      </w:pPr>
      <w:r>
        <w:t>4 자료와 실험설계</w:t>
      </w:r>
    </w:p>
    <w:p>
      <w:pPr>
        <w:pStyle w:val="Heading2"/>
      </w:pPr>
      <w:r>
        <w:t>4 1 공통 투자 과제와 산업 범위</w:t>
      </w:r>
    </w:p>
    <w:p>
      <w:r>
        <w:t>판단 기준일은 2026년 7월 17일이며, 새로 받은 자금을 미국 주식 11개 산업에 배분하는 동일한 가상 과제를 모든 조건에 부여하였다. 판단 기간은 향후 12개월이고 목표는 자본 성장 가능성과 분산·위험의 상충관계를 설명하는 것이다. 12개월은 모델이 고려할 기간이며 실제 보유수익률을 관측한 기간은 아니다.</w:t>
      </w:r>
    </w:p>
    <w:p>
      <w:r>
        <w:t>산업은 GICS의 최상위 섹터를 의미한다(MSCI, n.d.). 표 1의 각 산업 바구니에 대응하는 ETF 수익률을 대용 자료로 사용한다. 모델은 투자하지 않는 산업에도 0을 기입하여 11개 산업을 모두 제시하고, 비음수 비중의 합계를 1로 맞추어야 한다. 현금·채권·파생상품·차입과 기존 보유자산의 매매는 과제에 포함하지 않는다. 공개자료에서 확인되지 않는 위험회피계수나 산업별 목표비중을 연구자가 임의로 부여하지 않았으며, 이러한 단순화는 실제 맞춤형 운용과의 차이로 남는다.</w:t>
      </w:r>
    </w:p>
    <w:p>
      <w:pPr>
        <w:pStyle w:val="Caption"/>
        <w:keepNext/>
      </w:pPr>
      <w:r>
        <w:t>표 1 공통 투자 대상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361"/>
        <w:gridCol w:w="4535"/>
        <w:gridCol w:w="3175"/>
      </w:tblGrid>
      <w:tr>
        <w:trPr>
          <w:tblHeader/>
          <w:cantSplit/>
        </w:trPr>
        <w:tc>
          <w:tcPr>
            <w:tcW w:type="dxa" w:w="1361"/>
            <w:vAlign w:val="center"/>
            <w:shd w:fill="E8EDF1"/>
          </w:tcPr>
          <w:p>
            <w:pPr>
              <w:pStyle w:val="TableText"/>
              <w:keepNext/>
              <w:keepLines/>
              <w:jc w:val="center"/>
            </w:pPr>
            <w:r>
              <w:rPr>
                <w:b/>
              </w:rPr>
              <w:t>GICS 코드</w:t>
            </w:r>
          </w:p>
        </w:tc>
        <w:tc>
          <w:tcPr>
            <w:tcW w:type="dxa" w:w="4535"/>
            <w:vAlign w:val="center"/>
            <w:shd w:fill="E8EDF1"/>
          </w:tcPr>
          <w:p>
            <w:pPr>
              <w:pStyle w:val="TableText"/>
              <w:keepNext/>
              <w:keepLines/>
              <w:jc w:val="center"/>
            </w:pPr>
            <w:r>
              <w:rPr>
                <w:b/>
              </w:rPr>
              <w:t>산업</w:t>
            </w:r>
          </w:p>
        </w:tc>
        <w:tc>
          <w:tcPr>
            <w:tcW w:type="dxa" w:w="3175"/>
            <w:vAlign w:val="center"/>
            <w:shd w:fill="E8EDF1"/>
          </w:tcPr>
          <w:p>
            <w:pPr>
              <w:pStyle w:val="TableText"/>
              <w:keepNext/>
              <w:keepLines/>
              <w:jc w:val="center"/>
            </w:pPr>
            <w:r>
              <w:rPr>
                <w:b/>
              </w:rPr>
              <w:t>수익률 대용 ETF</w:t>
            </w:r>
          </w:p>
        </w:tc>
      </w:tr>
      <w:tr>
        <w:trPr>
          <w:cantSplit/>
        </w:trPr>
        <w:tc>
          <w:tcPr>
            <w:tcW w:type="dxa" w:w="1361"/>
            <w:vAlign w:val="center"/>
          </w:tcPr>
          <w:p>
            <w:pPr>
              <w:pStyle w:val="TableText"/>
              <w:keepNext w:val="0"/>
              <w:keepLines/>
              <w:jc w:val="center"/>
            </w:pPr>
            <w:r>
              <w:rPr>
                <w:b w:val="0"/>
              </w:rPr>
              <w:t>10</w:t>
            </w:r>
          </w:p>
        </w:tc>
        <w:tc>
          <w:tcPr>
            <w:tcW w:type="dxa" w:w="4535"/>
            <w:vAlign w:val="center"/>
          </w:tcPr>
          <w:p>
            <w:pPr>
              <w:pStyle w:val="TableText"/>
              <w:keepNext w:val="0"/>
              <w:keepLines/>
            </w:pPr>
            <w:r>
              <w:rPr>
                <w:b w:val="0"/>
              </w:rPr>
              <w:t>에너지</w:t>
            </w:r>
          </w:p>
        </w:tc>
        <w:tc>
          <w:tcPr>
            <w:tcW w:type="dxa" w:w="3175"/>
            <w:vAlign w:val="center"/>
          </w:tcPr>
          <w:p>
            <w:pPr>
              <w:pStyle w:val="TableText"/>
              <w:keepNext w:val="0"/>
              <w:keepLines/>
            </w:pPr>
            <w:r>
              <w:rPr>
                <w:b w:val="0"/>
              </w:rPr>
              <w:t>XLE</w:t>
            </w:r>
          </w:p>
        </w:tc>
      </w:tr>
      <w:tr>
        <w:trPr>
          <w:cantSplit/>
        </w:trPr>
        <w:tc>
          <w:tcPr>
            <w:tcW w:type="dxa" w:w="1361"/>
            <w:vAlign w:val="center"/>
          </w:tcPr>
          <w:p>
            <w:pPr>
              <w:pStyle w:val="TableText"/>
              <w:keepNext w:val="0"/>
              <w:keepLines/>
              <w:jc w:val="center"/>
            </w:pPr>
            <w:r>
              <w:rPr>
                <w:b w:val="0"/>
              </w:rPr>
              <w:t>15</w:t>
            </w:r>
          </w:p>
        </w:tc>
        <w:tc>
          <w:tcPr>
            <w:tcW w:type="dxa" w:w="4535"/>
            <w:vAlign w:val="center"/>
          </w:tcPr>
          <w:p>
            <w:pPr>
              <w:pStyle w:val="TableText"/>
              <w:keepNext w:val="0"/>
              <w:keepLines/>
            </w:pPr>
            <w:r>
              <w:rPr>
                <w:b w:val="0"/>
              </w:rPr>
              <w:t>소재</w:t>
            </w:r>
          </w:p>
        </w:tc>
        <w:tc>
          <w:tcPr>
            <w:tcW w:type="dxa" w:w="3175"/>
            <w:vAlign w:val="center"/>
          </w:tcPr>
          <w:p>
            <w:pPr>
              <w:pStyle w:val="TableText"/>
              <w:keepNext w:val="0"/>
              <w:keepLines/>
            </w:pPr>
            <w:r>
              <w:rPr>
                <w:b w:val="0"/>
              </w:rPr>
              <w:t>XLB</w:t>
            </w:r>
          </w:p>
        </w:tc>
      </w:tr>
      <w:tr>
        <w:trPr>
          <w:cantSplit/>
        </w:trPr>
        <w:tc>
          <w:tcPr>
            <w:tcW w:type="dxa" w:w="1361"/>
            <w:vAlign w:val="center"/>
          </w:tcPr>
          <w:p>
            <w:pPr>
              <w:pStyle w:val="TableText"/>
              <w:keepNext w:val="0"/>
              <w:keepLines/>
              <w:jc w:val="center"/>
            </w:pPr>
            <w:r>
              <w:rPr>
                <w:b w:val="0"/>
              </w:rPr>
              <w:t>20</w:t>
            </w:r>
          </w:p>
        </w:tc>
        <w:tc>
          <w:tcPr>
            <w:tcW w:type="dxa" w:w="4535"/>
            <w:vAlign w:val="center"/>
          </w:tcPr>
          <w:p>
            <w:pPr>
              <w:pStyle w:val="TableText"/>
              <w:keepNext w:val="0"/>
              <w:keepLines/>
            </w:pPr>
            <w:r>
              <w:rPr>
                <w:b w:val="0"/>
              </w:rPr>
              <w:t>산업재</w:t>
            </w:r>
          </w:p>
        </w:tc>
        <w:tc>
          <w:tcPr>
            <w:tcW w:type="dxa" w:w="3175"/>
            <w:vAlign w:val="center"/>
          </w:tcPr>
          <w:p>
            <w:pPr>
              <w:pStyle w:val="TableText"/>
              <w:keepNext w:val="0"/>
              <w:keepLines/>
            </w:pPr>
            <w:r>
              <w:rPr>
                <w:b w:val="0"/>
              </w:rPr>
              <w:t>XLI</w:t>
            </w:r>
          </w:p>
        </w:tc>
      </w:tr>
      <w:tr>
        <w:trPr>
          <w:cantSplit/>
        </w:trPr>
        <w:tc>
          <w:tcPr>
            <w:tcW w:type="dxa" w:w="1361"/>
            <w:vAlign w:val="center"/>
          </w:tcPr>
          <w:p>
            <w:pPr>
              <w:pStyle w:val="TableText"/>
              <w:keepNext w:val="0"/>
              <w:keepLines/>
              <w:jc w:val="center"/>
            </w:pPr>
            <w:r>
              <w:rPr>
                <w:b w:val="0"/>
              </w:rPr>
              <w:t>25</w:t>
            </w:r>
          </w:p>
        </w:tc>
        <w:tc>
          <w:tcPr>
            <w:tcW w:type="dxa" w:w="4535"/>
            <w:vAlign w:val="center"/>
          </w:tcPr>
          <w:p>
            <w:pPr>
              <w:pStyle w:val="TableText"/>
              <w:keepNext w:val="0"/>
              <w:keepLines/>
            </w:pPr>
            <w:r>
              <w:rPr>
                <w:b w:val="0"/>
              </w:rPr>
              <w:t>경기소비재</w:t>
            </w:r>
          </w:p>
        </w:tc>
        <w:tc>
          <w:tcPr>
            <w:tcW w:type="dxa" w:w="3175"/>
            <w:vAlign w:val="center"/>
          </w:tcPr>
          <w:p>
            <w:pPr>
              <w:pStyle w:val="TableText"/>
              <w:keepNext w:val="0"/>
              <w:keepLines/>
            </w:pPr>
            <w:r>
              <w:rPr>
                <w:b w:val="0"/>
              </w:rPr>
              <w:t>XLY</w:t>
            </w:r>
          </w:p>
        </w:tc>
      </w:tr>
      <w:tr>
        <w:trPr>
          <w:cantSplit/>
        </w:trPr>
        <w:tc>
          <w:tcPr>
            <w:tcW w:type="dxa" w:w="1361"/>
            <w:vAlign w:val="center"/>
          </w:tcPr>
          <w:p>
            <w:pPr>
              <w:pStyle w:val="TableText"/>
              <w:keepNext w:val="0"/>
              <w:keepLines/>
              <w:jc w:val="center"/>
            </w:pPr>
            <w:r>
              <w:rPr>
                <w:b w:val="0"/>
              </w:rPr>
              <w:t>30</w:t>
            </w:r>
          </w:p>
        </w:tc>
        <w:tc>
          <w:tcPr>
            <w:tcW w:type="dxa" w:w="4535"/>
            <w:vAlign w:val="center"/>
          </w:tcPr>
          <w:p>
            <w:pPr>
              <w:pStyle w:val="TableText"/>
              <w:keepNext w:val="0"/>
              <w:keepLines/>
            </w:pPr>
            <w:r>
              <w:rPr>
                <w:b w:val="0"/>
              </w:rPr>
              <w:t>필수소비재</w:t>
            </w:r>
          </w:p>
        </w:tc>
        <w:tc>
          <w:tcPr>
            <w:tcW w:type="dxa" w:w="3175"/>
            <w:vAlign w:val="center"/>
          </w:tcPr>
          <w:p>
            <w:pPr>
              <w:pStyle w:val="TableText"/>
              <w:keepNext w:val="0"/>
              <w:keepLines/>
            </w:pPr>
            <w:r>
              <w:rPr>
                <w:b w:val="0"/>
              </w:rPr>
              <w:t>XLP</w:t>
            </w:r>
          </w:p>
        </w:tc>
      </w:tr>
      <w:tr>
        <w:trPr>
          <w:cantSplit/>
        </w:trPr>
        <w:tc>
          <w:tcPr>
            <w:tcW w:type="dxa" w:w="1361"/>
            <w:vAlign w:val="center"/>
          </w:tcPr>
          <w:p>
            <w:pPr>
              <w:pStyle w:val="TableText"/>
              <w:keepNext w:val="0"/>
              <w:keepLines/>
              <w:jc w:val="center"/>
            </w:pPr>
            <w:r>
              <w:rPr>
                <w:b w:val="0"/>
              </w:rPr>
              <w:t>35</w:t>
            </w:r>
          </w:p>
        </w:tc>
        <w:tc>
          <w:tcPr>
            <w:tcW w:type="dxa" w:w="4535"/>
            <w:vAlign w:val="center"/>
          </w:tcPr>
          <w:p>
            <w:pPr>
              <w:pStyle w:val="TableText"/>
              <w:keepNext w:val="0"/>
              <w:keepLines/>
            </w:pPr>
            <w:r>
              <w:rPr>
                <w:b w:val="0"/>
              </w:rPr>
              <w:t>헬스케어</w:t>
            </w:r>
          </w:p>
        </w:tc>
        <w:tc>
          <w:tcPr>
            <w:tcW w:type="dxa" w:w="3175"/>
            <w:vAlign w:val="center"/>
          </w:tcPr>
          <w:p>
            <w:pPr>
              <w:pStyle w:val="TableText"/>
              <w:keepNext w:val="0"/>
              <w:keepLines/>
            </w:pPr>
            <w:r>
              <w:rPr>
                <w:b w:val="0"/>
              </w:rPr>
              <w:t>XLV</w:t>
            </w:r>
          </w:p>
        </w:tc>
      </w:tr>
      <w:tr>
        <w:trPr>
          <w:cantSplit/>
        </w:trPr>
        <w:tc>
          <w:tcPr>
            <w:tcW w:type="dxa" w:w="1361"/>
            <w:vAlign w:val="center"/>
          </w:tcPr>
          <w:p>
            <w:pPr>
              <w:pStyle w:val="TableText"/>
              <w:keepNext w:val="0"/>
              <w:keepLines/>
              <w:jc w:val="center"/>
            </w:pPr>
            <w:r>
              <w:rPr>
                <w:b w:val="0"/>
              </w:rPr>
              <w:t>40</w:t>
            </w:r>
          </w:p>
        </w:tc>
        <w:tc>
          <w:tcPr>
            <w:tcW w:type="dxa" w:w="4535"/>
            <w:vAlign w:val="center"/>
          </w:tcPr>
          <w:p>
            <w:pPr>
              <w:pStyle w:val="TableText"/>
              <w:keepNext w:val="0"/>
              <w:keepLines/>
            </w:pPr>
            <w:r>
              <w:rPr>
                <w:b w:val="0"/>
              </w:rPr>
              <w:t>금융</w:t>
            </w:r>
          </w:p>
        </w:tc>
        <w:tc>
          <w:tcPr>
            <w:tcW w:type="dxa" w:w="3175"/>
            <w:vAlign w:val="center"/>
          </w:tcPr>
          <w:p>
            <w:pPr>
              <w:pStyle w:val="TableText"/>
              <w:keepNext w:val="0"/>
              <w:keepLines/>
            </w:pPr>
            <w:r>
              <w:rPr>
                <w:b w:val="0"/>
              </w:rPr>
              <w:t>XLF</w:t>
            </w:r>
          </w:p>
        </w:tc>
      </w:tr>
      <w:tr>
        <w:trPr>
          <w:cantSplit/>
        </w:trPr>
        <w:tc>
          <w:tcPr>
            <w:tcW w:type="dxa" w:w="1361"/>
            <w:vAlign w:val="center"/>
          </w:tcPr>
          <w:p>
            <w:pPr>
              <w:pStyle w:val="TableText"/>
              <w:keepNext w:val="0"/>
              <w:keepLines/>
              <w:jc w:val="center"/>
            </w:pPr>
            <w:r>
              <w:rPr>
                <w:b w:val="0"/>
              </w:rPr>
              <w:t>45</w:t>
            </w:r>
          </w:p>
        </w:tc>
        <w:tc>
          <w:tcPr>
            <w:tcW w:type="dxa" w:w="4535"/>
            <w:vAlign w:val="center"/>
          </w:tcPr>
          <w:p>
            <w:pPr>
              <w:pStyle w:val="TableText"/>
              <w:keepNext w:val="0"/>
              <w:keepLines/>
            </w:pPr>
            <w:r>
              <w:rPr>
                <w:b w:val="0"/>
              </w:rPr>
              <w:t>정보기술</w:t>
            </w:r>
          </w:p>
        </w:tc>
        <w:tc>
          <w:tcPr>
            <w:tcW w:type="dxa" w:w="3175"/>
            <w:vAlign w:val="center"/>
          </w:tcPr>
          <w:p>
            <w:pPr>
              <w:pStyle w:val="TableText"/>
              <w:keepNext w:val="0"/>
              <w:keepLines/>
            </w:pPr>
            <w:r>
              <w:rPr>
                <w:b w:val="0"/>
              </w:rPr>
              <w:t>XLK</w:t>
            </w:r>
          </w:p>
        </w:tc>
      </w:tr>
      <w:tr>
        <w:trPr>
          <w:cantSplit/>
        </w:trPr>
        <w:tc>
          <w:tcPr>
            <w:tcW w:type="dxa" w:w="1361"/>
            <w:vAlign w:val="center"/>
          </w:tcPr>
          <w:p>
            <w:pPr>
              <w:pStyle w:val="TableText"/>
              <w:keepNext w:val="0"/>
              <w:keepLines/>
              <w:jc w:val="center"/>
            </w:pPr>
            <w:r>
              <w:rPr>
                <w:b w:val="0"/>
              </w:rPr>
              <w:t>50</w:t>
            </w:r>
          </w:p>
        </w:tc>
        <w:tc>
          <w:tcPr>
            <w:tcW w:type="dxa" w:w="4535"/>
            <w:vAlign w:val="center"/>
          </w:tcPr>
          <w:p>
            <w:pPr>
              <w:pStyle w:val="TableText"/>
              <w:keepNext w:val="0"/>
              <w:keepLines/>
            </w:pPr>
            <w:r>
              <w:rPr>
                <w:b w:val="0"/>
              </w:rPr>
              <w:t>커뮤니케이션 서비스</w:t>
            </w:r>
          </w:p>
        </w:tc>
        <w:tc>
          <w:tcPr>
            <w:tcW w:type="dxa" w:w="3175"/>
            <w:vAlign w:val="center"/>
          </w:tcPr>
          <w:p>
            <w:pPr>
              <w:pStyle w:val="TableText"/>
              <w:keepNext w:val="0"/>
              <w:keepLines/>
            </w:pPr>
            <w:r>
              <w:rPr>
                <w:b w:val="0"/>
              </w:rPr>
              <w:t>XLC</w:t>
            </w:r>
          </w:p>
        </w:tc>
      </w:tr>
      <w:tr>
        <w:trPr>
          <w:cantSplit/>
        </w:trPr>
        <w:tc>
          <w:tcPr>
            <w:tcW w:type="dxa" w:w="1361"/>
            <w:vAlign w:val="center"/>
          </w:tcPr>
          <w:p>
            <w:pPr>
              <w:pStyle w:val="TableText"/>
              <w:keepNext w:val="0"/>
              <w:keepLines/>
              <w:jc w:val="center"/>
            </w:pPr>
            <w:r>
              <w:rPr>
                <w:b w:val="0"/>
              </w:rPr>
              <w:t>55</w:t>
            </w:r>
          </w:p>
        </w:tc>
        <w:tc>
          <w:tcPr>
            <w:tcW w:type="dxa" w:w="4535"/>
            <w:vAlign w:val="center"/>
          </w:tcPr>
          <w:p>
            <w:pPr>
              <w:pStyle w:val="TableText"/>
              <w:keepNext w:val="0"/>
              <w:keepLines/>
            </w:pPr>
            <w:r>
              <w:rPr>
                <w:b w:val="0"/>
              </w:rPr>
              <w:t>유틸리티</w:t>
            </w:r>
          </w:p>
        </w:tc>
        <w:tc>
          <w:tcPr>
            <w:tcW w:type="dxa" w:w="3175"/>
            <w:vAlign w:val="center"/>
          </w:tcPr>
          <w:p>
            <w:pPr>
              <w:pStyle w:val="TableText"/>
              <w:keepNext w:val="0"/>
              <w:keepLines/>
            </w:pPr>
            <w:r>
              <w:rPr>
                <w:b w:val="0"/>
              </w:rPr>
              <w:t>XLU</w:t>
            </w:r>
          </w:p>
        </w:tc>
      </w:tr>
      <w:tr>
        <w:trPr>
          <w:cantSplit/>
        </w:trPr>
        <w:tc>
          <w:tcPr>
            <w:tcW w:type="dxa" w:w="1361"/>
            <w:vAlign w:val="center"/>
          </w:tcPr>
          <w:p>
            <w:pPr>
              <w:pStyle w:val="TableText"/>
              <w:keepNext w:val="0"/>
              <w:keepLines/>
              <w:jc w:val="center"/>
            </w:pPr>
            <w:r>
              <w:rPr>
                <w:b w:val="0"/>
              </w:rPr>
              <w:t>60</w:t>
            </w:r>
          </w:p>
        </w:tc>
        <w:tc>
          <w:tcPr>
            <w:tcW w:type="dxa" w:w="4535"/>
            <w:vAlign w:val="center"/>
          </w:tcPr>
          <w:p>
            <w:pPr>
              <w:pStyle w:val="TableText"/>
              <w:keepNext w:val="0"/>
              <w:keepLines/>
            </w:pPr>
            <w:r>
              <w:rPr>
                <w:b w:val="0"/>
              </w:rPr>
              <w:t>부동산</w:t>
            </w:r>
          </w:p>
        </w:tc>
        <w:tc>
          <w:tcPr>
            <w:tcW w:type="dxa" w:w="3175"/>
            <w:vAlign w:val="center"/>
          </w:tcPr>
          <w:p>
            <w:pPr>
              <w:pStyle w:val="TableText"/>
              <w:keepNext w:val="0"/>
              <w:keepLines/>
            </w:pPr>
            <w:r>
              <w:rPr>
                <w:b w:val="0"/>
              </w:rPr>
              <w:t>XLRE</w:t>
            </w:r>
          </w:p>
        </w:tc>
      </w:tr>
    </w:tbl>
    <w:p>
      <w:pPr>
        <w:pStyle w:val="TableNote"/>
      </w:pPr>
      <w:r>
        <w:t>산업 바구니를 선택하는 과제이며 ETF의 개별 구성종목이나 기관 보유종목을 복원하는 과제가 아니다.</w:t>
      </w:r>
    </w:p>
    <w:p>
      <w:pPr>
        <w:pStyle w:val="Heading2"/>
      </w:pPr>
      <w:r>
        <w:t>4 2 기관별 공개 전망 자료</w:t>
      </w:r>
    </w:p>
    <w:p>
      <w:r>
        <w:t>기관 자료는 Fidelity의 2026년 2분기 산업전망과 UBS의 2026년 6월 House View이다. Fidelity의 산업 관점은 3월 31일 기준이며, 소개 페이지의 4월 17일 갱신을 PDF 발행일로 단정하지 않는다. UBS 자료는 5월 21일 관점을 담아 5월 22일 발행되었다. 원문에서 산업별 등급·명시된 이유·시점·대상 범위를 추출하였고, 22개 기관별 산업행과 11개 기관 간 비교행을 출력 열람 전에 AI 보조 방식으로 검토하였다. 이는 전문가의 독립적인 사람 평가와 구분된다.</w:t>
      </w:r>
    </w:p>
    <w:p>
      <w:r>
        <w:t>Fidelity의 Overweight·Underweight와 UBS의 Attractive·Neutral은 서로 다른 표현 체계이므로 숫자 목표비중으로 치환하지 않았다. Fidelity의 견해가 대상으로 삼는 미국 시가총액 상위 3,000개 종목과 본 과제의 S&amp;P 500 비교 기준도 구분하였다. UBS 입력 묶음에서 별도 산업별 이유가 없는 여섯 Neutral 산업에는 이유를 보충하지 않았다. 이는 제공 자료의 범위에 관한 설명이며 원문 전체에 관련 설명이 없다는 뜻은 아니다. 별도로 준비한 Fidelity 3분기·UBS 7월 전망을 이용한 새 생성 실험은 실행하지 않았다.</w:t>
      </w:r>
    </w:p>
    <w:p>
      <w:pPr>
        <w:pStyle w:val="Heading2"/>
      </w:pPr>
      <w:r>
        <w:t>4 3 공통 시장 상황과 시점 통제</w:t>
      </w:r>
    </w:p>
    <w:p>
      <w:r>
        <w:t>모든 조건에 표 2의 거시 발표, 산업별 과거 수익률·공분산, 공통 비교 기준 비중을 제공하였다. 자료 범주는 Quek 등(2025)을 참고하되 특정 거시지표를 산업별 비중으로 바꾸는 임의 계수는 넣지 않았다. 모델은 동일한 사실 자료를 해석하고 기관 전망과 상충하는 경우 그 이유를 설명한다. 기관 전망 이후에 발표된 자료도 있으므로 전망 작성자가 이후 정보를 알고 있었다고 가정하지 않는다.</w:t>
      </w:r>
    </w:p>
    <w:p>
      <w:pPr>
        <w:pStyle w:val="Caption"/>
        <w:keepNext/>
      </w:pPr>
      <w:r>
        <w:t>표 2 공통 거시경제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18"/>
        <w:gridCol w:w="3572"/>
      </w:tblGrid>
      <w:tr>
        <w:trPr>
          <w:tblHeader/>
          <w:cantSplit/>
        </w:trPr>
        <w:tc>
          <w:tcPr>
            <w:tcW w:type="dxa" w:w="2381"/>
            <w:vAlign w:val="center"/>
            <w:shd w:fill="E8EDF1"/>
          </w:tcPr>
          <w:p>
            <w:pPr>
              <w:pStyle w:val="TableText"/>
              <w:keepNext/>
              <w:keepLines/>
              <w:jc w:val="center"/>
            </w:pPr>
            <w:r>
              <w:rPr>
                <w:b/>
              </w:rPr>
              <w:t>자료</w:t>
            </w:r>
          </w:p>
        </w:tc>
        <w:tc>
          <w:tcPr>
            <w:tcW w:type="dxa" w:w="3118"/>
            <w:vAlign w:val="center"/>
            <w:shd w:fill="E8EDF1"/>
          </w:tcPr>
          <w:p>
            <w:pPr>
              <w:pStyle w:val="TableText"/>
              <w:keepNext/>
              <w:keepLines/>
              <w:jc w:val="center"/>
            </w:pPr>
            <w:r>
              <w:rPr>
                <w:b/>
              </w:rPr>
              <w:t>관측값과 단위</w:t>
            </w:r>
          </w:p>
        </w:tc>
        <w:tc>
          <w:tcPr>
            <w:tcW w:type="dxa" w:w="3572"/>
            <w:vAlign w:val="center"/>
            <w:shd w:fill="E8EDF1"/>
          </w:tcPr>
          <w:p>
            <w:pPr>
              <w:pStyle w:val="TableText"/>
              <w:keepNext/>
              <w:keepLines/>
              <w:jc w:val="center"/>
            </w:pPr>
            <w:r>
              <w:rPr>
                <w:b/>
              </w:rPr>
              <w:t>대상 기간 및 발표일</w:t>
            </w:r>
          </w:p>
        </w:tc>
      </w:tr>
      <w:tr>
        <w:trPr>
          <w:cantSplit/>
        </w:trPr>
        <w:tc>
          <w:tcPr>
            <w:tcW w:type="dxa" w:w="2381"/>
            <w:vAlign w:val="center"/>
          </w:tcPr>
          <w:p>
            <w:pPr>
              <w:pStyle w:val="TableText"/>
              <w:keepNext w:val="0"/>
              <w:keepLines/>
            </w:pPr>
            <w:r>
              <w:rPr>
                <w:b w:val="0"/>
              </w:rPr>
              <w:t>연방기금금리 목표 범위</w:t>
            </w:r>
          </w:p>
        </w:tc>
        <w:tc>
          <w:tcPr>
            <w:tcW w:type="dxa" w:w="3118"/>
            <w:vAlign w:val="center"/>
          </w:tcPr>
          <w:p>
            <w:pPr>
              <w:pStyle w:val="TableText"/>
              <w:keepNext w:val="0"/>
              <w:keepLines/>
            </w:pPr>
            <w:r>
              <w:rPr>
                <w:b w:val="0"/>
              </w:rPr>
              <w:t>3.50–3.75%</w:t>
            </w:r>
          </w:p>
        </w:tc>
        <w:tc>
          <w:tcPr>
            <w:tcW w:type="dxa" w:w="3572"/>
            <w:vAlign w:val="center"/>
          </w:tcPr>
          <w:p>
            <w:pPr>
              <w:pStyle w:val="TableText"/>
              <w:keepNext w:val="0"/>
              <w:keepLines/>
            </w:pPr>
            <w:r>
              <w:rPr>
                <w:b w:val="0"/>
              </w:rPr>
              <w:t>2026년 6월 17일 결정 및 발표</w:t>
            </w:r>
          </w:p>
        </w:tc>
      </w:tr>
      <w:tr>
        <w:trPr>
          <w:cantSplit/>
        </w:trPr>
        <w:tc>
          <w:tcPr>
            <w:tcW w:type="dxa" w:w="2381"/>
            <w:vAlign w:val="center"/>
          </w:tcPr>
          <w:p>
            <w:pPr>
              <w:pStyle w:val="TableText"/>
              <w:keepNext w:val="0"/>
              <w:keepLines/>
            </w:pPr>
            <w:r>
              <w:rPr>
                <w:b w:val="0"/>
              </w:rPr>
              <w:t>소비자물가 전월비</w:t>
            </w:r>
          </w:p>
        </w:tc>
        <w:tc>
          <w:tcPr>
            <w:tcW w:type="dxa" w:w="3118"/>
            <w:vAlign w:val="center"/>
          </w:tcPr>
          <w:p>
            <w:pPr>
              <w:pStyle w:val="TableText"/>
              <w:keepNext w:val="0"/>
              <w:keepLines/>
            </w:pPr>
            <w:r>
              <w:rPr>
                <w:b w:val="0"/>
              </w:rPr>
              <w:t>−0.4%  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소비자물가 전년동월비</w:t>
            </w:r>
          </w:p>
        </w:tc>
        <w:tc>
          <w:tcPr>
            <w:tcW w:type="dxa" w:w="3118"/>
            <w:vAlign w:val="center"/>
          </w:tcPr>
          <w:p>
            <w:pPr>
              <w:pStyle w:val="TableText"/>
              <w:keepNext w:val="0"/>
              <w:keepLines/>
            </w:pPr>
            <w:r>
              <w:rPr>
                <w:b w:val="0"/>
              </w:rPr>
              <w:t>3.5%  비계절조정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근원 소비자물가 전년동월비</w:t>
            </w:r>
          </w:p>
        </w:tc>
        <w:tc>
          <w:tcPr>
            <w:tcW w:type="dxa" w:w="3118"/>
            <w:vAlign w:val="center"/>
          </w:tcPr>
          <w:p>
            <w:pPr>
              <w:pStyle w:val="TableText"/>
              <w:keepNext w:val="0"/>
              <w:keepLines/>
            </w:pPr>
            <w:r>
              <w:rPr>
                <w:b w:val="0"/>
              </w:rPr>
              <w:t>2.6%  비계절조정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실업률</w:t>
            </w:r>
          </w:p>
        </w:tc>
        <w:tc>
          <w:tcPr>
            <w:tcW w:type="dxa" w:w="3118"/>
            <w:vAlign w:val="center"/>
          </w:tcPr>
          <w:p>
            <w:pPr>
              <w:pStyle w:val="TableText"/>
              <w:keepNext w:val="0"/>
              <w:keepLines/>
            </w:pPr>
            <w:r>
              <w:rPr>
                <w:b w:val="0"/>
              </w:rPr>
              <w:t>4.2%  계절조정</w:t>
            </w:r>
          </w:p>
        </w:tc>
        <w:tc>
          <w:tcPr>
            <w:tcW w:type="dxa" w:w="3572"/>
            <w:vAlign w:val="center"/>
          </w:tcPr>
          <w:p>
            <w:pPr>
              <w:pStyle w:val="TableText"/>
              <w:keepNext w:val="0"/>
              <w:keepLines/>
            </w:pPr>
            <w:r>
              <w:rPr>
                <w:b w:val="0"/>
              </w:rPr>
              <w:t>2026년 6월 / 7월 2일 발표</w:t>
            </w:r>
          </w:p>
        </w:tc>
      </w:tr>
      <w:tr>
        <w:trPr>
          <w:cantSplit/>
        </w:trPr>
        <w:tc>
          <w:tcPr>
            <w:tcW w:type="dxa" w:w="2381"/>
            <w:vAlign w:val="center"/>
          </w:tcPr>
          <w:p>
            <w:pPr>
              <w:pStyle w:val="TableText"/>
              <w:keepNext w:val="0"/>
              <w:keepLines/>
            </w:pPr>
            <w:r>
              <w:rPr>
                <w:b w:val="0"/>
              </w:rPr>
              <w:t>비농업 취업자 수 변화</w:t>
            </w:r>
          </w:p>
        </w:tc>
        <w:tc>
          <w:tcPr>
            <w:tcW w:type="dxa" w:w="3118"/>
            <w:vAlign w:val="center"/>
          </w:tcPr>
          <w:p>
            <w:pPr>
              <w:pStyle w:val="TableText"/>
              <w:keepNext w:val="0"/>
              <w:keepLines/>
            </w:pPr>
            <w:r>
              <w:rPr>
                <w:b w:val="0"/>
              </w:rPr>
              <w:t>57,000명 증가  최초 발표값</w:t>
            </w:r>
          </w:p>
        </w:tc>
        <w:tc>
          <w:tcPr>
            <w:tcW w:type="dxa" w:w="3572"/>
            <w:vAlign w:val="center"/>
          </w:tcPr>
          <w:p>
            <w:pPr>
              <w:pStyle w:val="TableText"/>
              <w:keepNext w:val="0"/>
              <w:keepLines/>
            </w:pPr>
            <w:r>
              <w:rPr>
                <w:b w:val="0"/>
              </w:rPr>
              <w:t>2026년 6월 / 7월 2일 발표</w:t>
            </w:r>
          </w:p>
        </w:tc>
      </w:tr>
      <w:tr>
        <w:trPr>
          <w:cantSplit/>
        </w:trPr>
        <w:tc>
          <w:tcPr>
            <w:tcW w:type="dxa" w:w="2381"/>
            <w:vAlign w:val="center"/>
          </w:tcPr>
          <w:p>
            <w:pPr>
              <w:pStyle w:val="TableText"/>
              <w:keepNext w:val="0"/>
              <w:keepLines/>
            </w:pPr>
            <w:r>
              <w:rPr>
                <w:b w:val="0"/>
              </w:rPr>
              <w:t>실질 GDP 증가율</w:t>
            </w:r>
          </w:p>
        </w:tc>
        <w:tc>
          <w:tcPr>
            <w:tcW w:type="dxa" w:w="3118"/>
            <w:vAlign w:val="center"/>
          </w:tcPr>
          <w:p>
            <w:pPr>
              <w:pStyle w:val="TableText"/>
              <w:keepNext w:val="0"/>
              <w:keepLines/>
            </w:pPr>
            <w:r>
              <w:rPr>
                <w:b w:val="0"/>
              </w:rPr>
              <w:t>2.1%  전기비 연율 SAAR</w:t>
            </w:r>
          </w:p>
        </w:tc>
        <w:tc>
          <w:tcPr>
            <w:tcW w:type="dxa" w:w="3572"/>
            <w:vAlign w:val="center"/>
          </w:tcPr>
          <w:p>
            <w:pPr>
              <w:pStyle w:val="TableText"/>
              <w:keepNext w:val="0"/>
              <w:keepLines/>
            </w:pPr>
            <w:r>
              <w:rPr>
                <w:b w:val="0"/>
              </w:rPr>
              <w:t>2026년 1분기 3차 추계 / 6월 25일 발표</w:t>
            </w:r>
          </w:p>
        </w:tc>
      </w:tr>
    </w:tbl>
    <w:p>
      <w:pPr>
        <w:pStyle w:val="TableNote"/>
      </w:pPr>
      <w:r>
        <w:t>출처는 연방준비제도, 미국 노동통계국, 미국 경제분석국의 해당 발표 자료이다. 물가의 전월비와 전년동월비, 고용의 수준과 변화량, GDP의 연율을 구분한다.</w:t>
      </w:r>
    </w:p>
    <w:p>
      <w:r>
        <w:t>ETF 자료는 2026년 10월 17일 수집한 Yahoo Finance 공개 chart의 조정종가이다. 4월 21일~7월 16일의 60개 일별 수익률로 표본 공분산을 계산하였으며, 자유도 보정은 1, 연율화는 252거래일을 사용하였다. 모델에는 전체 가격행렬 대신 요약과 공분산을 제공하였다. 비교 기준은 Fidelity 3분기 보고서 2쪽의 6월 30일 S&amp;P 500 산업 구성비로, 표시값 합계 99.9%를 정규화하였다. 공통 입력에서는 기관명과 전망 등급·이유를 제외하여 기관 전망 미제공 조건 C를 구성하였다.</w:t>
      </w:r>
    </w:p>
    <w:p>
      <w:r>
        <w:t>거시 발표의 공식 보관본과 일부 공식 페이지의 텍스트 기록도 10월에 수집하였다. 현재 제공되는 조정가격은 당시 이용 가능했던 자료 버전과 완전히 같다고 보증할 수 없다. 따라서 이 과제는 판단 시점을 고정한 문서 해석이며 엄밀한 당시 가용 자료 기반 거래 백테스트가 아니다. ETF의 지수 규칙·비용·추적오차와 조정종가의 성격도 남아 있어, S&amp;P 500의 정확한 복제나 발행사 인증 총수익률과 동일시하지 않는다.</w:t>
      </w:r>
    </w:p>
    <w:p>
      <w:pPr>
        <w:pStyle w:val="Heading2"/>
      </w:pPr>
      <w:r>
        <w:t>4 4 다섯 조건과 두 단계의 실행</w:t>
      </w:r>
    </w:p>
    <w:p>
      <w:r>
        <w:t>다섯 조건은 Fidelity E·L, UBS E·L, 공통 대조군 C이다(표 3). E는 초안부터, L은 최종 검토 때 처음 기관 자료를 제공하며 C는 끝까지 기관 전망을 제공하지 않는다. 먼저 모델이 비중과 설명을 포함한 초안 D0를 제출한다. 계산기가 원비중의 합계·음수·자료 범위·위험 등을 진단하면, 모델은 자신의 D0 전체와 계산 피드백을 읽고 첫 완료 최종안 F0를 제출한다. C도 같은 시장 자료와 단계 수로 판단하므로 전략 비교의 대조군은 C의 F0이다.</w:t>
      </w:r>
    </w:p>
    <w:p>
      <w:pPr>
        <w:pStyle w:val="Caption"/>
        <w:keepNext/>
      </w:pPr>
      <w:r>
        <w:t>표 3 실험 조건과 기관 자료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701"/>
        <w:gridCol w:w="2835"/>
        <w:gridCol w:w="4535"/>
      </w:tblGrid>
      <w:tr>
        <w:trPr>
          <w:tblHeader/>
          <w:cantSplit/>
        </w:trPr>
        <w:tc>
          <w:tcPr>
            <w:tcW w:type="dxa" w:w="1701"/>
            <w:vAlign w:val="center"/>
            <w:shd w:fill="E8EDF1"/>
          </w:tcPr>
          <w:p>
            <w:pPr>
              <w:pStyle w:val="TableText"/>
              <w:keepNext/>
              <w:keepLines/>
              <w:jc w:val="center"/>
            </w:pPr>
            <w:r>
              <w:rPr>
                <w:b/>
              </w:rPr>
              <w:t>조건</w:t>
            </w:r>
          </w:p>
        </w:tc>
        <w:tc>
          <w:tcPr>
            <w:tcW w:type="dxa" w:w="2835"/>
            <w:vAlign w:val="center"/>
            <w:shd w:fill="E8EDF1"/>
          </w:tcPr>
          <w:p>
            <w:pPr>
              <w:pStyle w:val="TableText"/>
              <w:keepNext/>
              <w:keepLines/>
              <w:jc w:val="center"/>
            </w:pPr>
            <w:r>
              <w:rPr>
                <w:b/>
              </w:rPr>
              <w:t>초안 D0</w:t>
            </w:r>
          </w:p>
        </w:tc>
        <w:tc>
          <w:tcPr>
            <w:tcW w:type="dxa" w:w="4535"/>
            <w:vAlign w:val="center"/>
            <w:shd w:fill="E8EDF1"/>
          </w:tcPr>
          <w:p>
            <w:pPr>
              <w:pStyle w:val="TableText"/>
              <w:keepNext/>
              <w:keepLines/>
              <w:jc w:val="center"/>
            </w:pPr>
            <w:r>
              <w:rPr>
                <w:b/>
              </w:rPr>
              <w:t>첫 최종안 F0</w:t>
            </w:r>
          </w:p>
        </w:tc>
      </w:tr>
      <w:tr>
        <w:trPr>
          <w:cantSplit/>
        </w:trPr>
        <w:tc>
          <w:tcPr>
            <w:tcW w:type="dxa" w:w="1701"/>
            <w:vAlign w:val="center"/>
          </w:tcPr>
          <w:p>
            <w:pPr>
              <w:pStyle w:val="TableText"/>
              <w:keepNext w:val="0"/>
              <w:keepLines/>
            </w:pPr>
            <w:r>
              <w:rPr>
                <w:b w:val="0"/>
              </w:rPr>
              <w:t>Fidelity E</w:t>
            </w:r>
          </w:p>
        </w:tc>
        <w:tc>
          <w:tcPr>
            <w:tcW w:type="dxa" w:w="2835"/>
            <w:vAlign w:val="center"/>
          </w:tcPr>
          <w:p>
            <w:pPr>
              <w:pStyle w:val="TableText"/>
              <w:keepNext w:val="0"/>
              <w:keepLines/>
            </w:pPr>
            <w:r>
              <w:rPr>
                <w:b w:val="0"/>
              </w:rPr>
              <w:t>공통 자료 + Fidelity 자료</w:t>
            </w:r>
          </w:p>
        </w:tc>
        <w:tc>
          <w:tcPr>
            <w:tcW w:type="dxa" w:w="4535"/>
            <w:vAlign w:val="center"/>
          </w:tcPr>
          <w:p>
            <w:pPr>
              <w:pStyle w:val="TableText"/>
              <w:keepNext w:val="0"/>
              <w:keepLines/>
            </w:pPr>
            <w:r>
              <w:rPr>
                <w:b w:val="0"/>
              </w:rPr>
              <w:t>공통 자료 + Fidelity 자료 + 자신의 D0와 계산 피드백</w:t>
            </w:r>
          </w:p>
        </w:tc>
      </w:tr>
      <w:tr>
        <w:trPr>
          <w:cantSplit/>
        </w:trPr>
        <w:tc>
          <w:tcPr>
            <w:tcW w:type="dxa" w:w="1701"/>
            <w:vAlign w:val="center"/>
          </w:tcPr>
          <w:p>
            <w:pPr>
              <w:pStyle w:val="TableText"/>
              <w:keepNext w:val="0"/>
              <w:keepLines/>
            </w:pPr>
            <w:r>
              <w:rPr>
                <w:b w:val="0"/>
              </w:rPr>
              <w:t>Fidelity L</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Fidelity 자료 + 자신의 D0와 계산 피드백</w:t>
            </w:r>
          </w:p>
        </w:tc>
      </w:tr>
      <w:tr>
        <w:trPr>
          <w:cantSplit/>
        </w:trPr>
        <w:tc>
          <w:tcPr>
            <w:tcW w:type="dxa" w:w="1701"/>
            <w:vAlign w:val="center"/>
          </w:tcPr>
          <w:p>
            <w:pPr>
              <w:pStyle w:val="TableText"/>
              <w:keepNext w:val="0"/>
              <w:keepLines/>
            </w:pPr>
            <w:r>
              <w:rPr>
                <w:b w:val="0"/>
              </w:rPr>
              <w:t>UBS E</w:t>
            </w:r>
          </w:p>
        </w:tc>
        <w:tc>
          <w:tcPr>
            <w:tcW w:type="dxa" w:w="2835"/>
            <w:vAlign w:val="center"/>
          </w:tcPr>
          <w:p>
            <w:pPr>
              <w:pStyle w:val="TableText"/>
              <w:keepNext w:val="0"/>
              <w:keepLines/>
            </w:pPr>
            <w:r>
              <w:rPr>
                <w:b w:val="0"/>
              </w:rPr>
              <w:t>공통 자료 + UBS 자료</w:t>
            </w:r>
          </w:p>
        </w:tc>
        <w:tc>
          <w:tcPr>
            <w:tcW w:type="dxa" w:w="4535"/>
            <w:vAlign w:val="center"/>
          </w:tcPr>
          <w:p>
            <w:pPr>
              <w:pStyle w:val="TableText"/>
              <w:keepNext w:val="0"/>
              <w:keepLines/>
            </w:pPr>
            <w:r>
              <w:rPr>
                <w:b w:val="0"/>
              </w:rPr>
              <w:t>공통 자료 + UBS 자료 + 자신의 D0와 계산 피드백</w:t>
            </w:r>
          </w:p>
        </w:tc>
      </w:tr>
      <w:tr>
        <w:trPr>
          <w:cantSplit/>
        </w:trPr>
        <w:tc>
          <w:tcPr>
            <w:tcW w:type="dxa" w:w="1701"/>
            <w:vAlign w:val="center"/>
          </w:tcPr>
          <w:p>
            <w:pPr>
              <w:pStyle w:val="TableText"/>
              <w:keepNext w:val="0"/>
              <w:keepLines/>
            </w:pPr>
            <w:r>
              <w:rPr>
                <w:b w:val="0"/>
              </w:rPr>
              <w:t>UBS L</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UBS 자료 + 자신의 D0와 계산 피드백</w:t>
            </w:r>
          </w:p>
        </w:tc>
      </w:tr>
      <w:tr>
        <w:trPr>
          <w:cantSplit/>
        </w:trPr>
        <w:tc>
          <w:tcPr>
            <w:tcW w:type="dxa" w:w="1701"/>
            <w:vAlign w:val="center"/>
          </w:tcPr>
          <w:p>
            <w:pPr>
              <w:pStyle w:val="TableText"/>
              <w:keepNext w:val="0"/>
              <w:keepLines/>
            </w:pPr>
            <w:r>
              <w:rPr>
                <w:b w:val="0"/>
              </w:rPr>
              <w:t>공통 대조군 C</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자신의 D0와 계산 피드백</w:t>
            </w:r>
          </w:p>
        </w:tc>
      </w:tr>
    </w:tbl>
    <w:p>
      <w:pPr>
        <w:pStyle w:val="TableNote"/>
      </w:pPr>
      <w:r>
        <w:t>E는 초기 제공, L은 후기 제공이다. C는 두 단계 모두 기관명, 전망 문서, 등급, 기관 근거를 제공하지 않는다. 모든 조건의 모델, 투자 대상, 시장 상황, 단계 수와 공통 제약은 같다.</w:t>
      </w:r>
    </w:p>
    <w:p>
      <w:r>
        <w:t>완료된 논리 단계는 10개, 최종안은 5개이며 실제 생성 요청은 11회이다. Fidelity L의 중단된 첫 D0 시도와 허용된 재시도 1회를 포함하고, 완료된 초안은 다시 생성하지 않았다. Fidelity L·UBS L·C의 완료 D0 원문은 동일하다. 최종 산업행 55개, 동일한 C를 재사용하는 비교쌍, 같은 초안을 공유하는 조건을 독립 반복으로 세지 않는다. 통계적 유의성 검정이나 모집단 효과 추정은 수행하지 않았다.</w:t>
      </w:r>
    </w:p>
    <w:p>
      <w:pPr>
        <w:pStyle w:val="Heading2"/>
      </w:pPr>
      <w:r>
        <w:t>4 5 모델과 실행 이력</w:t>
      </w:r>
    </w:p>
    <w:p>
      <w:r>
        <w:t>모델은 qwen3.5:4b-q4_K_M이며 Ollama 0.35.1에서 CPU로 실행하였다(표 4). 실제 실행 프로토콜은 4.9.4이다. 자료와 모델의 식별값, 중단·재개 및 재시도 기록을 보존하였다. 온도 0과 고정 seed는 실행 설정이며 장치·세션을 넘어 같은 출력을 보장한다는 의미는 아니다.</w:t>
      </w:r>
    </w:p>
    <w:p>
      <w:pPr>
        <w:pStyle w:val="Caption"/>
        <w:keepNext/>
      </w:pPr>
      <w:r>
        <w:t>표 4 실제 실행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757"/>
        <w:gridCol w:w="3969"/>
        <w:gridCol w:w="3345"/>
      </w:tblGrid>
      <w:tr>
        <w:trPr>
          <w:tblHeader/>
          <w:cantSplit/>
        </w:trPr>
        <w:tc>
          <w:tcPr>
            <w:tcW w:type="dxa" w:w="1757"/>
            <w:vAlign w:val="center"/>
            <w:shd w:fill="E8EDF1"/>
          </w:tcPr>
          <w:p>
            <w:pPr>
              <w:pStyle w:val="TableText"/>
              <w:keepNext/>
              <w:keepLines/>
              <w:jc w:val="center"/>
            </w:pPr>
            <w:r>
              <w:rPr>
                <w:b/>
              </w:rPr>
              <w:t>항목</w:t>
            </w:r>
          </w:p>
        </w:tc>
        <w:tc>
          <w:tcPr>
            <w:tcW w:type="dxa" w:w="3969"/>
            <w:vAlign w:val="center"/>
            <w:shd w:fill="E8EDF1"/>
          </w:tcPr>
          <w:p>
            <w:pPr>
              <w:pStyle w:val="TableText"/>
              <w:keepNext/>
              <w:keepLines/>
              <w:jc w:val="center"/>
            </w:pPr>
            <w:r>
              <w:rPr>
                <w:b/>
              </w:rPr>
              <w:t>설정</w:t>
            </w:r>
          </w:p>
        </w:tc>
        <w:tc>
          <w:tcPr>
            <w:tcW w:type="dxa" w:w="3345"/>
            <w:vAlign w:val="center"/>
            <w:shd w:fill="E8EDF1"/>
          </w:tcPr>
          <w:p>
            <w:pPr>
              <w:pStyle w:val="TableText"/>
              <w:keepNext/>
              <w:keepLines/>
              <w:jc w:val="center"/>
            </w:pPr>
            <w:r>
              <w:rPr>
                <w:b/>
              </w:rPr>
              <w:t>성격</w:t>
            </w:r>
          </w:p>
        </w:tc>
      </w:tr>
      <w:tr>
        <w:trPr>
          <w:cantSplit/>
        </w:trPr>
        <w:tc>
          <w:tcPr>
            <w:tcW w:type="dxa" w:w="1757"/>
            <w:vAlign w:val="center"/>
          </w:tcPr>
          <w:p>
            <w:pPr>
              <w:pStyle w:val="TableText"/>
              <w:keepNext w:val="0"/>
              <w:keepLines/>
            </w:pPr>
            <w:r>
              <w:rPr>
                <w:b w:val="0"/>
              </w:rPr>
              <w:t>생성</w:t>
            </w:r>
          </w:p>
        </w:tc>
        <w:tc>
          <w:tcPr>
            <w:tcW w:type="dxa" w:w="3969"/>
            <w:vAlign w:val="center"/>
          </w:tcPr>
          <w:p>
            <w:pPr>
              <w:pStyle w:val="TableText"/>
              <w:keepNext w:val="0"/>
              <w:keepLines/>
            </w:pPr>
            <w:r>
              <w:rPr>
                <w:b w:val="0"/>
              </w:rPr>
              <w:t>온도 0 / seed 3407 / 사고 모드 끔</w:t>
            </w:r>
          </w:p>
        </w:tc>
        <w:tc>
          <w:tcPr>
            <w:tcW w:type="dxa" w:w="3345"/>
            <w:vAlign w:val="center"/>
          </w:tcPr>
          <w:p>
            <w:pPr>
              <w:pStyle w:val="TableText"/>
              <w:keepNext w:val="0"/>
              <w:keepLines/>
            </w:pPr>
            <w:r>
              <w:rPr>
                <w:b w:val="0"/>
              </w:rPr>
              <w:t>모든 분석 조건의 공통 설정</w:t>
            </w:r>
          </w:p>
        </w:tc>
      </w:tr>
      <w:tr>
        <w:trPr>
          <w:cantSplit/>
        </w:trPr>
        <w:tc>
          <w:tcPr>
            <w:tcW w:type="dxa" w:w="1757"/>
            <w:vAlign w:val="center"/>
          </w:tcPr>
          <w:p>
            <w:pPr>
              <w:pStyle w:val="TableText"/>
              <w:keepNext w:val="0"/>
              <w:keepLines/>
            </w:pPr>
            <w:r>
              <w:rPr>
                <w:b w:val="0"/>
              </w:rPr>
              <w:t>용량</w:t>
            </w:r>
          </w:p>
        </w:tc>
        <w:tc>
          <w:tcPr>
            <w:tcW w:type="dxa" w:w="3969"/>
            <w:vAlign w:val="center"/>
          </w:tcPr>
          <w:p>
            <w:pPr>
              <w:pStyle w:val="TableText"/>
              <w:keepNext w:val="0"/>
              <w:keepLines/>
            </w:pPr>
            <w:r>
              <w:rPr>
                <w:b w:val="0"/>
              </w:rPr>
              <w:t>문맥 65,536 / 출력 최대 8,192토큰</w:t>
            </w:r>
          </w:p>
        </w:tc>
        <w:tc>
          <w:tcPr>
            <w:tcW w:type="dxa" w:w="3345"/>
            <w:vAlign w:val="center"/>
          </w:tcPr>
          <w:p>
            <w:pPr>
              <w:pStyle w:val="TableText"/>
              <w:keepNext w:val="0"/>
              <w:keepLines/>
            </w:pPr>
            <w:r>
              <w:rPr>
                <w:b w:val="0"/>
              </w:rPr>
              <w:t>잘림을 관리하는 운영 설정</w:t>
            </w:r>
          </w:p>
        </w:tc>
      </w:tr>
      <w:tr>
        <w:trPr>
          <w:cantSplit/>
        </w:trPr>
        <w:tc>
          <w:tcPr>
            <w:tcW w:type="dxa" w:w="1757"/>
            <w:vAlign w:val="center"/>
          </w:tcPr>
          <w:p>
            <w:pPr>
              <w:pStyle w:val="TableText"/>
              <w:keepNext w:val="0"/>
              <w:keepLines/>
            </w:pPr>
            <w:r>
              <w:rPr>
                <w:b w:val="0"/>
              </w:rPr>
              <w:t>장치</w:t>
            </w:r>
          </w:p>
        </w:tc>
        <w:tc>
          <w:tcPr>
            <w:tcW w:type="dxa" w:w="3969"/>
            <w:vAlign w:val="center"/>
          </w:tcPr>
          <w:p>
            <w:pPr>
              <w:pStyle w:val="TableText"/>
              <w:keepNext w:val="0"/>
              <w:keepLines/>
            </w:pPr>
            <w:r>
              <w:rPr>
                <w:b w:val="0"/>
              </w:rPr>
              <w:t>CPU 8스레드 / GPU 사용 안 함</w:t>
            </w:r>
          </w:p>
        </w:tc>
        <w:tc>
          <w:tcPr>
            <w:tcW w:type="dxa" w:w="3345"/>
            <w:vAlign w:val="center"/>
          </w:tcPr>
          <w:p>
            <w:pPr>
              <w:pStyle w:val="TableText"/>
              <w:keepNext w:val="0"/>
              <w:keepLines/>
            </w:pPr>
            <w:r>
              <w:rPr>
                <w:b w:val="0"/>
              </w:rPr>
              <w:t>소형 양자화 모델의 로컬 실행</w:t>
            </w:r>
          </w:p>
        </w:tc>
      </w:tr>
      <w:tr>
        <w:trPr>
          <w:cantSplit/>
        </w:trPr>
        <w:tc>
          <w:tcPr>
            <w:tcW w:type="dxa" w:w="1757"/>
            <w:vAlign w:val="center"/>
          </w:tcPr>
          <w:p>
            <w:pPr>
              <w:pStyle w:val="TableText"/>
              <w:keepNext w:val="0"/>
              <w:keepLines/>
            </w:pPr>
            <w:r>
              <w:rPr>
                <w:b w:val="0"/>
              </w:rPr>
              <w:t>제한시간</w:t>
            </w:r>
          </w:p>
        </w:tc>
        <w:tc>
          <w:tcPr>
            <w:tcW w:type="dxa" w:w="3969"/>
            <w:vAlign w:val="center"/>
          </w:tcPr>
          <w:p>
            <w:pPr>
              <w:pStyle w:val="TableText"/>
              <w:keepNext w:val="0"/>
              <w:keepLines/>
            </w:pPr>
            <w:r>
              <w:rPr>
                <w:b w:val="0"/>
              </w:rPr>
              <w:t>단계당 4,500초</w:t>
            </w:r>
          </w:p>
        </w:tc>
        <w:tc>
          <w:tcPr>
            <w:tcW w:type="dxa" w:w="3345"/>
            <w:vAlign w:val="center"/>
          </w:tcPr>
          <w:p>
            <w:pPr>
              <w:pStyle w:val="TableText"/>
              <w:keepNext w:val="0"/>
              <w:keepLines/>
            </w:pPr>
            <w:r>
              <w:rPr>
                <w:b w:val="0"/>
              </w:rPr>
              <w:t>운영 제한이며 성능 기준 아님</w:t>
            </w:r>
          </w:p>
        </w:tc>
      </w:tr>
      <w:tr>
        <w:trPr>
          <w:cantSplit/>
        </w:trPr>
        <w:tc>
          <w:tcPr>
            <w:tcW w:type="dxa" w:w="1757"/>
            <w:vAlign w:val="center"/>
          </w:tcPr>
          <w:p>
            <w:pPr>
              <w:pStyle w:val="TableText"/>
              <w:keepNext w:val="0"/>
              <w:keepLines/>
            </w:pPr>
            <w:r>
              <w:rPr>
                <w:b w:val="0"/>
              </w:rPr>
              <w:t>원비중 진단</w:t>
            </w:r>
          </w:p>
        </w:tc>
        <w:tc>
          <w:tcPr>
            <w:tcW w:type="dxa" w:w="3969"/>
            <w:vAlign w:val="center"/>
          </w:tcPr>
          <w:p>
            <w:pPr>
              <w:pStyle w:val="TableText"/>
              <w:keepNext w:val="0"/>
              <w:keepLines/>
            </w:pPr>
            <w:r>
              <w:rPr>
                <w:b w:val="0"/>
              </w:rPr>
              <w:t>합계 1과의 허용오차 0.000001</w:t>
            </w:r>
          </w:p>
        </w:tc>
        <w:tc>
          <w:tcPr>
            <w:tcW w:type="dxa" w:w="3345"/>
            <w:vAlign w:val="center"/>
          </w:tcPr>
          <w:p>
            <w:pPr>
              <w:pStyle w:val="TableText"/>
              <w:keepNext w:val="0"/>
              <w:keepLines/>
            </w:pPr>
            <w:r>
              <w:rPr>
                <w:b w:val="0"/>
              </w:rPr>
              <w:t>원응답의 산술 오류 판정</w:t>
            </w:r>
          </w:p>
        </w:tc>
      </w:tr>
      <w:tr>
        <w:trPr>
          <w:cantSplit/>
        </w:trPr>
        <w:tc>
          <w:tcPr>
            <w:tcW w:type="dxa" w:w="1757"/>
            <w:vAlign w:val="center"/>
          </w:tcPr>
          <w:p>
            <w:pPr>
              <w:pStyle w:val="TableText"/>
              <w:keepNext w:val="0"/>
              <w:keepLines/>
            </w:pPr>
            <w:r>
              <w:rPr>
                <w:b w:val="0"/>
              </w:rPr>
              <w:t>파생 배분</w:t>
            </w:r>
          </w:p>
        </w:tc>
        <w:tc>
          <w:tcPr>
            <w:tcW w:type="dxa" w:w="3969"/>
            <w:vAlign w:val="center"/>
          </w:tcPr>
          <w:p>
            <w:pPr>
              <w:pStyle w:val="TableText"/>
              <w:keepNext w:val="0"/>
              <w:keepLines/>
            </w:pPr>
            <w:r>
              <w:rPr>
                <w:b w:val="0"/>
              </w:rPr>
              <w:t>총 10,000단위 / 1단위 0.01%p</w:t>
            </w:r>
          </w:p>
        </w:tc>
        <w:tc>
          <w:tcPr>
            <w:tcW w:type="dxa" w:w="3345"/>
            <w:vAlign w:val="center"/>
          </w:tcPr>
          <w:p>
            <w:pPr>
              <w:pStyle w:val="TableText"/>
              <w:keepNext w:val="0"/>
              <w:keepLines/>
            </w:pPr>
            <w:r>
              <w:rPr>
                <w:b w:val="0"/>
              </w:rPr>
              <w:t>후속 외부 계산으로 합계 확정</w:t>
            </w:r>
          </w:p>
        </w:tc>
      </w:tr>
    </w:tbl>
    <w:p>
      <w:pPr>
        <w:pStyle w:val="TableNote"/>
      </w:pPr>
      <w:r>
        <w:t>문헌의 설정을 참고한 경위와 자체 운영 선택은 보관된 설계에 남겼다. 본 연구를 해당 문헌의 모델·실험 재현으로 보지 않는다.</w:t>
      </w:r>
    </w:p>
    <w:p>
      <w:r>
        <w:t>기관 자료의 노출량·초안·대화 이력 외에 실행 순서, 세션과 경과 시간도 달랐고 전원 관리 문제로 실행을 나누어 재개하였다. 초기 출력을 본 뒤 완료된 예비실험을 주된 탐색 분석으로 사용하고 외부 수학 처리를 추가하였다. 따라서 전체 항목을 사전등록한 확증 실험으로 취급하지 않으며 변경 이력은 부록 E1~E5에 연결한다.</w:t>
      </w:r>
    </w:p>
    <w:p>
      <w:pPr>
        <w:pStyle w:val="Heading1"/>
      </w:pPr>
      <w:r>
        <w:t>5 평가방법</w:t>
      </w:r>
    </w:p>
    <w:p>
      <w:pPr>
        <w:pStyle w:val="Heading2"/>
      </w:pPr>
      <w:r>
        <w:t>5 1 원응답 진단과 파생 배분의 구분</w:t>
      </w:r>
    </w:p>
    <w:p>
      <w:r>
        <w:t>원응답의 종료 상태, JSON, 설명·인용·비중을 수정하지 않고 보존하였다. 모든 산업이 존재하고 비중이 유한·비음수이며 총합이 양수인 경우에만 외부 계산을 적용하였다. 누락·음수·비유한 값·전부 0인 벡터를 임의로 채우거나 자동 복구하지 않는다. 원합계가 1에서 허용오차 0.000001을 벗어나면 원응답의 산술 오류로 남긴다.</w:t>
      </w:r>
    </w:p>
    <w:p>
      <w:r>
        <w:t>파생 배분은 각 원비중을 원합계로 나눈 뒤 10,000개 정수 단위로 배정한 값이다. 각 몫을 내림한 후 남는 단위를 소수 잔여가 큰 산업부터, 동률에는 고정된 GICS 순서로 배정한다. 십진수·유리수 계산으로 합계를 100.00%로 확정하고 비례 조정량과 반올림 조정량을 기록하였다. 이는 생성 이후 추가한 분석 처리이다. 배분 간 비교에는 파생값을 사용하지만 모델이 “늘렸다”고 한 주장은 D0·F0 원비중을 우선 대조한다.</w:t>
      </w:r>
    </w:p>
    <w:p>
      <w:pPr>
        <w:pStyle w:val="Heading2"/>
      </w:pPr>
      <w:r>
        <w:t>5 2 자료 충실성과 근거에서 배분으로의 연결</w:t>
      </w:r>
    </w:p>
    <w:p>
      <w:r>
        <w:t>자료 충실성은 기관 문서의 용어·방향·범위·시점·이유를 보존했는지에 관한 판단으로 정의한다. 이어 모델이 기관 견해를 채택·조정·비채택한 이유와 실제 비중을 대조한다. 기관에 없는 위험선호나 목표비중을 기관의 입장으로 귀속하는 주장도 확인한다. C와 기관 자료 제공 전 L의 D0에서 기관자료 충실성은 해당 없음이며, 받지 않은 자료를 인용하는 주장은 별도로 점검한다.</w:t>
      </w:r>
    </w:p>
    <w:p>
      <w:r>
        <w:t>연결의 상태는 근거로 뒷받침됨, 근거가 없거나 모순됨, 판단이 해소되지 않음, 누락 또는 평가 불가능으로 서술 코딩한다. 이는 본 과제의 조작적 정의이며 단일 종합점수나 임의 합격선은 두지 않았다. 각 판단에 출력 구절·입력 위치·계산값·판단 이유·불확실성을 기록한다. “초안보다 늘렸다”는 주장에는 F0−D0 원비중을, “기준보다 높다”는 주장에는 명시된 기준과의 차이를 대응시킨다. 기관의 정성 등급을 정답 비중으로 바꾸거나 불명확한 기준을 연구자가 대신 정하지 않는다.</w:t>
      </w:r>
    </w:p>
    <w:p>
      <w:pPr>
        <w:pStyle w:val="Heading2"/>
      </w:pPr>
      <w:r>
        <w:t>5 3 수치 주장과 위험의 정의</w:t>
      </w:r>
    </w:p>
    <w:p>
      <w:r>
        <w:t>수치 주장을 대상·지표·값·단위·기간·날짜와 연결하여 입력과 대조하였다. 인용 식별자의 존재와 문장이 해당 자료로 지지되는지를 구분하고, 소수와 퍼센트·일별과 연율·관측과 전망을 각각 확인하였다. 정확한 값의 주장에는 정확 계산을, 반올림 표현에는 해당 정밀도를 적용하였다.</w:t>
      </w:r>
    </w:p>
    <w:p>
      <w:r>
        <w:t>위험 진단은 과거 공분산과 비중으로 계산한 분산 및 연율화 변동성이다(Markowitz, 1952). 비중 벡터 w와 일별 공분산 Σ에 대한 연율 변동성은 식 (1)과 같이 계산한다. 이는 표본 기간의 흔들림을 요약한 값이며 미래 손실확률이나 기관의 위험선호를 뜻하지 않는다. 입력 수치의 정합성과 모델 설명의 수치 사용은 별도로 판정한다.</w:t>
      </w:r>
    </w:p>
    <w:p>
      <w:pPr>
        <w:pStyle w:val="Equation"/>
        <w:tabs>
          <w:tab w:pos="4535" w:val="center"/>
          <w:tab w:pos="9071" w:val="right"/>
        </w:tabs>
      </w:pPr>
      <w:r>
        <w:tab/>
      </w:r>
      <m:oMath>
        <m:sSub>
          <m:e>
            <m:r>
              <m:t>σ</m:t>
            </m:r>
          </m:e>
          <m:sub>
            <m:r>
              <m:rPr>
                <m:sty m:val="p"/>
              </m:rPr>
              <m:t>ann</m:t>
            </m:r>
          </m:sub>
        </m:sSub>
        <m:r>
          <m:t>(w) = </m:t>
        </m:r>
        <m:rad>
          <m:radPr>
            <m:degHide m:val="1"/>
          </m:radPr>
          <m:deg/>
          <m:e>
            <m:r>
              <m:t>252 </m:t>
            </m:r>
            <m:sSup>
              <m:e>
                <m:r>
                  <m:t>w</m:t>
                </m:r>
              </m:e>
              <m:sup>
                <m:r>
                  <m:t>T</m:t>
                </m:r>
              </m:sup>
            </m:sSup>
            <m:r>
              <m:t>Σw</m:t>
            </m:r>
          </m:e>
        </m:rad>
      </m:oMath>
      <w:r>
        <w:tab/>
        <w:t>(1)</w:t>
      </w:r>
    </w:p>
    <w:p>
      <w:pPr>
        <w:pStyle w:val="Heading2"/>
      </w:pPr>
      <w:r>
        <w:t>5 4 배분 거리와 비교 단위</w:t>
      </w:r>
    </w:p>
    <w:p>
      <w:r>
        <w:t>합계가 1인 두 파생 비중 벡터 p와 q의 TV 거리는 식 (2)로 정의한다. 본문에서는 100을 곱해 전체 자금의 퍼센트로 표시한다. 예를 들어 100원을 배분한 두 안을 같게 만드는 데 최소 5원을 이동해야 하면 거리는 5%이다. 계산에는 합계 10,000의 정수 단위를 사용하였다. 이 값은 배분 차이이며 실제 매매 회전율·정확도·개선율이 아니다.</w:t>
      </w:r>
    </w:p>
    <w:p>
      <w:pPr>
        <w:pStyle w:val="Equation"/>
        <w:tabs>
          <w:tab w:pos="4535" w:val="center"/>
          <w:tab w:pos="9071" w:val="right"/>
        </w:tabs>
      </w:pPr>
      <w:r>
        <w:tab/>
      </w:r>
      <m:oMath>
        <m:r>
          <m:rPr>
            <m:sty m:val="p"/>
          </m:rPr>
          <m:t>TV(p,q) = </m:t>
        </m:r>
        <m:f>
          <m:num>
            <m:r>
              <m:t>1</m:t>
            </m:r>
          </m:num>
          <m:den>
            <m:r>
              <m:t>2</m:t>
            </m:r>
          </m:den>
        </m:f>
        <m:nary>
          <m:naryPr>
            <m:chr m:val="∑"/>
            <m:limLoc m:val="undOvr"/>
          </m:naryPr>
          <m:sub>
            <m:r>
              <m:t>i=1</m:t>
            </m:r>
          </m:sub>
          <m:sup>
            <m:r>
              <m:t>11</m:t>
            </m:r>
          </m:sup>
          <m:e>
            <m:d>
              <m:dPr>
                <m:begChr m:val="|"/>
                <m:endChr m:val="|"/>
              </m:dPr>
              <m:e>
                <m:sSub>
                  <m:e>
                    <m:r>
                      <m:t>p</m:t>
                    </m:r>
                  </m:e>
                  <m:sub>
                    <m:r>
                      <m:t>i</m:t>
                    </m:r>
                  </m:sub>
                </m:sSub>
                <m:r>
                  <m:t>−</m:t>
                </m:r>
                <m:sSub>
                  <m:e>
                    <m:r>
                      <m:t>q</m:t>
                    </m:r>
                  </m:e>
                  <m:sub>
                    <m:r>
                      <m:t>i</m:t>
                    </m:r>
                  </m:sub>
                </m:sSub>
              </m:e>
            </m:d>
          </m:e>
        </m:nary>
      </m:oMath>
      <w:r>
        <w:tab/>
        <w:t>(2)</w:t>
      </w:r>
    </w:p>
    <w:p>
      <w:r>
        <w:t>같은 기관의 E/L, 같은 절차의 두 기관, 기관 조건과 C의 F0 및 각 조건의 D0/F0를 비교한다. 같은 대조군의 반복 사용을 독립 표본으로 취급하지 않으며, 기관 간 거리의 E/L 차이를 이중차분에 의한 인과 효과로 해석하지 않는다. 동일비중과 공매도 없는 최소분산 배분은 기관 문장을 해석하지 않는 계산 참고안이므로 C와 구분하여 부록에 둔다. 부적격 벡터는 0거리가 아니라 계산 불가로 남긴다.</w:t>
      </w:r>
    </w:p>
    <w:p>
      <w:pPr>
        <w:pStyle w:val="Heading2"/>
      </w:pPr>
      <w:r>
        <w:t>5 5 의미 검토와 보고의 한계</w:t>
      </w:r>
    </w:p>
    <w:p>
      <w:r>
        <w:t>다섯 최종안의 산업행과 종합 설명을 일차 검토한 뒤, 조건명과 실행 순서를 가린 사본을 새로운 AI 검토 맥락에서 다시 읽었다. 기관 내용으로 조건을 추측할 수 있어 가림은 부분적이며, 사람 평가자의 독립적인 신뢰도 검증과는 구분된다. LLM 평가의 자기 선호·위치 편향 연구도 평가 과정의 한계를 보여준다(Pombal 등, 2026; Shi 등, 2025).</w:t>
      </w:r>
    </w:p>
    <w:p>
      <w:r>
        <w:t>검토자가 수치의 출현, 주장 묶음, 초안·최종안의 포함 범위를 다르게 센 경우를 합산하여 오류율이나 일치율로 만들지 않았다. 대신 55개 최종 산업행을 포함한 검토 범위를 명시하고, 재확인 가능한 구절·근거·계산값을 중심으로 보고한다. 모호한 주장과 미해결 판정은 보존하였다.</w:t>
      </w:r>
    </w:p>
    <w:p>
      <w:pPr>
        <w:pStyle w:val="Heading1"/>
      </w:pPr>
      <w:r>
        <w:t>6 실험 결과</w:t>
      </w:r>
    </w:p>
    <w:p>
      <w:r>
        <w:t>기관 전망을 제공한 네 조건의 최종 배분은 대조군과 달랐다. 그러나 그 차이가 기관 근거의 충실한 반영에서 나왔는지는 별도 확인이 필요했다. 이를 판단하기 위해 원비중의 유효성, 최종 배분의 차이, 모델의 이유와 실제 숫자의 대응을 함께 살펴본다.</w:t>
      </w:r>
    </w:p>
    <w:p>
      <w:pPr>
        <w:pStyle w:val="Heading2"/>
      </w:pPr>
      <w:r>
        <w:t>6 1 완료 범위와 합계 오류</w:t>
      </w:r>
    </w:p>
    <w:p>
      <w:r>
        <w:t>다섯 조건의 최종안과 총 55개 산업행을 확보하였다. 모든 F0 원합계는 100%에서 벗어났으며 Fidelity E 92%, Fidelity L 88%, UBS E 95%, UBS L 101%, C 101.4%였다(표 5). 모든 벡터가 외부 계산의 적용 조건을 충족하여 파생 합계는 100.00%가 되었다. 이는 계산기의 결과이며 모델이 피드백을 통해 합계 오류를 해결했다는 뜻은 아니다(E1, E2).</w:t>
      </w:r>
    </w:p>
    <w:p>
      <w:pPr>
        <w:pStyle w:val="Caption"/>
        <w:keepNext/>
      </w:pPr>
      <w:r>
        <w:t>표 5 원비중 합계와 외부 계산 이후의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814"/>
        <w:gridCol w:w="1814"/>
        <w:gridCol w:w="1814"/>
        <w:gridCol w:w="1814"/>
        <w:gridCol w:w="1814"/>
      </w:tblGrid>
      <w:tr>
        <w:trPr>
          <w:tblHeader/>
          <w:cantSplit/>
        </w:trPr>
        <w:tc>
          <w:tcPr>
            <w:tcW w:type="dxa" w:w="1814"/>
            <w:vAlign w:val="center"/>
            <w:shd w:fill="E8EDF1"/>
          </w:tcPr>
          <w:p>
            <w:pPr>
              <w:pStyle w:val="TableText"/>
              <w:keepNext/>
              <w:keepLines/>
              <w:jc w:val="center"/>
            </w:pPr>
            <w:r>
              <w:rPr>
                <w:b/>
              </w:rPr>
              <w:t>조건</w:t>
            </w:r>
          </w:p>
        </w:tc>
        <w:tc>
          <w:tcPr>
            <w:tcW w:type="dxa" w:w="1814"/>
            <w:vAlign w:val="center"/>
            <w:shd w:fill="E8EDF1"/>
          </w:tcPr>
          <w:p>
            <w:pPr>
              <w:pStyle w:val="TableText"/>
              <w:keepNext/>
              <w:keepLines/>
              <w:jc w:val="center"/>
            </w:pPr>
            <w:r>
              <w:rPr>
                <w:b/>
              </w:rPr>
              <w:t>D0 원합계 %</w:t>
            </w:r>
          </w:p>
        </w:tc>
        <w:tc>
          <w:tcPr>
            <w:tcW w:type="dxa" w:w="1814"/>
            <w:vAlign w:val="center"/>
            <w:shd w:fill="E8EDF1"/>
          </w:tcPr>
          <w:p>
            <w:pPr>
              <w:pStyle w:val="TableText"/>
              <w:keepNext/>
              <w:keepLines/>
              <w:jc w:val="center"/>
            </w:pPr>
            <w:r>
              <w:rPr>
                <w:b/>
              </w:rPr>
              <w:t>F0 원합계 %</w:t>
            </w:r>
          </w:p>
        </w:tc>
        <w:tc>
          <w:tcPr>
            <w:tcW w:type="dxa" w:w="1814"/>
            <w:vAlign w:val="center"/>
            <w:shd w:fill="E8EDF1"/>
          </w:tcPr>
          <w:p>
            <w:pPr>
              <w:pStyle w:val="TableText"/>
              <w:keepNext/>
              <w:keepLines/>
              <w:jc w:val="center"/>
            </w:pPr>
            <w:r>
              <w:rPr>
                <w:b/>
              </w:rPr>
              <w:t>F0 파생합계 %</w:t>
            </w:r>
          </w:p>
        </w:tc>
        <w:tc>
          <w:tcPr>
            <w:tcW w:type="dxa" w:w="1814"/>
            <w:vAlign w:val="center"/>
            <w:shd w:fill="E8EDF1"/>
          </w:tcPr>
          <w:p>
            <w:pPr>
              <w:pStyle w:val="TableText"/>
              <w:keepNext/>
              <w:keepLines/>
              <w:jc w:val="center"/>
            </w:pPr>
            <w:r>
              <w:rPr>
                <w:b/>
              </w:rPr>
              <w:t>D0 대비 거리 %</w:t>
            </w:r>
          </w:p>
        </w:tc>
      </w:tr>
      <w:tr>
        <w:trPr>
          <w:cantSplit/>
        </w:trPr>
        <w:tc>
          <w:tcPr>
            <w:tcW w:type="dxa" w:w="1814"/>
            <w:vAlign w:val="center"/>
          </w:tcPr>
          <w:p>
            <w:pPr>
              <w:pStyle w:val="TableText"/>
              <w:keepNext/>
              <w:keepLines/>
            </w:pPr>
            <w:r>
              <w:rPr>
                <w:b w:val="0"/>
              </w:rPr>
              <w:t>Fidelity E</w:t>
            </w:r>
          </w:p>
        </w:tc>
        <w:tc>
          <w:tcPr>
            <w:tcW w:type="dxa" w:w="1814"/>
            <w:vAlign w:val="center"/>
          </w:tcPr>
          <w:p>
            <w:pPr>
              <w:pStyle w:val="TableText"/>
              <w:keepNext/>
              <w:keepLines/>
              <w:jc w:val="center"/>
            </w:pPr>
            <w:r>
              <w:rPr>
                <w:b w:val="0"/>
              </w:rPr>
              <w:t>92.00</w:t>
            </w:r>
          </w:p>
        </w:tc>
        <w:tc>
          <w:tcPr>
            <w:tcW w:type="dxa" w:w="1814"/>
            <w:vAlign w:val="center"/>
          </w:tcPr>
          <w:p>
            <w:pPr>
              <w:pStyle w:val="TableText"/>
              <w:keepNext/>
              <w:keepLines/>
              <w:jc w:val="center"/>
            </w:pPr>
            <w:r>
              <w:rPr>
                <w:b w:val="0"/>
              </w:rPr>
              <w:t>92.00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0.00</w:t>
            </w:r>
          </w:p>
        </w:tc>
      </w:tr>
      <w:tr>
        <w:trPr>
          <w:cantSplit/>
        </w:trPr>
        <w:tc>
          <w:tcPr>
            <w:tcW w:type="dxa" w:w="1814"/>
            <w:vAlign w:val="center"/>
          </w:tcPr>
          <w:p>
            <w:pPr>
              <w:pStyle w:val="TableText"/>
              <w:keepNext/>
              <w:keepLines/>
            </w:pPr>
            <w:r>
              <w:rPr>
                <w:b w:val="0"/>
              </w:rPr>
              <w:t>Fidelity L</w:t>
            </w:r>
          </w:p>
        </w:tc>
        <w:tc>
          <w:tcPr>
            <w:tcW w:type="dxa" w:w="1814"/>
            <w:vAlign w:val="center"/>
          </w:tcPr>
          <w:p>
            <w:pPr>
              <w:pStyle w:val="TableText"/>
              <w:keepNext/>
              <w:keepLines/>
              <w:jc w:val="center"/>
            </w:pPr>
            <w:r>
              <w:rPr>
                <w:b w:val="0"/>
              </w:rPr>
              <w:t>102.00</w:t>
            </w:r>
          </w:p>
        </w:tc>
        <w:tc>
          <w:tcPr>
            <w:tcW w:type="dxa" w:w="1814"/>
            <w:vAlign w:val="center"/>
          </w:tcPr>
          <w:p>
            <w:pPr>
              <w:pStyle w:val="TableText"/>
              <w:keepNext/>
              <w:keepLines/>
              <w:jc w:val="center"/>
            </w:pPr>
            <w:r>
              <w:rPr>
                <w:b w:val="0"/>
              </w:rPr>
              <w:t>88.00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13.45</w:t>
            </w:r>
          </w:p>
        </w:tc>
      </w:tr>
      <w:tr>
        <w:trPr>
          <w:cantSplit/>
        </w:trPr>
        <w:tc>
          <w:tcPr>
            <w:tcW w:type="dxa" w:w="1814"/>
            <w:vAlign w:val="center"/>
          </w:tcPr>
          <w:p>
            <w:pPr>
              <w:pStyle w:val="TableText"/>
              <w:keepNext/>
              <w:keepLines/>
            </w:pPr>
            <w:r>
              <w:rPr>
                <w:b w:val="0"/>
              </w:rPr>
              <w:t>UBS E</w:t>
            </w:r>
          </w:p>
        </w:tc>
        <w:tc>
          <w:tcPr>
            <w:tcW w:type="dxa" w:w="1814"/>
            <w:vAlign w:val="center"/>
          </w:tcPr>
          <w:p>
            <w:pPr>
              <w:pStyle w:val="TableText"/>
              <w:keepNext/>
              <w:keepLines/>
              <w:jc w:val="center"/>
            </w:pPr>
            <w:r>
              <w:rPr>
                <w:b w:val="0"/>
              </w:rPr>
              <w:t>95.00</w:t>
            </w:r>
          </w:p>
        </w:tc>
        <w:tc>
          <w:tcPr>
            <w:tcW w:type="dxa" w:w="1814"/>
            <w:vAlign w:val="center"/>
          </w:tcPr>
          <w:p>
            <w:pPr>
              <w:pStyle w:val="TableText"/>
              <w:keepNext/>
              <w:keepLines/>
              <w:jc w:val="center"/>
            </w:pPr>
            <w:r>
              <w:rPr>
                <w:b w:val="0"/>
              </w:rPr>
              <w:t>95.00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0.00</w:t>
            </w:r>
          </w:p>
        </w:tc>
      </w:tr>
      <w:tr>
        <w:trPr>
          <w:cantSplit/>
        </w:trPr>
        <w:tc>
          <w:tcPr>
            <w:tcW w:type="dxa" w:w="1814"/>
            <w:vAlign w:val="center"/>
          </w:tcPr>
          <w:p>
            <w:pPr>
              <w:pStyle w:val="TableText"/>
              <w:keepNext/>
              <w:keepLines/>
            </w:pPr>
            <w:r>
              <w:rPr>
                <w:b w:val="0"/>
              </w:rPr>
              <w:t>UBS L</w:t>
            </w:r>
          </w:p>
        </w:tc>
        <w:tc>
          <w:tcPr>
            <w:tcW w:type="dxa" w:w="1814"/>
            <w:vAlign w:val="center"/>
          </w:tcPr>
          <w:p>
            <w:pPr>
              <w:pStyle w:val="TableText"/>
              <w:keepNext/>
              <w:keepLines/>
              <w:jc w:val="center"/>
            </w:pPr>
            <w:r>
              <w:rPr>
                <w:b w:val="0"/>
              </w:rPr>
              <w:t>102.00</w:t>
            </w:r>
          </w:p>
        </w:tc>
        <w:tc>
          <w:tcPr>
            <w:tcW w:type="dxa" w:w="1814"/>
            <w:vAlign w:val="center"/>
          </w:tcPr>
          <w:p>
            <w:pPr>
              <w:pStyle w:val="TableText"/>
              <w:keepNext/>
              <w:keepLines/>
              <w:jc w:val="center"/>
            </w:pPr>
            <w:r>
              <w:rPr>
                <w:b w:val="0"/>
              </w:rPr>
              <w:t>101.00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4.49</w:t>
            </w:r>
          </w:p>
        </w:tc>
      </w:tr>
      <w:tr>
        <w:trPr>
          <w:cantSplit/>
        </w:trPr>
        <w:tc>
          <w:tcPr>
            <w:tcW w:type="dxa" w:w="1814"/>
            <w:vAlign w:val="center"/>
          </w:tcPr>
          <w:p>
            <w:pPr>
              <w:pStyle w:val="TableText"/>
              <w:keepNext/>
              <w:keepLines/>
            </w:pPr>
            <w:r>
              <w:rPr>
                <w:b w:val="0"/>
              </w:rPr>
              <w:t>C</w:t>
            </w:r>
          </w:p>
        </w:tc>
        <w:tc>
          <w:tcPr>
            <w:tcW w:type="dxa" w:w="1814"/>
            <w:vAlign w:val="center"/>
          </w:tcPr>
          <w:p>
            <w:pPr>
              <w:pStyle w:val="TableText"/>
              <w:keepNext/>
              <w:keepLines/>
              <w:jc w:val="center"/>
            </w:pPr>
            <w:r>
              <w:rPr>
                <w:b w:val="0"/>
              </w:rPr>
              <w:t>102.00</w:t>
            </w:r>
          </w:p>
        </w:tc>
        <w:tc>
          <w:tcPr>
            <w:tcW w:type="dxa" w:w="1814"/>
            <w:vAlign w:val="center"/>
          </w:tcPr>
          <w:p>
            <w:pPr>
              <w:pStyle w:val="TableText"/>
              <w:keepNext/>
              <w:keepLines/>
              <w:jc w:val="center"/>
            </w:pPr>
            <w:r>
              <w:rPr>
                <w:b w:val="0"/>
              </w:rPr>
              <w:t>101.40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0.55</w:t>
            </w:r>
          </w:p>
        </w:tc>
      </w:tr>
    </w:tbl>
    <w:p>
      <w:pPr>
        <w:pStyle w:val="TableNote"/>
      </w:pPr>
      <w:r>
        <w:t>거리 열은 D0와 F0 모두 동일한 외부 계산을 적용한 뒤 비교하였다. 원응답의 합계 오류는 보정 후에도 별도 결과로 남는다. 출처 E1.</w:t>
      </w:r>
    </w:p>
    <w:p>
      <w:pPr>
        <w:pStyle w:val="Heading2"/>
      </w:pPr>
      <w:r>
        <w:t>6 2 다섯 조건의 최종 산업배분</w:t>
      </w:r>
    </w:p>
    <w:p>
      <w:pPr>
        <w:pStyle w:val="Figure"/>
        <w:keepNext/>
        <w:keepLines/>
      </w:pPr>
      <w:r>
        <w:drawing>
          <wp:inline xmlns:a="http://schemas.openxmlformats.org/drawingml/2006/main" xmlns:pic="http://schemas.openxmlformats.org/drawingml/2006/picture">
            <wp:extent cx="5760000" cy="4139761"/>
            <wp:docPr id="1" name="Picture 1" descr="조건별 최종 산업배분 그림 1. 다섯 조건의 최종 산업별 파생 비중"/>
            <wp:cNvGraphicFramePr>
              <a:graphicFrameLocks noChangeAspect="1"/>
            </wp:cNvGraphicFramePr>
            <a:graphic>
              <a:graphicData uri="http://schemas.openxmlformats.org/drawingml/2006/picture">
                <pic:pic>
                  <pic:nvPicPr>
                    <pic:cNvPr id="0" name="fig01_allocations.png"/>
                    <pic:cNvPicPr/>
                  </pic:nvPicPr>
                  <pic:blipFill>
                    <a:blip r:embed="rId9"/>
                    <a:stretch>
                      <a:fillRect/>
                    </a:stretch>
                  </pic:blipFill>
                  <pic:spPr>
                    <a:xfrm>
                      <a:off x="0" y="0"/>
                      <a:ext cx="5760000" cy="4139761"/>
                    </a:xfrm>
                    <a:prstGeom prst="rect"/>
                  </pic:spPr>
                </pic:pic>
              </a:graphicData>
            </a:graphic>
          </wp:inline>
        </w:drawing>
      </w:r>
    </w:p>
    <w:p>
      <w:pPr>
        <w:pStyle w:val="Caption"/>
        <w:keepNext/>
      </w:pPr>
      <w:r>
        <w:t>그림 1 조건별 최종 파생 산업배분</w:t>
      </w:r>
    </w:p>
    <w:p>
      <w:pPr>
        <w:pStyle w:val="FigureNote"/>
      </w:pPr>
      <w:r>
        <w:t>모델이 제출한 원비중을 비례 정규화한 뒤 최대잔여법으로 0.01%p 단위에 맞춘 F0 파생 비중이다. 열별 합계는 100%이다. E는 기관 자료 초기 제공, L은 후기 제공, C는 기관 자료 미제공 조건이다. 동일한 0~45% 색상 척도를 적용했다. 출처: E1.</w:t>
      </w:r>
    </w:p>
    <w:p>
      <w:r>
        <w:t>모든 최종 파생 배분에서 정보기술이 가장 큰 비중을 차지하였으나 크기는 조건별로 달랐다(그림 1; 부록 표 A1). 정보기술은 Fidelity E 41.31%, UBS L 34.66%였고, 커뮤니케이션 서비스는 Fidelity L 1.14%, C 9.86%였다. 동일 모델을 사용한 다섯 배분이 모두 같지는 않았으며, 차이의 근거는 설명·자료 대조로 추가 확인할 필요가 있다.</w:t>
      </w:r>
    </w:p>
    <w:p>
      <w:pPr>
        <w:pStyle w:val="Heading2"/>
      </w:pPr>
      <w:r>
        <w:t>6 3 기관 자료 및 제공 절차별 배분 차이</w:t>
      </w:r>
    </w:p>
    <w:p>
      <w:r>
        <w:t>기관 간 F0 거리는 E에서 3.86%, L에서 13.49%였고, 같은 기관의 E/L 거리는 Fidelity 6.21%, UBS 6.66%였다(그림 2; 부록 표 A2). 네 기관 조건과 C의 거리는 4.76~12.98%였다. 후기 제공에서 기관 간 차이가 더 크게 관찰되었으나, 거리 자체는 근거 충실성이나 절차 우열을 나타내지 않는다.</w:t>
      </w:r>
    </w:p>
    <w:p>
      <w:pPr>
        <w:pStyle w:val="Figure"/>
        <w:keepNext/>
        <w:keepLines/>
      </w:pPr>
      <w:r>
        <w:drawing>
          <wp:inline xmlns:a="http://schemas.openxmlformats.org/drawingml/2006/main" xmlns:pic="http://schemas.openxmlformats.org/drawingml/2006/picture">
            <wp:extent cx="5760000" cy="4679333"/>
            <wp:docPr id="2" name="Picture 2" descr="최종 배분의 차이와 초안 이후 수정량 그림 2. 최종안 간 배분 거리와 조건별 수정거리"/>
            <wp:cNvGraphicFramePr>
              <a:graphicFrameLocks noChangeAspect="1"/>
            </wp:cNvGraphicFramePr>
            <a:graphic>
              <a:graphicData uri="http://schemas.openxmlformats.org/drawingml/2006/picture">
                <pic:pic>
                  <pic:nvPicPr>
                    <pic:cNvPr id="0" name="fig02_distances.png"/>
                    <pic:cNvPicPr/>
                  </pic:nvPicPr>
                  <pic:blipFill>
                    <a:blip r:embed="rId10"/>
                    <a:stretch>
                      <a:fillRect/>
                    </a:stretch>
                  </pic:blipFill>
                  <pic:spPr>
                    <a:xfrm>
                      <a:off x="0" y="0"/>
                      <a:ext cx="5760000" cy="4679333"/>
                    </a:xfrm>
                    <a:prstGeom prst="rect"/>
                  </pic:spPr>
                </pic:pic>
              </a:graphicData>
            </a:graphic>
          </wp:inline>
        </w:drawing>
      </w:r>
    </w:p>
    <w:p>
      <w:pPr>
        <w:pStyle w:val="Caption"/>
        <w:keepNext/>
      </w:pPr>
      <w:r>
        <w:t>그림 2 비교 단위별 배분 거리와 초안 이후 수정거리</w:t>
      </w:r>
    </w:p>
    <w:p>
      <w:pPr>
        <w:pStyle w:val="FigureNote"/>
      </w:pPr>
      <w:r>
        <w:t>A는 F0 파생 배분 간 8개 비교, B는 각 조건의 D0와 F0 파생 배분 간 비교이다. 거리는 식 (2)의 TV 거리를 전체 자금의 백분율로 표시한 값이다. 두 패널은 동일한 0~15% 눈금을 사용한다. 이는 탐색적 사례의 산출물 차이이며, 독립 반복에 기초한 효과 추정치가 아니다. 출처: E1.</w:t>
      </w:r>
    </w:p>
    <w:p>
      <w:r>
        <w:t>D0와 F0의 파생 배분 거리는 두 E 조건에서 0%, Fidelity L 13.45%, UBS L 4.49%, C 0.55%였다. E는 초안부터 기관 자료를 제공받았으므로 무수정을 자료 무시로 해석할 수 없다. C에도 변화가 있어 모든 수정을 기관 자료의 효과로 귀속하기 어렵고, C의 거리를 빼서 순수 효과를 계산할 수도 없다. 배분이 달라진 정도만으로는 기관의 관점이 선택에 반영되었는지 답하기 어려우므로, 다음 절에서는 자료·이유·숫자의 대응을 살펴본다.</w:t>
      </w:r>
    </w:p>
    <w:p>
      <w:r>
        <w:t>C는 원비중에서 에너지·소재·유틸리티를 각각 0.2%p 줄이고 나머지는 유지하였다. 그러나 원합계가 102%에서 101.4%로 달라져 파생 비중에서는 다른 여덟 산업도 증가하였다. 이러한 변화에는 외부 계산의 분모 효과가 포함된다. 원비중과 파생값의 방향이 반대인 Fidelity L의 사후 진단은 7.3에서 살펴본다.</w:t>
      </w:r>
    </w:p>
    <w:p>
      <w:pPr>
        <w:pStyle w:val="Heading2"/>
      </w:pPr>
      <w:r>
        <w:t>6 4 자료 요약 이후에 나타난 근거와 수치의 단절</w:t>
      </w:r>
    </w:p>
    <w:p>
      <w:r>
        <w:t>네 기관 조건에서 각 11개 산업행의 등급과 자료 요약은 입력과 일치하였다. 그러나 이후의 선택 이유와 종합 설명에서는 입력 수치의 오독, 설명과 비중의 모순, 제공 근거에서 확인되지 않는 해석이 나타났다. 그림 3은 등급·수치·선택 서술이 어긋난 대표 사례를 대조한다. 대표 사례의 상세 대조와 추정 표현의 판정은 부록 표 A3에 제시하였다(E2).</w:t>
      </w:r>
    </w:p>
    <w:p>
      <w:pPr>
        <w:pStyle w:val="Figure"/>
        <w:keepNext/>
        <w:keepLines/>
      </w:pPr>
      <w:r>
        <w:drawing>
          <wp:inline xmlns:a="http://schemas.openxmlformats.org/drawingml/2006/main" xmlns:pic="http://schemas.openxmlformats.org/drawingml/2006/picture">
            <wp:extent cx="5760000" cy="3347171"/>
            <wp:docPr id="3" name="Picture 3" descr="근거·설명·선택의 불일치 사례 그림 3. 제공 근거, 모델의 설명, 실제 선택을 대조한 사례"/>
            <wp:cNvGraphicFramePr>
              <a:graphicFrameLocks noChangeAspect="1"/>
            </wp:cNvGraphicFramePr>
            <a:graphic>
              <a:graphicData uri="http://schemas.openxmlformats.org/drawingml/2006/picture">
                <pic:pic>
                  <pic:nvPicPr>
                    <pic:cNvPr id="0" name="fig03_evidence.png"/>
                    <pic:cNvPicPr/>
                  </pic:nvPicPr>
                  <pic:blipFill>
                    <a:blip r:embed="rId11"/>
                    <a:stretch>
                      <a:fillRect/>
                    </a:stretch>
                  </pic:blipFill>
                  <pic:spPr>
                    <a:xfrm>
                      <a:off x="0" y="0"/>
                      <a:ext cx="5760000" cy="3347171"/>
                    </a:xfrm>
                    <a:prstGeom prst="rect"/>
                  </pic:spPr>
                </pic:pic>
              </a:graphicData>
            </a:graphic>
          </wp:inline>
        </w:drawing>
      </w:r>
    </w:p>
    <w:p>
      <w:pPr>
        <w:pStyle w:val="Caption"/>
        <w:keepNext/>
      </w:pPr>
      <w:r>
        <w:t>그림 3 자료 재현 이후 설명과 선택의 불일치 사례</w:t>
      </w:r>
    </w:p>
    <w:p>
      <w:pPr>
        <w:pStyle w:val="FigureNote"/>
      </w:pPr>
      <w:r>
        <w:t>가운데 열은 직접인용이 아닌 출력 요지다. 첫째 사례는 산업행 등급 요약의 일치와 종합 설명의 불일치를 구분한다. 둘째 사례의 세 조건은 동일한 초안 내용에서 오류를 공유하므로 세 개의 독립 오류로 세지 않는다. 셋째 사례는 정규화 전 원비중을 대조한다. 사례만으로 전체 오류율을 계산하지 않는다. 출처: E2·E4 및 E1.</w:t>
      </w:r>
    </w:p>
    <w:p>
      <w:r>
        <w:t>그림 3과 부록 표 A3의 공유 수치 오류는 Fidelity L·UBS L·C의 완료 D0가 같다는 이력과 함께 해석한다. 산업행과 달리 UBS L의 종합 설명은 Attractive인 경기소비재·유틸리티를 Neutral로 불렀다. Neutral의 이유 추정에는 단정이 아닌 추정 표현이 사용되어 근거 없음과 미해결의 분류 차이를 보존하였다. 인용 식별자가 존재한다고 문장 전체가 지지되는 것은 아니며, 양수의 과거 수익률과 Neutral인 미래 전망도 기간과 판단 기준이 달라 그 자체로 모순은 아니다.</w:t>
      </w:r>
    </w:p>
    <w:p>
      <w:pPr>
        <w:pStyle w:val="Heading2"/>
      </w:pPr>
      <w:r>
        <w:t>6 5 연구질문에 대한 답</w:t>
      </w:r>
    </w:p>
    <w:p>
      <w:r>
        <w:t>RQ1에서는 기관별 산업행의 등급과 요약이 보존되었으나, 이후 해석과 실제 비중의 연결은 일관되지 않았다. RQ2에서는 네 기관 자료 조건의 파생 배분이 C와 모두 달랐다. RQ3에서는 초기·후기 조건의 수정 양상이 달랐지만 어느 절차가 근거를 더 충실히 반영했는지는 확정하지 못하였다. 기관자료 조건과 대조군 사이의 배분 차이는 관찰되었지만, 이를 자료 제공의 순수 효과나 기관별 판단의 보존으로 평가하려면 추가 검증이 필요하다.</w:t>
      </w:r>
    </w:p>
    <w:p>
      <w:pPr>
        <w:pStyle w:val="Heading1"/>
      </w:pPr>
      <w:r>
        <w:t>7 실험 결과의 재해석</w:t>
      </w:r>
    </w:p>
    <w:p>
      <w:r>
        <w:t>결과를 원래 문제와 연결할 때 중요한 점은 서로 다른 배분이 만들어졌어도 기관 근거가 선택까지 유지되었다고 단정할 수 없다는 것이다. 다음의 해석은 자료 제공만으로 필요한 차이가 보존되는지 확인하기 어려웠던 지점과, 이를 검증하려면 무엇을 구분해야 하는지를 설명한다.</w:t>
      </w:r>
    </w:p>
    <w:p>
      <w:pPr>
        <w:pStyle w:val="Heading2"/>
      </w:pPr>
      <w:r>
        <w:t>7 1 정확한 자료 재현과 실제 판단의 분리</w:t>
      </w:r>
    </w:p>
    <w:p>
      <w:r>
        <w:t>그림 3과 부록 표 A3의 사례는 기관 전망이 요약에 도달한 뒤에도 선택의 근거로 이어지는 연결이 끊길 수 있음을 보여준다. UBS L은 산업행에서 원문의 등급을 재현했지만 종합 설명에서는 일부 등급을 달리 불렀고, 정보기술 원비중을 줄인 뒤 늘렸다는 취지로 설명했다. 자료를 정확히 읽었는지, 그 자료를 어떤 이유로 사용했는지, 비중을 실제로 어떻게 바꾸었는지를 나누어 확인해야 이러한 단절이 드러난다.</w:t>
      </w:r>
    </w:p>
    <w:p>
      <w:r>
        <w:t>그렇다고 기관자료가 판단에 전혀 사용되지 않았다고 단정할 수도 없다. 정성 전망을 수치로 옮기려면 추가 운용판단이 필요한데, 그 주체와 허용 범위가 불분명하여 모델이 미제공 부분을 그럴듯한 이유로 채웠을 가능성이 있다. 이는 현재 관측에서 도출한 설계 가설이며 내부 생성 원인에 관한 결론은 아니다. 공개 전망에는 실제 기관의 목적함수·위험예산·고객 제약이 없으므로 정확한 등급 해석에서 유일한 비중이 도출되어야 한다고 전제해서도 안 된다. 따라서 검토의 초점은 특정 비중의 강제가 아니라, 자료의 주장과 추가 판단을 구분하고 각각이 선택을 어떻게 지지하는지 확인하는 데 있다.</w:t>
      </w:r>
    </w:p>
    <w:p>
      <w:pPr>
        <w:pStyle w:val="Heading2"/>
      </w:pPr>
      <w:r>
        <w:t>7 2 서로 다른 배분에 남는 공유 전제의 오류</w:t>
      </w:r>
    </w:p>
    <w:p>
      <w:r>
        <w:t>서로 다른 최종 배분에 같은 수치 오류가 남았다는 관측은 배분 차이가 곧 독립적인 판단을 뜻하지 않는다는 점을 보여준다. 기관별 문구와 비중이 달라도, 공통 전제가 잘못되었다면 그 위에서 이루어진 선택은 함께 재검토해야 한다. Fidelity L·UBS L·C의 완료 D0는 동일하므로 오류 잔존을 독립된 세 번의 오류 발생으로 셀 수는 없다. 이 사례가 보여주는 것은 공유한 초안의 오류와 서로 다른 최종 배분이 공존했다는 점이다.</w:t>
      </w:r>
    </w:p>
    <w:p>
      <w:r>
        <w:t>동일 초안의 오류가 이어졌을 가능성은 있으나, E·L에서는 정보량·노출·대화 이력·실행 순서도 함께 달라 앵커링을 원인으로 확정하기 어렵다. Laban 등(2025)의 다중 대화 연구를 참고하더라도 현재 비교가 순수한 초안 영향의 검사는 아니라는 범위를 지켜야 한다. 후속 설계에서는 공통 입력을 확인한 뒤 기관별 판단을 분기하고, 여러 분기에 남은 오류는 공통 근거와 재사용 경로를 추적할 필요가 있다. 같은 전제와 초안을 공유한 여러 출력의 일치 역시 그 자체로 독립 검증을 대신하지 못한다.</w:t>
      </w:r>
    </w:p>
    <w:p>
      <w:pPr>
        <w:pStyle w:val="Heading2"/>
      </w:pPr>
      <w:r>
        <w:t>7 3 배분의 방향을 바꿀 수 있는 정규화</w:t>
      </w:r>
    </w:p>
    <w:p>
      <w:r>
        <w:t>Fidelity L 정보기술의 사후 진단에서는 원비중과 파생 배분의 증감 방향이 반대였다. 원비중은 D0의 38%에서 F0의 36%로 2%p 감소했지만, 원합계가 102%에서 88%로 바뀌면서 파생 배분은 37.26%에서 40.91%로 3.65%p 증가했다. 그림 4는 이 사후 진단을 원비중과 파생 비중으로 나누어 보여준다.</w:t>
      </w:r>
    </w:p>
    <w:p>
      <w:r>
        <w:t>최종 원비중 36%는 보고 기준 38%와 정규화 기준 약 38.04%보다 낮은 반면, 파생값 40.91%는 두 기준보다 높다. E1의 원비중과 동일한 최종화 규칙으로 재확인한 이 결과는 정규화 분모의 변화가 단계 간 증감뿐 아니라 비교 기준 대비 위치도 바꿀 수 있음을 보여준다.</w:t>
      </w:r>
    </w:p>
    <w:p>
      <w:r>
        <w:t>동일한 계산을 적용한 파생 배분은 합계가 다른 제안의 상대 구성을 비교하는 데 사용할 수 있다. 다만 외부 변환으로 생긴 이동을 기관 견해에 대한 모델의 적극적 반응으로 해석해서는 안 된다. C에서도 여덟 산업의 원비중은 같았으나 파생 비중은 상승했다. 따라서 모델이 제안한 선택과 합계 제약을 맞추기 위한 수학적 변환을 함께 보고해야 한다. 이 관찰을 바탕으로, 처음부터 유효한 배분에서 증액할 산업과 감액할 산업을 함께 정하는 방식을 검토할 수 있다.</w:t>
      </w:r>
    </w:p>
    <w:p>
      <w:pPr>
        <w:pStyle w:val="Figure"/>
        <w:keepNext/>
        <w:keepLines/>
      </w:pPr>
      <w:r>
        <w:drawing>
          <wp:inline xmlns:a="http://schemas.openxmlformats.org/drawingml/2006/main" xmlns:pic="http://schemas.openxmlformats.org/drawingml/2006/picture">
            <wp:extent cx="5760000" cy="3420333"/>
            <wp:docPr id="4" name="Picture 4" descr="정규화에 따른 증감 방향의 역전 그림 4. Fidelity L 정보기술 비중의 정규화 전후 방향 역전"/>
            <wp:cNvGraphicFramePr>
              <a:graphicFrameLocks noChangeAspect="1"/>
            </wp:cNvGraphicFramePr>
            <a:graphic>
              <a:graphicData uri="http://schemas.openxmlformats.org/drawingml/2006/picture">
                <pic:pic>
                  <pic:nvPicPr>
                    <pic:cNvPr id="0" name="fig04_normalization.png"/>
                    <pic:cNvPicPr/>
                  </pic:nvPicPr>
                  <pic:blipFill>
                    <a:blip r:embed="rId12"/>
                    <a:stretch>
                      <a:fillRect/>
                    </a:stretch>
                  </pic:blipFill>
                  <pic:spPr>
                    <a:xfrm>
                      <a:off x="0" y="0"/>
                      <a:ext cx="5760000" cy="3420333"/>
                    </a:xfrm>
                    <a:prstGeom prst="rect"/>
                  </pic:spPr>
                </pic:pic>
              </a:graphicData>
            </a:graphic>
          </wp:inline>
        </w:drawing>
      </w:r>
    </w:p>
    <w:p>
      <w:pPr>
        <w:pStyle w:val="Caption"/>
        <w:keepNext/>
      </w:pPr>
      <w:r>
        <w:t>그림 4 정규화에 따른 정보기술 비중의 증감 방향 역전</w:t>
      </w:r>
    </w:p>
    <w:p>
      <w:pPr>
        <w:pStyle w:val="FigureNote"/>
      </w:pPr>
      <w:r>
        <w:t>두 패널은 같은 34~43% 세로축 범위를 사용한다. 원비중은 38%에서 36%로 2%p 감소했지만, 원합계가 102%에서 88%로 줄어들어 파생 비중은 37.26%에서 40.91%로 3.65%p 증가했다. 파생 비중의 증가는 외부 계산에 따른 사후 진단이며 모델의 선호 증가를 뜻하지 않는다. 출처: E1.</w:t>
      </w:r>
    </w:p>
    <w:p>
      <w:pPr>
        <w:pStyle w:val="Heading2"/>
      </w:pPr>
      <w:r>
        <w:t>7 4 최근 금융 연구가 제기하는 차별화의 조건</w:t>
      </w:r>
    </w:p>
    <w:p>
      <w:r>
        <w:t>금융 실험에서 수렴의 의미는 정보구조와 과제에 따라 달라진다. Anand 등(2026a)의 펀드 환매 모의실험에서는 같은 지시를 받은 LLM도 서로 다른 믿음을 형성하며, 잡음 있는 사적 신호를 추가하면 공통 임계 전략과 믿음 틀로 수렴할 수 있음을 보고하였다. 저자들의 ECB 연구 요약(2026b)은 이 결과의 금융안정 함의를 설명한다. Hansen과 Lee(2025)의 순차 거래 게임에서는 이론상 최적 행동을 명시한 지시가 합리적 군집행동을 촉진했다. 이들은 행위자 간 상호작용과 사적 신호를 다룬다는 점에서 공개 전망을 읽는 본 과제와 다르지만, 기관별 정보를 더 주면 유효한 차이가 자동으로 회복된다는 가정을 재검토하게 한다.</w:t>
      </w:r>
    </w:p>
    <w:p>
      <w:r>
        <w:t>따라서 본 사례의 초기 기관 간 거리 3.86%와 후기 거리 13.49%만으로 어느 제공 절차가 더 나은지 정할 수 없다. Hornuf 등(2025)도 추가 기업정보 이후 역사적 성과의 개선을 위험 노출 증가와 연결하면서 위험자산 내부의 평균분산 효율 개선과 구분했다. 본고의 수정량과 배분 거리도 판단 개선을 직접 나타내지 않는다. 대응의 목표는 배분 차이의 극대화보다, 공통으로 유지할 전제와 실제로 다른 근거가 영향을 주어야 할 판단을 구분하고 그 연결을 확인하는 데 두어야 한다.</w:t>
      </w:r>
    </w:p>
    <w:p>
      <w:pPr>
        <w:pStyle w:val="Heading2"/>
      </w:pPr>
      <w:r>
        <w:t>7 5 설명을 평가하는 최근 연구의 시사점</w:t>
      </w:r>
    </w:p>
    <w:p>
      <w:r>
        <w:t>현재 분석은 공개된 설명에서 근거를 재현했는지, 그 이유가 제출 비중과 맞는지를 확인한 것이며 실제 근거 의존을 개입으로 측정한 것은 아니다. Matton 등(2025)은 의료 질의응답 등에서 설명상 중요하다고 언급한 근거와 입력 개념을 바꿨을 때 실제 답변에 영향을 주는 근거가 어긋날 수 있음을 보였다. 반면 Mayne 등(2026)은 건강·비즈니스·윤리의 반사실 과제에서 자기설명이 관련 입력에 대한 행동 예측에 도움이 된다고 보고했다. 두 결과를 함께 보면 설명의 길이나 설득력만으로 근거 사용을 확인하기도, 모든 설명을 무의미하게 취급하기도 어렵다.</w:t>
      </w:r>
    </w:p>
    <w:p>
      <w:r>
        <w:t>설명은 다음 선택을 검증할 가설로 사용할 수 있다. 예컨대 특정 기관 근거 때문에 정보기술을 줄였다고 밝혔다면, 그 근거를 제거·교체했을 때 관련 판단을 다시 검토하는지 확인하는 것이다. 본고가 수행하지 않은 이러한 개입 비교를 통해, 설명이 실제 선택을 예측하는지와 근거 변화에 타당하게 반응하는지를 후속 검증해야 한다.</w:t>
      </w:r>
    </w:p>
    <w:p>
      <w:pPr>
        <w:pStyle w:val="Heading1"/>
      </w:pPr>
      <w:r>
        <w:t>8 실험 해석에 근거한 대응 방향</w:t>
      </w:r>
    </w:p>
    <w:p>
      <w:r>
        <w:t>대응의 목표는 공통 시장 사실을 함께 검증하면서 기관별 근거가 지지한 판단을 최종 비중까지 확인할 수 있게 하는 것이다. 이를 위해 원문과 추가 운용판단을 구분하고, 제안한 증감과 확정 비중이 일치하는지 대조하며, 공통 전제를 고쳤을 때 관련 선택을 다시 검토하는 절차를 제안한다. 기관별 근거를 검색·제공하는 단계에 이러한 검증을 연결해야 자료를 더한 효과를 평가할 수 있다. 아래 절차는 관측된 단절에 대응하는 설계 가설이며 아직 개선 효과를 검증하지 않았다.</w:t>
      </w:r>
    </w:p>
    <w:p>
      <w:pPr>
        <w:pStyle w:val="Heading2"/>
      </w:pPr>
      <w:r>
        <w:t>8 1 타 산업에서 가져올 구조와 적용 한계</w:t>
      </w:r>
    </w:p>
    <w:p>
      <w:r>
        <w:t>자료 재현 이후에도 이유와 선택이 어긋난다는 관측에 대응하기 위해, 표 6과 같이 의료 설명 평가·물류 설비 검토·여행계획·항공 업무의 검증 구조를 비교하였다(Matton 등, 2025; Amazon Web Services, n.d.; Hao 등, 2025; Reddy 등, 2026). 증거 수준이 다른 사례에서 검증 기능을 가져오되 외부 성과를 본 과제의 개선 효과로 이전하지 않는다.</w:t>
      </w:r>
    </w:p>
    <w:p>
      <w:pPr>
        <w:pStyle w:val="Caption"/>
        <w:keepNext/>
      </w:pPr>
      <w:r>
        <w:t>표 6 타 산업의 대응 방식과 본 연구의 전용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35"/>
        <w:gridCol w:w="3231"/>
        <w:gridCol w:w="3005"/>
      </w:tblGrid>
      <w:tr>
        <w:trPr>
          <w:tblHeader/>
          <w:cantSplit/>
        </w:trPr>
        <w:tc>
          <w:tcPr>
            <w:tcW w:type="dxa" w:w="2835"/>
            <w:vAlign w:val="center"/>
            <w:shd w:fill="E8EDF1"/>
          </w:tcPr>
          <w:p>
            <w:pPr>
              <w:pStyle w:val="TableText"/>
              <w:keepNext/>
              <w:keepLines/>
              <w:jc w:val="center"/>
            </w:pPr>
            <w:r>
              <w:rPr>
                <w:b/>
              </w:rPr>
              <w:t>사례와 증거 수준</w:t>
            </w:r>
          </w:p>
        </w:tc>
        <w:tc>
          <w:tcPr>
            <w:tcW w:type="dxa" w:w="3231"/>
            <w:vAlign w:val="center"/>
            <w:shd w:fill="E8EDF1"/>
          </w:tcPr>
          <w:p>
            <w:pPr>
              <w:pStyle w:val="TableText"/>
              <w:keepNext/>
              <w:keepLines/>
              <w:jc w:val="center"/>
            </w:pPr>
            <w:r>
              <w:rPr>
                <w:b/>
              </w:rPr>
              <w:t>가져올 핵심 구조</w:t>
            </w:r>
          </w:p>
        </w:tc>
        <w:tc>
          <w:tcPr>
            <w:tcW w:type="dxa" w:w="3005"/>
            <w:vAlign w:val="center"/>
            <w:shd w:fill="E8EDF1"/>
          </w:tcPr>
          <w:p>
            <w:pPr>
              <w:pStyle w:val="TableText"/>
              <w:keepNext/>
              <w:keepLines/>
              <w:jc w:val="center"/>
            </w:pPr>
            <w:r>
              <w:rPr>
                <w:b/>
              </w:rPr>
              <w:t>직접 이전할 수 없는 부분</w:t>
            </w:r>
          </w:p>
        </w:tc>
      </w:tr>
      <w:tr>
        <w:trPr>
          <w:cantSplit/>
        </w:trPr>
        <w:tc>
          <w:tcPr>
            <w:tcW w:type="dxa" w:w="2835"/>
            <w:vAlign w:val="center"/>
          </w:tcPr>
          <w:p>
            <w:pPr>
              <w:pStyle w:val="TableText"/>
              <w:keepNext w:val="0"/>
              <w:keepLines/>
            </w:pPr>
            <w:r>
              <w:rPr>
                <w:b w:val="0"/>
              </w:rPr>
              <w:t>물류 전기설비 검토</w:t>
              <w:br/>
              <w:t>AWS·고객의 실제 도입 보고</w:t>
            </w:r>
          </w:p>
        </w:tc>
        <w:tc>
          <w:tcPr>
            <w:tcW w:type="dxa" w:w="3231"/>
            <w:vAlign w:val="center"/>
          </w:tcPr>
          <w:p>
            <w:pPr>
              <w:pStyle w:val="TableText"/>
              <w:keepNext w:val="0"/>
              <w:keepLines/>
            </w:pPr>
            <w:r>
              <w:rPr>
                <w:b w:val="0"/>
              </w:rPr>
              <w:t>문서 변수 추출과 규칙 판단 분리</w:t>
              <w:br/>
              <w:t>예외 판단은 전문가에게 남김</w:t>
            </w:r>
          </w:p>
        </w:tc>
        <w:tc>
          <w:tcPr>
            <w:tcW w:type="dxa" w:w="3005"/>
            <w:vAlign w:val="center"/>
          </w:tcPr>
          <w:p>
            <w:pPr>
              <w:pStyle w:val="TableText"/>
              <w:keepNext w:val="0"/>
              <w:keepLines/>
            </w:pPr>
            <w:r>
              <w:rPr>
                <w:b w:val="0"/>
              </w:rPr>
              <w:t>투자전망의 진실이나 적정 비중까지</w:t>
              <w:br/>
              <w:t>규정처럼 증명할 수 없음</w:t>
            </w:r>
          </w:p>
        </w:tc>
      </w:tr>
      <w:tr>
        <w:trPr>
          <w:cantSplit/>
        </w:trPr>
        <w:tc>
          <w:tcPr>
            <w:tcW w:type="dxa" w:w="2835"/>
            <w:vAlign w:val="center"/>
          </w:tcPr>
          <w:p>
            <w:pPr>
              <w:pStyle w:val="TableText"/>
              <w:keepNext w:val="0"/>
              <w:keepLines/>
            </w:pPr>
            <w:r>
              <w:rPr>
                <w:b w:val="0"/>
              </w:rPr>
              <w:t>여행계획</w:t>
              <w:br/>
              <w:t>Hao 등 2025 벤치마크</w:t>
            </w:r>
          </w:p>
        </w:tc>
        <w:tc>
          <w:tcPr>
            <w:tcW w:type="dxa" w:w="3231"/>
            <w:vAlign w:val="center"/>
          </w:tcPr>
          <w:p>
            <w:pPr>
              <w:pStyle w:val="TableText"/>
              <w:keepNext w:val="0"/>
              <w:keepLines/>
            </w:pPr>
            <w:r>
              <w:rPr>
                <w:b w:val="0"/>
              </w:rPr>
              <w:t>양립 불가 요구와 충돌 이유 제시</w:t>
              <w:br/>
              <w:t>수정할 조건을 명시</w:t>
            </w:r>
          </w:p>
        </w:tc>
        <w:tc>
          <w:tcPr>
            <w:tcW w:type="dxa" w:w="3005"/>
            <w:vAlign w:val="center"/>
          </w:tcPr>
          <w:p>
            <w:pPr>
              <w:pStyle w:val="TableText"/>
              <w:keepNext w:val="0"/>
              <w:keepLines/>
            </w:pPr>
            <w:r>
              <w:rPr>
                <w:b w:val="0"/>
              </w:rPr>
              <w:t>전망 등급에 대응하는 유일한</w:t>
              <w:br/>
              <w:t>배분 규칙을 제공하지 않음</w:t>
            </w:r>
          </w:p>
        </w:tc>
      </w:tr>
      <w:tr>
        <w:trPr>
          <w:cantSplit/>
        </w:trPr>
        <w:tc>
          <w:tcPr>
            <w:tcW w:type="dxa" w:w="2835"/>
            <w:vAlign w:val="center"/>
          </w:tcPr>
          <w:p>
            <w:pPr>
              <w:pStyle w:val="TableText"/>
              <w:keepNext w:val="0"/>
              <w:keepLines/>
            </w:pPr>
            <w:r>
              <w:rPr>
                <w:b w:val="0"/>
              </w:rPr>
              <w:t>항공 예약 업무</w:t>
              <w:br/>
              <w:t>Reddy 등 2026 사전공개본</w:t>
            </w:r>
          </w:p>
        </w:tc>
        <w:tc>
          <w:tcPr>
            <w:tcW w:type="dxa" w:w="3231"/>
            <w:vAlign w:val="center"/>
          </w:tcPr>
          <w:p>
            <w:pPr>
              <w:pStyle w:val="TableText"/>
              <w:keepNext w:val="0"/>
              <w:keepLines/>
            </w:pPr>
            <w:r>
              <w:rPr>
                <w:b w:val="0"/>
              </w:rPr>
              <w:t>실행 전 현재 상태와 요청 검사</w:t>
              <w:br/>
              <w:t>완료 보고와 실제 상태의 연결</w:t>
            </w:r>
          </w:p>
        </w:tc>
        <w:tc>
          <w:tcPr>
            <w:tcW w:type="dxa" w:w="3005"/>
            <w:vAlign w:val="center"/>
          </w:tcPr>
          <w:p>
            <w:pPr>
              <w:pStyle w:val="TableText"/>
              <w:keepNext w:val="0"/>
              <w:keepLines/>
            </w:pPr>
            <w:r>
              <w:rPr>
                <w:b w:val="0"/>
              </w:rPr>
              <w:t>벤치마크 효과를 실제 항공사나</w:t>
              <w:br/>
              <w:t>금융 업무 효과로 일반화할 수 없음</w:t>
            </w:r>
          </w:p>
        </w:tc>
      </w:tr>
      <w:tr>
        <w:trPr>
          <w:cantSplit/>
        </w:trPr>
        <w:tc>
          <w:tcPr>
            <w:tcW w:type="dxa" w:w="2835"/>
            <w:vAlign w:val="center"/>
          </w:tcPr>
          <w:p>
            <w:pPr>
              <w:pStyle w:val="TableText"/>
              <w:keepNext w:val="0"/>
              <w:keepLines/>
            </w:pPr>
            <w:r>
              <w:rPr>
                <w:b w:val="0"/>
              </w:rPr>
              <w:t>의료 질의응답</w:t>
              <w:br/>
              <w:t>Matton 등 2025 연구</w:t>
            </w:r>
          </w:p>
        </w:tc>
        <w:tc>
          <w:tcPr>
            <w:tcW w:type="dxa" w:w="3231"/>
            <w:vAlign w:val="center"/>
          </w:tcPr>
          <w:p>
            <w:pPr>
              <w:pStyle w:val="TableText"/>
              <w:keepNext w:val="0"/>
              <w:keepLines/>
            </w:pPr>
            <w:r>
              <w:rPr>
                <w:b w:val="0"/>
              </w:rPr>
              <w:t>주장한 근거를 개입해</w:t>
              <w:br/>
              <w:t>실제 선택의 반응과 비교</w:t>
            </w:r>
          </w:p>
        </w:tc>
        <w:tc>
          <w:tcPr>
            <w:tcW w:type="dxa" w:w="3005"/>
            <w:vAlign w:val="center"/>
          </w:tcPr>
          <w:p>
            <w:pPr>
              <w:pStyle w:val="TableText"/>
              <w:keepNext w:val="0"/>
              <w:keepLines/>
            </w:pPr>
            <w:r>
              <w:rPr>
                <w:b w:val="0"/>
              </w:rPr>
              <w:t>선택형 QA의 평가식을 연속 배분에</w:t>
              <w:br/>
              <w:t>그대로 적용할 수 없음</w:t>
            </w:r>
          </w:p>
        </w:tc>
      </w:tr>
    </w:tbl>
    <w:p>
      <w:pPr>
        <w:pStyle w:val="TableNote"/>
      </w:pPr>
      <w:r>
        <w:t>실제 도입 보고, 동료심사 연구, 사전공개본은 동일한 증거 수준이 아니다. 아래 제안은 해당 구조를 본 실험의 실패 지점에 맞게 조합한 연구자의 설계이다.</w:t>
      </w:r>
    </w:p>
    <w:p>
      <w:r>
        <w:t>공통으로 적용할 원리는 문서 해석과 규칙 검사를 나누고, 완료 설명을 실제 확정 상태와 대조하며, 결정할 수 없는 판단을 남기는 것이다. 다만 AWS·고객의 도입 보고에는 독립 대조평가와 잔존 오류율이 공개되지 않았고, 항공 연구에는 같은 과제를 이용한 규칙 작성·평가의 한계가 있다. 물류의 후속 기술 문서가 구분한 번역·규칙·변수 의미의 오류처럼 검사 규칙 자체도 검토해야 한다(Diallo 등, 2026a, 2026b). 투자전망의 진실과 적정 배분까지 논리 검사로 증명할 수 있는 것은 아니다.</w:t>
      </w:r>
    </w:p>
    <w:p>
      <w:pPr>
        <w:pStyle w:val="Heading2"/>
      </w:pPr>
      <w:r>
        <w:t>8 2 공통 기본안에서 기회비용을 밝힌 변경안으로</w:t>
      </w:r>
    </w:p>
    <w:p>
      <w:r>
        <w:t>정규화로 수정 방향이 바뀐 문제에 대응하기 위해, 합계와 자료 해석 및 명시 제약을 확인한 공통 기본안에서 기관별 변경안을 제출하는 방식을 제안한다. 기본안은 같은 시장 자료로 구성한 유효한 출발점이며 S&amp;P 500 구성비나 최소분산 해를 정답으로 강제하지 않는다. 모델은 늘릴 산업과 재원을 줄일 산업, 양쪽 근거, 기관 원문을 채택·조정·따르지 않는 이유를 함께 제시한다.</w:t>
      </w:r>
    </w:p>
    <w:p>
      <w:r>
        <w:t>예를 들어 정보기술을 2%p 늘린다면 다른 산업에서 합계 2%p를 줄이는 기회비용도 설명한다. 계산기는 증감 합계가 0이고 적용 후 모든 비중이 비음수이며 명시 제약을 충족하는 변경만 적용한다. 이때 금액 또는 정수 단위 이동으로 합계 100%와 선언한 증감 방향을 보존한다. 사용한 근거는 공통 시장 자료·기관 자료·추가 운용 가정으로 구분한다. 유효한 두 배분의 차이 합계가 0인 것은 수학적 성질이며, 설계의 핵심은 증가의 매력과 감소의 비용을 함께 검토하게 하는 데 있다.</w:t>
      </w:r>
    </w:p>
    <w:p>
      <w:r>
        <w:t>기본안 고정이 공유 오류를 유지할 가능성도 있다. 기관자료가 공통 시장 전제를 반박하거나 동시 조정을 요구하면 영향 범위를 밝혀 기본안 자체를 갱신한다. 같은 자원의 전체 재작성보다 중요한 변경을 더 많이 누락한다면 이 방식을 채택할 근거가 약해진다. 효과와 비용의 비교는 9.2에서 제시한다.</w:t>
      </w:r>
    </w:p>
    <w:p>
      <w:pPr>
        <w:pStyle w:val="Heading2"/>
      </w:pPr>
      <w:r>
        <w:t>8 3 기관 근거를 따랐다는 설명을 행동으로 검증</w:t>
      </w:r>
    </w:p>
    <w:p>
      <w:r>
        <w:t>근거 언급과 실제 선택의 괴리에 대응하기 위해, 최종 비중을 내기 전에 어떤 근거가 어떤 판단을 바꿀 수 있는지 조건문으로 선언하도록 제안한다. 이 선언은 정답 비중이나 내부 사고과정의 기록이 아니라 다음 응답과 대조할 판단 조건이다. Matton 등(2025)의 근거 개입과 Mayne 등(2026)의 행동 예측을 참고하여 근거 의존과 의미 보존 안정성을 함께 검사한다.</w:t>
      </w:r>
    </w:p>
    <w:p>
      <w:r>
        <w:t>핵심 근거를 제거·교체할 때 관련 판단을 재검토하는지와, 의미가 같은 재표현에서는 선택이 안정적인지를 비교한다. 의미 보존 개입은 내용·등급 정의·날짜·신뢰 조건을 유지한 익명화나 표현 변경을 사용한다. 기관명을 가리더라도 고유 등급 정의는 남기며, 실질 내용의 교체에는 실제 새 문서를 쓰거나 가상 개입임을 표시하여 기관의 실제 발언으로 오인되지 않게 한다.</w:t>
      </w:r>
    </w:p>
    <w:p>
      <w:r>
        <w:t>개입 이후 비중 유지가 곧 실패는 아니다. 대체 근거나 제약이 같은 선택을 지지할 수 있으므로 의존 조건의 철회·수정, 대체 근거의 존재, 필요한 보류를 함께 판단한다. 한 산업의 증액은 다른 산업의 감액과 연결되어 대상 밖의 변화도 모두 오류로 셀 수는 없다. 개입의 의미 보존과 판정 범위는 독립 검토로 확인한다. 현재 다섯 사례에서는 이 검사의 실패 빈도나 개선 효과를 추정하지 않았다.</w:t>
      </w:r>
    </w:p>
    <w:p>
      <w:pPr>
        <w:pStyle w:val="Heading2"/>
      </w:pPr>
      <w:r>
        <w:t>8 4 기관 판단의 적용 권한과 확정된 선택 상태</w:t>
      </w:r>
    </w:p>
    <w:p>
      <w:r>
        <w:t>기관의 주장과 추가 운용판단이 한 이유로 제시된 문제에 대응하려면 자료 내용, 추가 해석, 승인할 선택을 분리해야 한다. 본 실험의 UBS 입력에서 정보기술의 등급은 Neutral이고 별도 산업별 이유는 제공되지 않았다. 가격 선반영은 모델의 추가 가설이며, 이를 이용한 감액은 별도의 운용판단이다. 자료 밖의 해석을 사용할 때에는 그 주체와 근거를 명시한다.</w:t>
      </w:r>
    </w:p>
    <w:p>
      <w:r>
        <w:t>논리 검사는 원문·과제의 명시 조건과 모델이 선언한 행동 관계에 적용한다. “증가”라는 선언과 실제 증감은 검사할 수 있지만, 원문에 없는 Neutral의 기준비중 일치나 Attractive의 고정 증가폭을 규칙으로 만들지 않는다(표 7). 정성 전망을 전부 형식화할 수 있다고 가정하지 않고 조건부·추가 판단 필요·범위 밖 상태를 허용한다.</w:t>
      </w:r>
    </w:p>
    <w:p>
      <w:pPr>
        <w:pStyle w:val="Caption"/>
        <w:keepNext/>
      </w:pPr>
      <w:r>
        <w:t>표 7 검증할 관계와 연구자가 만들지 않을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587"/>
        <w:gridCol w:w="3685"/>
        <w:gridCol w:w="3798"/>
      </w:tblGrid>
      <w:tr>
        <w:trPr>
          <w:tblHeader/>
          <w:cantSplit/>
        </w:trPr>
        <w:tc>
          <w:tcPr>
            <w:tcW w:type="dxa" w:w="1587"/>
            <w:vAlign w:val="center"/>
            <w:shd w:fill="E8EDF1"/>
          </w:tcPr>
          <w:p>
            <w:pPr>
              <w:pStyle w:val="TableText"/>
              <w:keepNext/>
              <w:keepLines/>
              <w:jc w:val="center"/>
            </w:pPr>
            <w:r>
              <w:rPr>
                <w:b/>
              </w:rPr>
              <w:t>구분</w:t>
            </w:r>
          </w:p>
        </w:tc>
        <w:tc>
          <w:tcPr>
            <w:tcW w:type="dxa" w:w="3685"/>
            <w:vAlign w:val="center"/>
            <w:shd w:fill="E8EDF1"/>
          </w:tcPr>
          <w:p>
            <w:pPr>
              <w:pStyle w:val="TableText"/>
              <w:keepNext/>
              <w:keepLines/>
              <w:jc w:val="center"/>
            </w:pPr>
            <w:r>
              <w:rPr>
                <w:b/>
              </w:rPr>
              <w:t>검증하거나 요구할 내용</w:t>
            </w:r>
          </w:p>
        </w:tc>
        <w:tc>
          <w:tcPr>
            <w:tcW w:type="dxa" w:w="3798"/>
            <w:vAlign w:val="center"/>
            <w:shd w:fill="E8EDF1"/>
          </w:tcPr>
          <w:p>
            <w:pPr>
              <w:pStyle w:val="TableText"/>
              <w:keepNext/>
              <w:keepLines/>
              <w:jc w:val="center"/>
            </w:pPr>
            <w:r>
              <w:rPr>
                <w:b/>
              </w:rPr>
              <w:t>자동 규칙으로 만들지 않을 내용</w:t>
            </w:r>
          </w:p>
        </w:tc>
      </w:tr>
      <w:tr>
        <w:trPr>
          <w:cantSplit/>
        </w:trPr>
        <w:tc>
          <w:tcPr>
            <w:tcW w:type="dxa" w:w="1587"/>
            <w:vAlign w:val="center"/>
          </w:tcPr>
          <w:p>
            <w:pPr>
              <w:pStyle w:val="TableText"/>
              <w:keepNext w:val="0"/>
              <w:keepLines/>
            </w:pPr>
            <w:r>
              <w:rPr>
                <w:b w:val="0"/>
              </w:rPr>
              <w:t>자료 귀속</w:t>
            </w:r>
          </w:p>
        </w:tc>
        <w:tc>
          <w:tcPr>
            <w:tcW w:type="dxa" w:w="3685"/>
            <w:vAlign w:val="center"/>
          </w:tcPr>
          <w:p>
            <w:pPr>
              <w:pStyle w:val="TableText"/>
              <w:keepNext w:val="0"/>
              <w:keepLines/>
            </w:pPr>
            <w:r>
              <w:rPr>
                <w:b w:val="0"/>
              </w:rPr>
              <w:t>기관 주장과 별도 가설의 주체 구분</w:t>
            </w:r>
          </w:p>
        </w:tc>
        <w:tc>
          <w:tcPr>
            <w:tcW w:type="dxa" w:w="3798"/>
            <w:vAlign w:val="center"/>
          </w:tcPr>
          <w:p>
            <w:pPr>
              <w:pStyle w:val="TableText"/>
              <w:keepNext w:val="0"/>
              <w:keepLines/>
            </w:pPr>
            <w:r>
              <w:rPr>
                <w:b w:val="0"/>
              </w:rPr>
              <w:t>제공되지 않은 기관의 숨은 이유</w:t>
            </w:r>
          </w:p>
        </w:tc>
      </w:tr>
      <w:tr>
        <w:trPr>
          <w:cantSplit/>
        </w:trPr>
        <w:tc>
          <w:tcPr>
            <w:tcW w:type="dxa" w:w="1587"/>
            <w:vAlign w:val="center"/>
          </w:tcPr>
          <w:p>
            <w:pPr>
              <w:pStyle w:val="TableText"/>
              <w:keepNext w:val="0"/>
              <w:keepLines/>
            </w:pPr>
            <w:r>
              <w:rPr>
                <w:b w:val="0"/>
              </w:rPr>
              <w:t>선택의 증감</w:t>
            </w:r>
          </w:p>
        </w:tc>
        <w:tc>
          <w:tcPr>
            <w:tcW w:type="dxa" w:w="3685"/>
            <w:vAlign w:val="center"/>
          </w:tcPr>
          <w:p>
            <w:pPr>
              <w:pStyle w:val="TableText"/>
              <w:keepNext w:val="0"/>
              <w:keepLines/>
            </w:pPr>
            <w:r>
              <w:rPr>
                <w:b w:val="0"/>
              </w:rPr>
              <w:t>선언한 증가·감소와 확정 숫자의 일치</w:t>
            </w:r>
          </w:p>
        </w:tc>
        <w:tc>
          <w:tcPr>
            <w:tcW w:type="dxa" w:w="3798"/>
            <w:vAlign w:val="center"/>
          </w:tcPr>
          <w:p>
            <w:pPr>
              <w:pStyle w:val="TableText"/>
              <w:keepNext w:val="0"/>
              <w:keepLines/>
            </w:pPr>
            <w:r>
              <w:rPr>
                <w:b w:val="0"/>
              </w:rPr>
              <w:t>모든 긍정 등급에 고정 증가폭 부여</w:t>
            </w:r>
          </w:p>
        </w:tc>
      </w:tr>
      <w:tr>
        <w:trPr>
          <w:cantSplit/>
        </w:trPr>
        <w:tc>
          <w:tcPr>
            <w:tcW w:type="dxa" w:w="1587"/>
            <w:vAlign w:val="center"/>
          </w:tcPr>
          <w:p>
            <w:pPr>
              <w:pStyle w:val="TableText"/>
              <w:keepNext w:val="0"/>
              <w:keepLines/>
            </w:pPr>
            <w:r>
              <w:rPr>
                <w:b w:val="0"/>
              </w:rPr>
              <w:t>배분 실행</w:t>
            </w:r>
          </w:p>
        </w:tc>
        <w:tc>
          <w:tcPr>
            <w:tcW w:type="dxa" w:w="3685"/>
            <w:vAlign w:val="center"/>
          </w:tcPr>
          <w:p>
            <w:pPr>
              <w:pStyle w:val="TableText"/>
              <w:keepNext w:val="0"/>
              <w:keepLines/>
            </w:pPr>
            <w:r>
              <w:rPr>
                <w:b w:val="0"/>
              </w:rPr>
              <w:t>이동의 합계·비음수·명시된 제약</w:t>
            </w:r>
          </w:p>
        </w:tc>
        <w:tc>
          <w:tcPr>
            <w:tcW w:type="dxa" w:w="3798"/>
            <w:vAlign w:val="center"/>
          </w:tcPr>
          <w:p>
            <w:pPr>
              <w:pStyle w:val="TableText"/>
              <w:keepNext w:val="0"/>
              <w:keepLines/>
            </w:pPr>
            <w:r>
              <w:rPr>
                <w:b w:val="0"/>
              </w:rPr>
              <w:t>공개 전망에서 실제 위험한도 추정</w:t>
            </w:r>
          </w:p>
        </w:tc>
      </w:tr>
      <w:tr>
        <w:trPr>
          <w:cantSplit/>
        </w:trPr>
        <w:tc>
          <w:tcPr>
            <w:tcW w:type="dxa" w:w="1587"/>
            <w:vAlign w:val="center"/>
          </w:tcPr>
          <w:p>
            <w:pPr>
              <w:pStyle w:val="TableText"/>
              <w:keepNext w:val="0"/>
              <w:keepLines/>
            </w:pPr>
            <w:r>
              <w:rPr>
                <w:b w:val="0"/>
              </w:rPr>
              <w:t>판단 부족</w:t>
            </w:r>
          </w:p>
        </w:tc>
        <w:tc>
          <w:tcPr>
            <w:tcW w:type="dxa" w:w="3685"/>
            <w:vAlign w:val="center"/>
          </w:tcPr>
          <w:p>
            <w:pPr>
              <w:pStyle w:val="TableText"/>
              <w:keepNext w:val="0"/>
              <w:keepLines/>
            </w:pPr>
            <w:r>
              <w:rPr>
                <w:b w:val="0"/>
              </w:rPr>
              <w:t>추가 근거·운용 결정이 필요한 지점</w:t>
            </w:r>
          </w:p>
        </w:tc>
        <w:tc>
          <w:tcPr>
            <w:tcW w:type="dxa" w:w="3798"/>
            <w:vAlign w:val="center"/>
          </w:tcPr>
          <w:p>
            <w:pPr>
              <w:pStyle w:val="TableText"/>
              <w:keepNext w:val="0"/>
              <w:keepLines/>
            </w:pPr>
            <w:r>
              <w:rPr>
                <w:b w:val="0"/>
              </w:rPr>
              <w:t>결정되지 않은 내용을 정답처럼 완성</w:t>
            </w:r>
          </w:p>
        </w:tc>
      </w:tr>
    </w:tbl>
    <w:p>
      <w:pPr>
        <w:pStyle w:val="TableNote"/>
      </w:pPr>
      <w:r>
        <w:t>검증 가능성은 기관 판단의 경제적 진실이나 미래 성과를 의미하지 않는다. 정성 해석은 근거와 범위를 기록하여 검토한다.</w:t>
      </w:r>
    </w:p>
    <w:p>
      <w:r>
        <w:t>최종 비중을 확정할 때에는 적용 근거와 판단 주체, 버전을 함께 기록한다. “늘렸다”거나 “기준보다 높다”는 설명은 확정한 숫자로 계산하여 작성한다. 이는 항공 연구에서 완료 보고를 실제 예약 상태와 대조한 구조를 본 과제에 적용한 것이다(Reddy 등, 2026). 숫자·근거·규칙이 바뀌면 관련 설명과 승인도 갱신해야 한다. 잘못된 검사 규칙이나 이전 버전의 결정을 재사용하면 새로운 오류가 생길 수 있다. 검사를 통과했다는 것은 명시한 관계가 일치한다는 뜻이며, 모든 투자판단이 적절하다는 보증은 아니다.</w:t>
      </w:r>
    </w:p>
    <w:p>
      <w:pPr>
        <w:pStyle w:val="Heading2"/>
      </w:pPr>
      <w:r>
        <w:t>8 5 공유 오류를 판단의 의존 관계에 따라 복구</w:t>
      </w:r>
    </w:p>
    <w:p>
      <w:r>
        <w:t>공유 수치 오류가 서로 다른 배분에 남은 문제에 대응하기 위해, 사실 수정 이후 그 사실에 의존한 판단을 다시 여는 절차를 제안한다. 정보기술의 149.92%를 바로잡으면 강한 모멘텀이라는 평가, 위험을 감수할 이유, 다른 산업에서 재원을 줄일 이유도 함께 검토한다.</w:t>
      </w:r>
    </w:p>
    <w:p>
      <w:r>
        <w:t>입력 사실에서 해석·선택 이유·자금 이동으로 이어지는 참조 관계를 기록하고 같은 전제를 사용한 기관 조건의 영향을 확인한다. 이는 공개된 주장과 계산이 밝힌 의존 관계이며 모델 내부의 인과 그래프를 복원한 것은 아니다. 사실 수정 뒤에도 추론의 문제가 남는 RARR의 한계와 정책 변경 후 재시험을 수행하는 AWS의 구조를 참고한다(Gao 등, 2023; Diallo 등, 2026b).</w:t>
      </w:r>
    </w:p>
    <w:p>
      <w:r>
        <w:t>복구는 동일 방향의 자동 수정이 아니라 영향 범위의 재검토이다. 같은 숫자를 인용했다는 이유로 모든 선택을 바꾸거나 기관별 판단을 공통 결론으로 합치지 않으며, 공통 기본안이 틀리면 전체 재검토로 전환한다. 관련 선택의 승인을 다시 열되 이미 맞았던 자료 해석과 무관한 규칙의 손상도 확인해야 한다. 오류 감소와 함께 올바른 기관 해석의 손실·새 오류·불필요한 차단을 기록해야, 기관 차이를 기계적으로 지운 절차를 성공적인 복구로 오인하지 않을 수 있다.</w:t>
      </w:r>
    </w:p>
    <w:p>
      <w:pPr>
        <w:pStyle w:val="Heading2"/>
      </w:pPr>
      <w:r>
        <w:t>8 6 공개자료 과제와 실제 기관 도입의 구분</w:t>
      </w:r>
    </w:p>
    <w:p>
      <w:r>
        <w:t>공개자료 과제에서는 같은 시장 전제를 확인하고, 기관의 전망과 모델의 추가 판단을 구분하며, 근거가 지지한 변경이 실제 비중까지 이어지는지 검사할 수 있다. 실제 기관에서 이 절차를 쓰려면 투자목적, 허용 위험, 기존 보유자산, 금지·예외 조건과 결정 권한도 입력해야 한다. 공통 모델이 기관별로 필요한 차이를 보존하는지는 이러한 운용조건까지 포함해야 평가할 수 있다. Hornuf 등(2025)이 논의한 배분 재량의 제한도 실제 기관 정보가 있어야 구체화할 수 있다.</w:t>
      </w:r>
    </w:p>
    <w:p>
      <w:r>
        <w:t>기관별 판단을 유지하려면 원문과 승인된 운용조건이 모델의 설명에 섞여 사라지지 않도록 관리해야 한다. 자료 준비자는 원문과 버전을, 운용 담당자는 추가 판단과 허용 재량을, 검증 담당자는 설명·숫자의 불일치와 미해결 사항을 관리한다. 이 책임 구분은 NIST AI RMF 1.0을 참고한다(Tabassi, 2023). 기관의 전망, 모델이 덧붙인 해석, 실제 승인한 비중을 따로 기록하면 공통 모델의 어느 판단을 받아들였는지 확인할 수 있다.</w:t>
      </w:r>
    </w:p>
    <w:p>
      <w:pPr>
        <w:pStyle w:val="Heading1"/>
      </w:pPr>
      <w:r>
        <w:t>9 한계와 후속 검증</w:t>
      </w:r>
    </w:p>
    <w:p>
      <w:pPr>
        <w:pStyle w:val="Heading2"/>
      </w:pPr>
      <w:r>
        <w:t>9 1 관찰에서 설계 가설까지의 범위</w:t>
      </w:r>
    </w:p>
    <w:p>
      <w:r>
        <w:t>한 시장 상황, 두 공개 자료원, 한 소형 양자화 모델과 조건당 한 최종안만 분석했으므로 결과의 분포나 일반적인 모델 성향을 추정하기 어렵다. 기관자료 외에도 노출량·초안·순서·운영 이력이 달랐고, 초기 출력 뒤에 분석 역할과 정규화된 파생 지표를 변경했다. 따라서 관측된 단절을 내부 지식 간섭·초안 의존·위임 규칙 부재 중 하나의 효과로 귀속할 수 없다. 후속 연구에는 새로운 자료시점과 독립적인 초기 생성에 대한 반복이 필요하다. 금융 게임·의료 질의응답·설비·예약 과제도 현재 과제와 다르므로 외부 성과 수치는 제안의 기대효과가 될 수 없다.</w:t>
      </w:r>
    </w:p>
    <w:p>
      <w:r>
        <w:t>본 과제에는 실제 보유비중·고객 목적·위험선호와 미래 투자성과가 없어, 기관별로 달라야 할 정답 배분이나 과잉수렴을 판정할 수 없다. 현재 결과는 서로 다른 공개 근거가 설명과 비중에 연결되는 과정에 관한 증거다. 사후 의미 검토도 부분 가림의 AI 보조 방식이므로 독립적인 사람 평가나 평가자 간 신뢰도를 대신하지 않는다. 8장의 절차가 필요한 차이를 지키면서 오류를 줄이는지는 새 자료와 독립 평가에서 검증해야 한다.</w:t>
      </w:r>
    </w:p>
    <w:p>
      <w:pPr>
        <w:pStyle w:val="Heading2"/>
      </w:pPr>
      <w:r>
        <w:t>9 2 제안의 효과와 원인을 나누는 비교</w:t>
      </w:r>
    </w:p>
    <w:p>
      <w:r>
        <w:t>후속 연구의 주 비교는 응답을 아직 관찰하지 않은 새 자료에서 전체 재작성 방식과 변경안 방식을 대조하는 것이다. 같은 자료·모델·유효한 공통 기본안·계산 검사·전체 자원 한도를 제공하고, 전자에는 모든 비중과 이유를 다시 작성하게 하며 후자에는 이동량과 양쪽 근거를 제출하게 한다. 검토·수정 호출과 추가 문맥도 비용에 포함하여 출발점의 산술 보정이나 추가 호출량을 구조의 효과와 구분한다. 기존 E·L을 반복하면 전체 제공 절차의 차이로 해석하고, 순수한 초안 영향은 동일 자료에서 새로 시작한 조건과 이어서 작성한 조건을 별도로 비교한다.</w:t>
      </w:r>
    </w:p>
    <w:p>
      <w:r>
        <w:t>근거 개입과 의미 보존 개입은 두 방식에 함께 적용하며, 선택 상태 검사와 의존 관계 복구의 기여는 해당 기능을 뺀 대조로 확인한다(표 8). 예산상 모든 조합을 실행하기 어렵다면 우선 검증할 대비를 새 결과를 보기 전에 정한다. 여러 기능을 동시에 추가한 결과를 개별 기능의 효과로 해석하지 않으며, 공유 오류 고정·근거 누락·정당한 판단 차단도 실패로 평가한다.</w:t>
      </w:r>
    </w:p>
    <w:p>
      <w:pPr>
        <w:pStyle w:val="Caption"/>
        <w:keepNext/>
      </w:pPr>
      <w:r>
        <w:t>표 8 설계 가설을 기각할 수 있는 진단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98"/>
        <w:gridCol w:w="2948"/>
        <w:gridCol w:w="4025"/>
      </w:tblGrid>
      <w:tr>
        <w:trPr>
          <w:tblHeader/>
          <w:cantSplit/>
        </w:trPr>
        <w:tc>
          <w:tcPr>
            <w:tcW w:type="dxa" w:w="2098"/>
            <w:vAlign w:val="center"/>
            <w:shd w:fill="E8EDF1"/>
          </w:tcPr>
          <w:p>
            <w:pPr>
              <w:pStyle w:val="TableText"/>
              <w:keepNext/>
              <w:keepLines/>
              <w:jc w:val="center"/>
            </w:pPr>
            <w:r>
              <w:rPr>
                <w:b/>
              </w:rPr>
              <w:t>진단</w:t>
            </w:r>
          </w:p>
        </w:tc>
        <w:tc>
          <w:tcPr>
            <w:tcW w:type="dxa" w:w="2948"/>
            <w:vAlign w:val="center"/>
            <w:shd w:fill="E8EDF1"/>
          </w:tcPr>
          <w:p>
            <w:pPr>
              <w:pStyle w:val="TableText"/>
              <w:keepNext/>
              <w:keepLines/>
              <w:jc w:val="center"/>
            </w:pPr>
            <w:r>
              <w:rPr>
                <w:b/>
              </w:rPr>
              <w:t>바꾸는 요인</w:t>
            </w:r>
          </w:p>
        </w:tc>
        <w:tc>
          <w:tcPr>
            <w:tcW w:type="dxa" w:w="4025"/>
            <w:vAlign w:val="center"/>
            <w:shd w:fill="E8EDF1"/>
          </w:tcPr>
          <w:p>
            <w:pPr>
              <w:pStyle w:val="TableText"/>
              <w:keepNext/>
              <w:keepLines/>
              <w:jc w:val="center"/>
            </w:pPr>
            <w:r>
              <w:rPr>
                <w:b/>
              </w:rPr>
              <w:t>제안이 실패할 수 있는 관찰</w:t>
            </w:r>
          </w:p>
        </w:tc>
      </w:tr>
      <w:tr>
        <w:trPr>
          <w:cantSplit/>
        </w:trPr>
        <w:tc>
          <w:tcPr>
            <w:tcW w:type="dxa" w:w="2098"/>
            <w:vAlign w:val="center"/>
          </w:tcPr>
          <w:p>
            <w:pPr>
              <w:pStyle w:val="TableText"/>
              <w:keepNext w:val="0"/>
              <w:keepLines/>
            </w:pPr>
            <w:r>
              <w:rPr>
                <w:b w:val="0"/>
              </w:rPr>
              <w:t>변경안과 전체 재작성</w:t>
            </w:r>
          </w:p>
        </w:tc>
        <w:tc>
          <w:tcPr>
            <w:tcW w:type="dxa" w:w="2948"/>
            <w:vAlign w:val="center"/>
          </w:tcPr>
          <w:p>
            <w:pPr>
              <w:pStyle w:val="TableText"/>
              <w:keepNext w:val="0"/>
              <w:keepLines/>
            </w:pPr>
            <w:r>
              <w:rPr>
                <w:b w:val="0"/>
              </w:rPr>
              <w:t>동일 자원에서 의사결정 제출 구조</w:t>
            </w:r>
          </w:p>
        </w:tc>
        <w:tc>
          <w:tcPr>
            <w:tcW w:type="dxa" w:w="4025"/>
            <w:vAlign w:val="center"/>
          </w:tcPr>
          <w:p>
            <w:pPr>
              <w:pStyle w:val="TableText"/>
              <w:keepNext w:val="0"/>
              <w:keepLines/>
            </w:pPr>
            <w:r>
              <w:rPr>
                <w:b w:val="0"/>
              </w:rPr>
              <w:t>기본안 오류 고정·근거 누락이 증가</w:t>
            </w:r>
          </w:p>
        </w:tc>
      </w:tr>
      <w:tr>
        <w:trPr>
          <w:cantSplit/>
        </w:trPr>
        <w:tc>
          <w:tcPr>
            <w:tcW w:type="dxa" w:w="2098"/>
            <w:vAlign w:val="center"/>
          </w:tcPr>
          <w:p>
            <w:pPr>
              <w:pStyle w:val="TableText"/>
              <w:keepNext w:val="0"/>
              <w:keepLines/>
            </w:pPr>
            <w:r>
              <w:rPr>
                <w:b w:val="0"/>
              </w:rPr>
              <w:t>근거 의존</w:t>
            </w:r>
          </w:p>
        </w:tc>
        <w:tc>
          <w:tcPr>
            <w:tcW w:type="dxa" w:w="2948"/>
            <w:vAlign w:val="center"/>
          </w:tcPr>
          <w:p>
            <w:pPr>
              <w:pStyle w:val="TableText"/>
              <w:keepNext w:val="0"/>
              <w:keepLines/>
            </w:pPr>
            <w:r>
              <w:rPr>
                <w:b w:val="0"/>
              </w:rPr>
              <w:t>핵심 근거 제거·실질 내용 교체</w:t>
            </w:r>
          </w:p>
        </w:tc>
        <w:tc>
          <w:tcPr>
            <w:tcW w:type="dxa" w:w="4025"/>
            <w:vAlign w:val="center"/>
          </w:tcPr>
          <w:p>
            <w:pPr>
              <w:pStyle w:val="TableText"/>
              <w:keepNext w:val="0"/>
              <w:keepLines/>
            </w:pPr>
            <w:r>
              <w:rPr>
                <w:b w:val="0"/>
              </w:rPr>
              <w:t>설명상 의존 주장을 고집하며</w:t>
              <w:br/>
              <w:t>관련 판단을 검토하지 않음</w:t>
            </w:r>
          </w:p>
        </w:tc>
      </w:tr>
      <w:tr>
        <w:trPr>
          <w:cantSplit/>
        </w:trPr>
        <w:tc>
          <w:tcPr>
            <w:tcW w:type="dxa" w:w="2098"/>
            <w:vAlign w:val="center"/>
          </w:tcPr>
          <w:p>
            <w:pPr>
              <w:pStyle w:val="TableText"/>
              <w:keepNext w:val="0"/>
              <w:keepLines/>
            </w:pPr>
            <w:r>
              <w:rPr>
                <w:b w:val="0"/>
              </w:rPr>
              <w:t>의미 보존 안정성</w:t>
            </w:r>
          </w:p>
        </w:tc>
        <w:tc>
          <w:tcPr>
            <w:tcW w:type="dxa" w:w="2948"/>
            <w:vAlign w:val="center"/>
          </w:tcPr>
          <w:p>
            <w:pPr>
              <w:pStyle w:val="TableText"/>
              <w:keepNext w:val="0"/>
              <w:keepLines/>
            </w:pPr>
            <w:r>
              <w:rPr>
                <w:b w:val="0"/>
              </w:rPr>
              <w:t>정의·신뢰 조건을 보존한 익명화</w:t>
            </w:r>
          </w:p>
        </w:tc>
        <w:tc>
          <w:tcPr>
            <w:tcW w:type="dxa" w:w="4025"/>
            <w:vAlign w:val="center"/>
          </w:tcPr>
          <w:p>
            <w:pPr>
              <w:pStyle w:val="TableText"/>
              <w:keepNext w:val="0"/>
              <w:keepLines/>
            </w:pPr>
            <w:r>
              <w:rPr>
                <w:b w:val="0"/>
              </w:rPr>
              <w:t>무관한 표면 변화에 선택이</w:t>
              <w:br/>
              <w:t>체계적으로 더 민감</w:t>
            </w:r>
          </w:p>
        </w:tc>
      </w:tr>
      <w:tr>
        <w:trPr>
          <w:cantSplit/>
        </w:trPr>
        <w:tc>
          <w:tcPr>
            <w:tcW w:type="dxa" w:w="2098"/>
            <w:vAlign w:val="center"/>
          </w:tcPr>
          <w:p>
            <w:pPr>
              <w:pStyle w:val="TableText"/>
              <w:keepNext w:val="0"/>
              <w:keepLines/>
            </w:pPr>
            <w:r>
              <w:rPr>
                <w:b w:val="0"/>
              </w:rPr>
              <w:t>선택 상태 검사</w:t>
            </w:r>
          </w:p>
        </w:tc>
        <w:tc>
          <w:tcPr>
            <w:tcW w:type="dxa" w:w="2948"/>
            <w:vAlign w:val="center"/>
          </w:tcPr>
          <w:p>
            <w:pPr>
              <w:pStyle w:val="TableText"/>
              <w:keepNext w:val="0"/>
              <w:keepLines/>
            </w:pPr>
            <w:r>
              <w:rPr>
                <w:b w:val="0"/>
              </w:rPr>
              <w:t>검사 기능과 그 피드백의 유무</w:t>
            </w:r>
          </w:p>
        </w:tc>
        <w:tc>
          <w:tcPr>
            <w:tcW w:type="dxa" w:w="4025"/>
            <w:vAlign w:val="center"/>
          </w:tcPr>
          <w:p>
            <w:pPr>
              <w:pStyle w:val="TableText"/>
              <w:keepNext w:val="0"/>
              <w:keepLines/>
            </w:pPr>
            <w:r>
              <w:rPr>
                <w:b w:val="0"/>
              </w:rPr>
              <w:t>명시적 모순은 남고</w:t>
              <w:br/>
              <w:t>정당한 판단 차단만 증가</w:t>
            </w:r>
          </w:p>
        </w:tc>
      </w:tr>
      <w:tr>
        <w:trPr>
          <w:cantSplit/>
        </w:trPr>
        <w:tc>
          <w:tcPr>
            <w:tcW w:type="dxa" w:w="2098"/>
            <w:vAlign w:val="center"/>
          </w:tcPr>
          <w:p>
            <w:pPr>
              <w:pStyle w:val="TableText"/>
              <w:keepNext w:val="0"/>
              <w:keepLines/>
            </w:pPr>
            <w:r>
              <w:rPr>
                <w:b w:val="0"/>
              </w:rPr>
              <w:t>공유 전제 복구</w:t>
            </w:r>
          </w:p>
        </w:tc>
        <w:tc>
          <w:tcPr>
            <w:tcW w:type="dxa" w:w="2948"/>
            <w:vAlign w:val="center"/>
          </w:tcPr>
          <w:p>
            <w:pPr>
              <w:pStyle w:val="TableText"/>
              <w:keepNext w:val="0"/>
              <w:keepLines/>
            </w:pPr>
            <w:r>
              <w:rPr>
                <w:b w:val="0"/>
              </w:rPr>
              <w:t>관련 판단 재검토와 전체 재작성</w:t>
            </w:r>
          </w:p>
        </w:tc>
        <w:tc>
          <w:tcPr>
            <w:tcW w:type="dxa" w:w="4025"/>
            <w:vAlign w:val="center"/>
          </w:tcPr>
          <w:p>
            <w:pPr>
              <w:pStyle w:val="TableText"/>
              <w:keepNext w:val="0"/>
              <w:keepLines/>
            </w:pPr>
            <w:r>
              <w:rPr>
                <w:b w:val="0"/>
              </w:rPr>
              <w:t>숫자만 맞고 잘못된 의존 판단 유지</w:t>
              <w:br/>
              <w:t>또는 올바른 기관 해석 손실</w:t>
            </w:r>
          </w:p>
        </w:tc>
      </w:tr>
    </w:tbl>
    <w:p>
      <w:pPr>
        <w:pStyle w:val="TableNote"/>
      </w:pPr>
      <w:r>
        <w:t>이 표는 새 실험의 설계이며 현재 결과가 아니다. 근거 개입 후 선택 유지가 언제 허용되는지는 대체 근거·제약과 함께 검토한다.</w:t>
      </w:r>
    </w:p>
    <w:p>
      <w:pPr>
        <w:pStyle w:val="Heading2"/>
      </w:pPr>
      <w:r>
        <w:t>9 3 평가 단위와 채택 조건</w:t>
      </w:r>
    </w:p>
    <w:p>
      <w:r>
        <w:t>평가는 근거 없는 기관 귀속, 확정 선택과 설명의 모순, 근거 개입 뒤 재검토의 적절성, 의미 보존 안정성, 공유 오류 잔존을 구분한다. 예정 산업행과 필수 이유의 누락·보류·미해결도 포함하여 말을 줄이거나 결정을 회피한 효과를 드러낸다. 출처 등급의 재현과 선택의 충실성을 하나의 점수로 합치지 않는다. 개입의 의미 보존, 설명의 의존 관계, 합리적인 선택 유지 사유에는 독립적인 사람 검토를 추가한다.</w:t>
      </w:r>
    </w:p>
    <w:p>
      <w:r>
        <w:t>일반화의 단위는 자료시점·시나리오이며, 산업행과 같은 과제의 반복 호출은 그 안의 관측으로 구분한다. 독립적인 초기 생성과 새 과제 검증을 설계하고, 같은 과제의 재평가만으로 새 자료의 검증을 대신하지 않는다. 비교 순서는 무작위화하거나 균형화하고 가능한 범위에서 조건명을 가린다. 반복 수·검사 규칙·보류 기준은 준비 단계의 자료로 계획한 뒤 새 검증 결과를 보기 전에 고정한다.</w:t>
      </w:r>
    </w:p>
    <w:p>
      <w:r>
        <w:t>제안의 채택 여부는 근거 없는 판단이 줄고 필요한 근거 반응이 유지되는지를 함께 기준으로 삼는다. 타당한 공통 정보에 따른 수렴은 허용하고, 서로 다른 근거가 지지한 차이는 보존해야 한다. 공통 오류가 남은 채 설명만 길어지거나 정당한 선택의 차단·비용·누락이 늘면 제안을 수정하거나 제외한다. 통계적으로 유의한 차이가 없다는 사실만으로 품질 유지나 동등성을 선언할 수도 없다. 더 나아가 원래 문제인 과잉수렴을 검증하려면, 목표·보유자산·제약이 다른 과제에서 필요한 배분 차이와 판단 품질의 기준을 먼저 정해야 한다.</w:t>
      </w:r>
    </w:p>
    <w:p>
      <w:pPr>
        <w:pStyle w:val="Heading1"/>
      </w:pPr>
      <w:r>
        <w:t>10 결론</w:t>
      </w:r>
    </w:p>
    <w:p>
      <w:r>
        <w:t>본고는 공통 생성형 AI의 사용이 기관별로 필요한 투자판단의 차이를 약화시킬 수 있다는 문제에서 출발하였다. 이 가운데 서로 다른 공개 산업전망이 설명과 배분 선택에 이어지는 과정을 다섯 조건으로 살펴보았다. 기관 자료 조건의 최종 배분은 대조군과 달랐지만, 등급과 요약의 보존이 일관된 선택 이유와 비중으로 이어지지는 않았다. 서로 다른 배분에 같은 수치 오류가 남았고, 외부 정규화로 증감 방향이 뒤집히기도 했다. 배분의 차이가 관찰되었다는 사실만으로 기관별 근거가 보존되었다고 평가하기 어려운 이유다.</w:t>
      </w:r>
    </w:p>
    <w:p>
      <w:r>
        <w:t>이에 본고는 기관이 밝힌 전망과 모델이 덧붙인 판단을 구분하고, 근거가 지지한 변경이 확정 비중까지 이어지는지 대조하는 절차를 제안하였다. 핵심 근거를 바꾼 뒤 관련 판단을 재검토하는지, 공통 오류를 고친 뒤 그 오류에 의존한 선택도 다시 확인하는지가 후속 검증 대상이다. 현재 사례는 과잉수렴이나 금융시장 동질화를 입증하지 않으며 제안의 효과도 검증하지 않았다. 기관자료를 추가하는 대응이 실제로 의미를 가지려면, 어떤 근거가 어떤 선택을 지지했고 그 관계가 최종 배분에 남았는지 확인할 수 있어야 한다.</w:t>
      </w:r>
    </w:p>
    <w:p>
      <w:pPr>
        <w:pStyle w:val="Heading1"/>
      </w:pPr>
      <w:r>
        <w:t>참고문헌</w:t>
      </w:r>
    </w:p>
    <w:p>
      <w:pPr>
        <w:pStyle w:val="Reference"/>
      </w:pPr>
      <w:r>
        <w:t xml:space="preserve">Kleinberg, J., &amp; Raghavan, M. (2021). Algorithmic monoculture and social welfare. Proceedings of the National Academy of Sciences, 118(22), e2018340118.  </w:t>
      </w:r>
      <w:hyperlink r:id="rId13">
        <w:r>
          <w:rPr>
            <w:color w:val="000000"/>
            <w:u w:val="single"/>
          </w:rPr>
          <w:t>원문</w:t>
        </w:r>
      </w:hyperlink>
    </w:p>
    <w:p>
      <w:pPr>
        <w:pStyle w:val="Reference"/>
      </w:pPr>
      <w:r>
        <w:t xml:space="preserve">Bommasani, R., Creel, K. A., Kumar, A., Jurafsky, D., &amp; Liang, P. (2022). Picking on the Same Person: Does Algorithmic Monoculture lead to Outcome Homogenization? Advances in Neural Information Processing Systems, 35.  </w:t>
      </w:r>
      <w:hyperlink r:id="rId14">
        <w:r>
          <w:rPr>
            <w:color w:val="000000"/>
            <w:u w:val="single"/>
          </w:rPr>
          <w:t>원문</w:t>
        </w:r>
      </w:hyperlink>
    </w:p>
    <w:p>
      <w:pPr>
        <w:pStyle w:val="Reference"/>
      </w:pPr>
      <w:r>
        <w:t xml:space="preserve">Doshi, A. R., &amp; Hauser, O. P. (2024). Generative AI enhances individual creativity but reduces the collective diversity of novel content. Science Advances, 10, eadn5290.  </w:t>
      </w:r>
      <w:hyperlink r:id="rId15">
        <w:r>
          <w:rPr>
            <w:color w:val="000000"/>
            <w:u w:val="single"/>
          </w:rPr>
          <w:t>원문</w:t>
        </w:r>
      </w:hyperlink>
    </w:p>
    <w:p>
      <w:pPr>
        <w:pStyle w:val="Reference"/>
      </w:pPr>
      <w:r>
        <w:t xml:space="preserve">Hornuf, L., Streich, D. J., &amp; Töllich, N. (2025). Making GenAI Smarter: Evidence from a Portfolio Allocation Experiment. CESifo Working Paper No. 11862.  </w:t>
      </w:r>
      <w:hyperlink r:id="rId16">
        <w:r>
          <w:rPr>
            <w:color w:val="000000"/>
            <w:u w:val="single"/>
          </w:rPr>
          <w:t>원문</w:t>
        </w:r>
      </w:hyperlink>
    </w:p>
    <w:p>
      <w:pPr>
        <w:pStyle w:val="Reference"/>
      </w:pPr>
      <w:r>
        <w:t xml:space="preserve">Quek, R. W. H., Vittori, E., Ong, K., Mao, R., Cambria, E., &amp; Mengaldo, G. (2025). Leveraging LLMs for Top-Down Sector Allocation in Automated Trading. arXiv:2503.09647. v5, 10 April 2025.  </w:t>
      </w:r>
      <w:hyperlink r:id="rId17">
        <w:r>
          <w:rPr>
            <w:color w:val="000000"/>
            <w:u w:val="single"/>
          </w:rPr>
          <w:t>원문</w:t>
        </w:r>
      </w:hyperlink>
    </w:p>
    <w:p>
      <w:pPr>
        <w:pStyle w:val="Reference"/>
      </w:pPr>
      <w:r>
        <w:t xml:space="preserve">Laban, P., Hayashi, H., Zhou, Y., &amp; Neville, J. (2025). LLMs Get Lost In Multi-Turn Conversation. arXiv:2505.06120. v1, 9 May 2025.  </w:t>
      </w:r>
      <w:hyperlink r:id="rId18">
        <w:r>
          <w:rPr>
            <w:color w:val="000000"/>
            <w:u w:val="single"/>
          </w:rPr>
          <w:t>원문</w:t>
        </w:r>
      </w:hyperlink>
    </w:p>
    <w:p>
      <w:pPr>
        <w:pStyle w:val="Reference"/>
      </w:pPr>
      <w:r>
        <w:t xml:space="preserve">Zhao, Y., Chen, S., &amp; Su, N. (2026). PortBench: A Correlation-Aware, Full-Pipeline Benchmark for LLM-Driven Portfolio Management. arXiv:2605.27887. v6, 9 October 2026.  </w:t>
      </w:r>
      <w:hyperlink r:id="rId19">
        <w:r>
          <w:rPr>
            <w:color w:val="000000"/>
            <w:u w:val="single"/>
          </w:rPr>
          <w:t>원문</w:t>
        </w:r>
      </w:hyperlink>
    </w:p>
    <w:p>
      <w:pPr>
        <w:pStyle w:val="Reference"/>
      </w:pPr>
      <w:r>
        <w:t xml:space="preserve">Wang, X., Xu, Y., &amp; Wang, J. (2026). E2A-Bench: Benchmarking Evidence-to-Action Reliability in Financial Chart Reasoning. arXiv:2609.14302. v1, 13 September 2026.  </w:t>
      </w:r>
      <w:hyperlink r:id="rId20">
        <w:r>
          <w:rPr>
            <w:color w:val="000000"/>
            <w:u w:val="single"/>
          </w:rPr>
          <w:t>원문</w:t>
        </w:r>
      </w:hyperlink>
    </w:p>
    <w:p>
      <w:pPr>
        <w:pStyle w:val="Reference"/>
      </w:pPr>
      <w:r>
        <w:t xml:space="preserve">Markowitz, H. (1952). Portfolio Selection. The Journal of Finance, 7(1), 77–91.  </w:t>
      </w:r>
      <w:hyperlink r:id="rId21">
        <w:r>
          <w:rPr>
            <w:color w:val="000000"/>
            <w:u w:val="single"/>
          </w:rPr>
          <w:t>원문</w:t>
        </w:r>
      </w:hyperlink>
    </w:p>
    <w:p>
      <w:pPr>
        <w:pStyle w:val="Reference"/>
      </w:pPr>
      <w:r>
        <w:t xml:space="preserve">Pombal, J., Rei, R., &amp; Martins, A. F. T. (2026). Self-Preference Bias in Rubric-Based Evaluation of Large Language Models. arXiv:2604.06996. v3, 3 August 2026.  </w:t>
      </w:r>
      <w:hyperlink r:id="rId22">
        <w:r>
          <w:rPr>
            <w:color w:val="000000"/>
            <w:u w:val="single"/>
          </w:rPr>
          <w:t>원문</w:t>
        </w:r>
      </w:hyperlink>
    </w:p>
    <w:p>
      <w:pPr>
        <w:pStyle w:val="Reference"/>
      </w:pPr>
      <w:r>
        <w:t xml:space="preserve">Shi, L., Ma, C., Liang, W., Diao, X., Ma, W., &amp; Vosoughi, S. (2025). Judging the Judges: A Systematic Study of Position Bias in LLM-as-a-Judge. Proceedings of the 14th International Joint Conference on Natural Language Processing and the 4th Conference of the Asia-Pacific Chapter of the Association for Computational Linguistics, 292–314.  </w:t>
      </w:r>
      <w:hyperlink r:id="rId23">
        <w:r>
          <w:rPr>
            <w:color w:val="000000"/>
            <w:u w:val="single"/>
          </w:rPr>
          <w:t>원문</w:t>
        </w:r>
      </w:hyperlink>
    </w:p>
    <w:p>
      <w:pPr>
        <w:pStyle w:val="Reference"/>
      </w:pPr>
      <w:r>
        <w:t xml:space="preserve">Financial Stability Board. (2024). The Financial Stability Implications of Artificial Intelligence. Financial Stability Board policy report.  </w:t>
      </w:r>
      <w:hyperlink r:id="rId24">
        <w:r>
          <w:rPr>
            <w:color w:val="000000"/>
            <w:u w:val="single"/>
          </w:rPr>
          <w:t>원문</w:t>
        </w:r>
      </w:hyperlink>
    </w:p>
    <w:p>
      <w:pPr>
        <w:pStyle w:val="Reference"/>
      </w:pPr>
      <w:r>
        <w:t xml:space="preserve">Gao, L., Dai, Z., Pasupat, P., Chen, A., Chaganty, A. T., Fan, Y., Zhao, V. Y., Lao, N., Lee, H., Juan, D.-C., &amp; Guu, K. (2023). RARR: Researching and Revising What Language Models Say, Using Language Models. Proceedings of ACL 2023, Volume 1: Long Papers, 16477–16508. </w:t>
      </w:r>
      <w:hyperlink r:id="rId25">
        <w:r>
          <w:rPr>
            <w:color w:val="000000"/>
            <w:u w:val="single"/>
          </w:rPr>
          <w:t>원문</w:t>
        </w:r>
      </w:hyperlink>
    </w:p>
    <w:p>
      <w:pPr>
        <w:pStyle w:val="Reference"/>
      </w:pPr>
      <w:r>
        <w:t xml:space="preserve">Tabassi, E. (2023). Artificial Intelligence Risk Management Framework (AI RMF 1.0). NIST AI 100-1. National Institute of Standards and Technology. </w:t>
      </w:r>
      <w:hyperlink r:id="rId26">
        <w:r>
          <w:rPr>
            <w:color w:val="000000"/>
            <w:u w:val="single"/>
          </w:rPr>
          <w:t>원문</w:t>
        </w:r>
      </w:hyperlink>
    </w:p>
    <w:p>
      <w:pPr>
        <w:pStyle w:val="Reference"/>
      </w:pPr>
      <w:r>
        <w:t xml:space="preserve">Hansen, A. L., &amp; Lee, S. J. (2025). Financial Stability Implications of Generative AI: Taming the Animal Spirits. Finance and Economics Discussion Series 2025-090. Board of Governors of the Federal Reserve System. </w:t>
      </w:r>
      <w:hyperlink r:id="rId27">
        <w:r>
          <w:rPr>
            <w:color w:val="000000"/>
            <w:u w:val="single"/>
          </w:rPr>
          <w:t>원문</w:t>
        </w:r>
      </w:hyperlink>
    </w:p>
    <w:p>
      <w:pPr>
        <w:pStyle w:val="Reference"/>
      </w:pPr>
      <w:r>
        <w:t xml:space="preserve">Anand, K., Kazinnik, S., Leonello, A., &amp; Panetti, E. (2026a). Ex Machina: financial stability in the age of artificial intelligence. ECB Working Paper Series No. 3225. </w:t>
      </w:r>
      <w:hyperlink r:id="rId28">
        <w:r>
          <w:rPr>
            <w:color w:val="000000"/>
            <w:u w:val="single"/>
          </w:rPr>
          <w:t>원문</w:t>
        </w:r>
      </w:hyperlink>
    </w:p>
    <w:p>
      <w:pPr>
        <w:pStyle w:val="Reference"/>
      </w:pPr>
      <w:r>
        <w:t xml:space="preserve">Anand, K., Kazinnik, S., Leonello, A., &amp; Panetti, E. (2026b, May 21). Financial stability in the age of artificial intelligence: the role of algorithmic architecture. ECB Research Bulletin No. 143. </w:t>
      </w:r>
      <w:hyperlink r:id="rId29">
        <w:r>
          <w:rPr>
            <w:color w:val="000000"/>
            <w:u w:val="single"/>
          </w:rPr>
          <w:t>원문</w:t>
        </w:r>
      </w:hyperlink>
    </w:p>
    <w:p>
      <w:pPr>
        <w:pStyle w:val="Reference"/>
      </w:pPr>
      <w:r>
        <w:t xml:space="preserve">Matton, K., Ness, R. O., Guttag, J., &amp; Kıcıman, E. (2025). Walk the Talk? Measuring the Faithfulness of Large Language Model Explanations. The Thirteenth International Conference on Learning Representations. </w:t>
      </w:r>
      <w:hyperlink r:id="rId30">
        <w:r>
          <w:rPr>
            <w:color w:val="000000"/>
            <w:u w:val="single"/>
          </w:rPr>
          <w:t>원문</w:t>
        </w:r>
      </w:hyperlink>
    </w:p>
    <w:p>
      <w:pPr>
        <w:pStyle w:val="Reference"/>
      </w:pPr>
      <w:r>
        <w:t xml:space="preserve">Mayne, H., Kang, J. S., Gould, D. S. W., Ramchandran, K., Mahdi, A., &amp; Siegel, N. Y. (2026). A Positive Case for Faithfulness: LLM Self-Explanations Help Predict Model Behavior. Proceedings of the 43rd International Conference on Machine Learning, PMLR 306, 87135–87185. </w:t>
      </w:r>
      <w:hyperlink r:id="rId31">
        <w:r>
          <w:rPr>
            <w:color w:val="000000"/>
            <w:u w:val="single"/>
          </w:rPr>
          <w:t>원문</w:t>
        </w:r>
      </w:hyperlink>
    </w:p>
    <w:p>
      <w:pPr>
        <w:pStyle w:val="Reference"/>
      </w:pPr>
      <w:r>
        <w:t xml:space="preserve">Diallo, N., Akinfaderin, A., &amp; Natarajan, A. (2026a, April 16). How Automated Reasoning checks in Amazon Bedrock transform generative AI compliance. AWS Machine Learning Blog. </w:t>
      </w:r>
      <w:hyperlink r:id="rId32">
        <w:r>
          <w:rPr>
            <w:color w:val="000000"/>
            <w:u w:val="single"/>
          </w:rPr>
          <w:t>원문</w:t>
        </w:r>
      </w:hyperlink>
    </w:p>
    <w:p>
      <w:pPr>
        <w:pStyle w:val="Reference"/>
      </w:pPr>
      <w:r>
        <w:t xml:space="preserve">Diallo, N., Galves, F., &amp; Erata, F. (2026b, August 3). Automated Reasoning policy refinement in Amazon Bedrock. AWS Machine Learning Blog. </w:t>
      </w:r>
      <w:hyperlink r:id="rId33">
        <w:r>
          <w:rPr>
            <w:color w:val="000000"/>
            <w:u w:val="single"/>
          </w:rPr>
          <w:t>원문</w:t>
        </w:r>
      </w:hyperlink>
    </w:p>
    <w:p>
      <w:pPr>
        <w:pStyle w:val="Reference"/>
      </w:pPr>
      <w:r>
        <w:t xml:space="preserve">Amazon Web Services. (n.d.). Amazon Logistics Automates Electric Vehicle Design Reviews on AWS. Customer case study. 2026년 10월 26일 확인. </w:t>
      </w:r>
      <w:hyperlink r:id="rId34">
        <w:r>
          <w:rPr>
            <w:color w:val="000000"/>
            <w:u w:val="single"/>
          </w:rPr>
          <w:t>원문</w:t>
        </w:r>
      </w:hyperlink>
    </w:p>
    <w:p>
      <w:pPr>
        <w:pStyle w:val="Reference"/>
      </w:pPr>
      <w:r>
        <w:t xml:space="preserve">Hao, Y., Chen, Y., Zhang, Y., &amp; Fan, C. (2025). Large Language Models Can Solve Real-World Planning Rigorously with Formal Verification Tools. Proceedings of NAACL 2025, Volume 1: Long Papers, 3434–3483. </w:t>
      </w:r>
      <w:hyperlink r:id="rId35">
        <w:r>
          <w:rPr>
            <w:color w:val="000000"/>
            <w:u w:val="single"/>
          </w:rPr>
          <w:t>원문</w:t>
        </w:r>
      </w:hyperlink>
    </w:p>
    <w:p>
      <w:pPr>
        <w:pStyle w:val="Reference"/>
      </w:pPr>
      <w:r>
        <w:t xml:space="preserve">Reddy, V., Challaram, S. R., &amp; Basu, A. (2026). Reason Less, Verify More: Deterministic Gates Recover a Silent Policy-Violation Failure Mode in Tool-Using LLM Agents. arXiv:2607.07405v2, 11 July 2026. 사전공개본. </w:t>
      </w:r>
      <w:hyperlink r:id="rId36">
        <w:r>
          <w:rPr>
            <w:color w:val="000000"/>
            <w:u w:val="single"/>
          </w:rPr>
          <w:t>원문</w:t>
        </w:r>
      </w:hyperlink>
    </w:p>
    <w:p>
      <w:pPr>
        <w:pStyle w:val="Heading1"/>
      </w:pPr>
      <w:r>
        <w:t>자료 출처</w:t>
      </w:r>
    </w:p>
    <w:p>
      <w:pPr>
        <w:pStyle w:val="Reference"/>
      </w:pPr>
      <w:r>
        <w:t xml:space="preserve">Fidelity Investments. (2026). Quarterly Sector and Investment Research Update Second Quarter 2026. 완료된 다섯 조건의 기관 전망 자료. </w:t>
      </w:r>
      <w:hyperlink r:id="rId37">
        <w:r>
          <w:rPr>
            <w:color w:val="000000"/>
            <w:u w:val="single"/>
          </w:rPr>
          <w:t>원문</w:t>
        </w:r>
      </w:hyperlink>
    </w:p>
    <w:p>
      <w:pPr>
        <w:pStyle w:val="Reference"/>
      </w:pPr>
      <w:r>
        <w:t xml:space="preserve">UBS. (2026). UBS House View June 2026. 완료된 다섯 조건의 기관 전망 자료. </w:t>
      </w:r>
      <w:hyperlink r:id="rId38">
        <w:r>
          <w:rPr>
            <w:color w:val="000000"/>
            <w:u w:val="single"/>
          </w:rPr>
          <w:t>원문</w:t>
        </w:r>
      </w:hyperlink>
    </w:p>
    <w:p>
      <w:pPr>
        <w:pStyle w:val="Reference"/>
      </w:pPr>
      <w:r>
        <w:t xml:space="preserve">Fidelity Investments. (2026). Quarterly Sector and Investment Research Update Third Quarter 2026. 공통 비교 기준 비중의 출처. 3분기 전망을 사용한 별도 생성 실험은 미실행. </w:t>
      </w:r>
      <w:hyperlink r:id="rId39">
        <w:r>
          <w:rPr>
            <w:color w:val="000000"/>
            <w:u w:val="single"/>
          </w:rPr>
          <w:t>원문</w:t>
        </w:r>
      </w:hyperlink>
    </w:p>
    <w:p>
      <w:pPr>
        <w:pStyle w:val="Reference"/>
      </w:pPr>
      <w:r>
        <w:t xml:space="preserve">UBS. (2026). UBS House View July 2026. 별도 실험용으로 준비했으나 본고의 기관 전망 조건에는 사용하지 않은 자료. </w:t>
      </w:r>
      <w:hyperlink r:id="rId40">
        <w:r>
          <w:rPr>
            <w:color w:val="000000"/>
            <w:u w:val="single"/>
          </w:rPr>
          <w:t>원문</w:t>
        </w:r>
      </w:hyperlink>
    </w:p>
    <w:p>
      <w:pPr>
        <w:pStyle w:val="Reference"/>
      </w:pPr>
      <w:r>
        <w:t xml:space="preserve">Board of Governors of the Federal Reserve System. (2026, June 17). Federal Reserve issues FOMC statement. </w:t>
      </w:r>
      <w:hyperlink r:id="rId41">
        <w:r>
          <w:rPr>
            <w:color w:val="000000"/>
            <w:u w:val="single"/>
          </w:rPr>
          <w:t>원문</w:t>
        </w:r>
      </w:hyperlink>
    </w:p>
    <w:p>
      <w:pPr>
        <w:pStyle w:val="Reference"/>
      </w:pPr>
      <w:r>
        <w:t xml:space="preserve">U.S. Bureau of Labor Statistics. (2026, July 14). Consumer Price Index June 2026. </w:t>
      </w:r>
      <w:hyperlink r:id="rId42">
        <w:r>
          <w:rPr>
            <w:color w:val="000000"/>
            <w:u w:val="single"/>
          </w:rPr>
          <w:t>원문</w:t>
        </w:r>
      </w:hyperlink>
    </w:p>
    <w:p>
      <w:pPr>
        <w:pStyle w:val="Reference"/>
      </w:pPr>
      <w:r>
        <w:t xml:space="preserve">U.S. Bureau of Labor Statistics. (2026, July 2). The Employment Situation June 2026. </w:t>
      </w:r>
      <w:hyperlink r:id="rId43">
        <w:r>
          <w:rPr>
            <w:color w:val="000000"/>
            <w:u w:val="single"/>
          </w:rPr>
          <w:t>원문</w:t>
        </w:r>
      </w:hyperlink>
    </w:p>
    <w:p>
      <w:pPr>
        <w:pStyle w:val="Reference"/>
      </w:pPr>
      <w:r>
        <w:t xml:space="preserve">U.S. Bureau of Economic Analysis. (2026, June 25). Gross Domestic Product First Quarter 2026 Third Estimate. </w:t>
      </w:r>
      <w:hyperlink r:id="rId44">
        <w:r>
          <w:rPr>
            <w:color w:val="000000"/>
            <w:u w:val="single"/>
          </w:rPr>
          <w:t>원문</w:t>
        </w:r>
      </w:hyperlink>
    </w:p>
    <w:p>
      <w:pPr>
        <w:pStyle w:val="Reference"/>
      </w:pPr>
      <w:r>
        <w:t xml:space="preserve">MSCI. (n.d.). The Global Industry Classification Standard (GICS®). 2026년 10월 19일 확인. </w:t>
      </w:r>
      <w:hyperlink r:id="rId45">
        <w:r>
          <w:rPr>
            <w:color w:val="000000"/>
            <w:u w:val="single"/>
          </w:rPr>
          <w:t>원문</w:t>
        </w:r>
      </w:hyperlink>
    </w:p>
    <w:p>
      <w:pPr>
        <w:pStyle w:val="Reference"/>
      </w:pPr>
      <w:r>
        <w:t xml:space="preserve">State Street Investment Management. (n.d.). Select Sector SPDR ETF 공식 상품 페이지: XLE, XLB, XLI, XLY, XLP, XLV, XLF, XLK, XLC, XLU, XLRE. 2026년 10월 17일 수집. </w:t>
      </w:r>
      <w:r>
        <w:t xml:space="preserve">  </w:t>
      </w:r>
      <w:hyperlink r:id="rId46">
        <w:r>
          <w:rPr>
            <w:color w:val="000000"/>
            <w:u w:val="single"/>
          </w:rPr>
          <w:t>XLE</w:t>
        </w:r>
      </w:hyperlink>
      <w:r>
        <w:t xml:space="preserve">  </w:t>
      </w:r>
      <w:hyperlink r:id="rId47">
        <w:r>
          <w:rPr>
            <w:color w:val="000000"/>
            <w:u w:val="single"/>
          </w:rPr>
          <w:t>XLB</w:t>
        </w:r>
      </w:hyperlink>
      <w:r>
        <w:t xml:space="preserve">  </w:t>
      </w:r>
      <w:hyperlink r:id="rId48">
        <w:r>
          <w:rPr>
            <w:color w:val="000000"/>
            <w:u w:val="single"/>
          </w:rPr>
          <w:t>XLI</w:t>
        </w:r>
      </w:hyperlink>
      <w:r>
        <w:t xml:space="preserve">  </w:t>
      </w:r>
      <w:hyperlink r:id="rId49">
        <w:r>
          <w:rPr>
            <w:color w:val="000000"/>
            <w:u w:val="single"/>
          </w:rPr>
          <w:t>XLY</w:t>
        </w:r>
      </w:hyperlink>
      <w:r>
        <w:t xml:space="preserve">  </w:t>
      </w:r>
      <w:hyperlink r:id="rId50">
        <w:r>
          <w:rPr>
            <w:color w:val="000000"/>
            <w:u w:val="single"/>
          </w:rPr>
          <w:t>XLP</w:t>
        </w:r>
      </w:hyperlink>
      <w:r>
        <w:t xml:space="preserve">  </w:t>
      </w:r>
      <w:hyperlink r:id="rId51">
        <w:r>
          <w:rPr>
            <w:color w:val="000000"/>
            <w:u w:val="single"/>
          </w:rPr>
          <w:t>XLV</w:t>
        </w:r>
      </w:hyperlink>
      <w:r>
        <w:t xml:space="preserve">  </w:t>
      </w:r>
      <w:hyperlink r:id="rId52">
        <w:r>
          <w:rPr>
            <w:color w:val="000000"/>
            <w:u w:val="single"/>
          </w:rPr>
          <w:t>XLF</w:t>
        </w:r>
      </w:hyperlink>
      <w:r>
        <w:t xml:space="preserve">  </w:t>
      </w:r>
      <w:hyperlink r:id="rId53">
        <w:r>
          <w:rPr>
            <w:color w:val="000000"/>
            <w:u w:val="single"/>
          </w:rPr>
          <w:t>XLK</w:t>
        </w:r>
      </w:hyperlink>
      <w:r>
        <w:t xml:space="preserve">  </w:t>
      </w:r>
      <w:hyperlink r:id="rId54">
        <w:r>
          <w:rPr>
            <w:color w:val="000000"/>
            <w:u w:val="single"/>
          </w:rPr>
          <w:t>XLC</w:t>
        </w:r>
      </w:hyperlink>
      <w:r>
        <w:t xml:space="preserve">  </w:t>
      </w:r>
      <w:hyperlink r:id="rId55">
        <w:r>
          <w:rPr>
            <w:color w:val="000000"/>
            <w:u w:val="single"/>
          </w:rPr>
          <w:t>XLU</w:t>
        </w:r>
      </w:hyperlink>
      <w:r>
        <w:t xml:space="preserve">  </w:t>
      </w:r>
      <w:hyperlink r:id="rId56">
        <w:r>
          <w:rPr>
            <w:color w:val="000000"/>
            <w:u w:val="single"/>
          </w:rPr>
          <w:t>XLRE</w:t>
        </w:r>
      </w:hyperlink>
    </w:p>
    <w:p>
      <w:pPr>
        <w:pStyle w:val="Reference"/>
      </w:pPr>
      <w:r>
        <w:t xml:space="preserve">Yahoo Finance. (2026). Select Sector SPDR ETF 11종의 일별 조정종가 [공개 chart JSON 자료]. 2026년 10월 17일 수집. </w:t>
      </w:r>
      <w:r>
        <w:t xml:space="preserve">  </w:t>
      </w:r>
      <w:hyperlink r:id="rId57">
        <w:r>
          <w:rPr>
            <w:color w:val="000000"/>
            <w:u w:val="single"/>
          </w:rPr>
          <w:t>XLE</w:t>
        </w:r>
      </w:hyperlink>
      <w:r>
        <w:t xml:space="preserve">  </w:t>
      </w:r>
      <w:hyperlink r:id="rId58">
        <w:r>
          <w:rPr>
            <w:color w:val="000000"/>
            <w:u w:val="single"/>
          </w:rPr>
          <w:t>XLB</w:t>
        </w:r>
      </w:hyperlink>
      <w:r>
        <w:t xml:space="preserve">  </w:t>
      </w:r>
      <w:hyperlink r:id="rId59">
        <w:r>
          <w:rPr>
            <w:color w:val="000000"/>
            <w:u w:val="single"/>
          </w:rPr>
          <w:t>XLI</w:t>
        </w:r>
      </w:hyperlink>
      <w:r>
        <w:t xml:space="preserve">  </w:t>
      </w:r>
      <w:hyperlink r:id="rId60">
        <w:r>
          <w:rPr>
            <w:color w:val="000000"/>
            <w:u w:val="single"/>
          </w:rPr>
          <w:t>XLY</w:t>
        </w:r>
      </w:hyperlink>
      <w:r>
        <w:t xml:space="preserve">  </w:t>
      </w:r>
      <w:hyperlink r:id="rId61">
        <w:r>
          <w:rPr>
            <w:color w:val="000000"/>
            <w:u w:val="single"/>
          </w:rPr>
          <w:t>XLP</w:t>
        </w:r>
      </w:hyperlink>
      <w:r>
        <w:t xml:space="preserve">  </w:t>
      </w:r>
      <w:hyperlink r:id="rId62">
        <w:r>
          <w:rPr>
            <w:color w:val="000000"/>
            <w:u w:val="single"/>
          </w:rPr>
          <w:t>XLV</w:t>
        </w:r>
      </w:hyperlink>
      <w:r>
        <w:t xml:space="preserve">  </w:t>
      </w:r>
      <w:hyperlink r:id="rId63">
        <w:r>
          <w:rPr>
            <w:color w:val="000000"/>
            <w:u w:val="single"/>
          </w:rPr>
          <w:t>XLF</w:t>
        </w:r>
      </w:hyperlink>
      <w:r>
        <w:t xml:space="preserve">  </w:t>
      </w:r>
      <w:hyperlink r:id="rId64">
        <w:r>
          <w:rPr>
            <w:color w:val="000000"/>
            <w:u w:val="single"/>
          </w:rPr>
          <w:t>XLK</w:t>
        </w:r>
      </w:hyperlink>
      <w:r>
        <w:t xml:space="preserve">  </w:t>
      </w:r>
      <w:hyperlink r:id="rId65">
        <w:r>
          <w:rPr>
            <w:color w:val="000000"/>
            <w:u w:val="single"/>
          </w:rPr>
          <w:t>XLC</w:t>
        </w:r>
      </w:hyperlink>
      <w:r>
        <w:t xml:space="preserve">  </w:t>
      </w:r>
      <w:hyperlink r:id="rId66">
        <w:r>
          <w:rPr>
            <w:color w:val="000000"/>
            <w:u w:val="single"/>
          </w:rPr>
          <w:t>XLU</w:t>
        </w:r>
      </w:hyperlink>
      <w:r>
        <w:t xml:space="preserve">  </w:t>
      </w:r>
      <w:hyperlink r:id="rId67">
        <w:r>
          <w:rPr>
            <w:color w:val="000000"/>
            <w:u w:val="single"/>
          </w:rPr>
          <w:t>XLRE</w:t>
        </w:r>
      </w:hyperlink>
    </w:p>
    <w:p>
      <w:pPr>
        <w:pStyle w:val="Heading1"/>
      </w:pPr>
      <w:r>
        <w:t>부록 계산 참고안과 증거 기록</w:t>
      </w:r>
    </w:p>
    <w:p>
      <w:r>
        <w:t>동일비중과 최소분산 배분은 본 실험의 AI 응답이나 기관별 정답이 아니다. 같은 60일 표본에서 연율화 변동성은 동일비중 약 8.65%, 최소분산 약 6.62%, 공통 비교 기준 약 13.90%였다. 최소분산 결과가 낮은 이유는 해당 표본의 분산을 최소화하도록 정의했기 때문이며 미래 위험이나 수익성 우위를 보장하지 않는다. 기존 원고에 보존된 계산 참고안과 실제 AI 사례를 구분해 사용한다.</w:t>
      </w:r>
    </w:p>
    <w:p>
      <w:r>
        <w:t>다음 증거 식별자는 본문의 실험 결과를 재검토하기 위한 보관 파일을 가리킨다. 원응답, 단계별 생성 이력, 인용 위치, 수치 검토와 미해결 판정은 수정하지 않았다. E1은 원비중과 파생값 및 13개 비교쌍, E2는 조건별 원응답과 일차·가림 재검토의 연결, E3는 완료 범위와 보관 무결성, E4는 독자를 위한 설명과 대표 사례, E5는 분석 역할 및 처리 변경을 기록한다.</w:t>
      </w:r>
    </w:p>
    <w:p>
      <w:pPr>
        <w:pStyle w:val="Reference"/>
      </w:pPr>
      <w:r>
        <w:t xml:space="preserve">E1 원비중과 파생 배분 및 비교. research/last_final_20261026/derived_allocation/completed_five_condition_dataset.json </w:t>
      </w:r>
      <w:hyperlink r:id="rId68">
        <w:r>
          <w:rPr>
            <w:color w:val="000000"/>
            <w:u w:val="single"/>
          </w:rPr>
          <w:t>원문</w:t>
        </w:r>
      </w:hyperlink>
    </w:p>
    <w:p>
      <w:pPr>
        <w:pStyle w:val="Reference"/>
      </w:pPr>
      <w:r>
        <w:t xml:space="preserve">E2 다섯 조건의 상세 검토 색인. research/last_final_20261026/five_condition_audit_index.json </w:t>
      </w:r>
      <w:hyperlink r:id="rId69">
        <w:r>
          <w:rPr>
            <w:color w:val="000000"/>
            <w:u w:val="single"/>
          </w:rPr>
          <w:t>원문</w:t>
        </w:r>
      </w:hyperlink>
    </w:p>
    <w:p>
      <w:pPr>
        <w:pStyle w:val="Reference"/>
      </w:pPr>
      <w:r>
        <w:t xml:space="preserve">E3 완료와 보관 색인. research/delivery_20261026/completion_index.json </w:t>
      </w:r>
      <w:hyperlink r:id="rId70">
        <w:r>
          <w:rPr>
            <w:color w:val="000000"/>
            <w:u w:val="single"/>
          </w:rPr>
          <w:t>원문</w:t>
        </w:r>
      </w:hyperlink>
    </w:p>
    <w:p>
      <w:pPr>
        <w:pStyle w:val="Reference"/>
      </w:pPr>
      <w:r>
        <w:t xml:space="preserve">E4 실험 결과 설명 보고서. research/last_final_20261026/results_explained_ko.html </w:t>
      </w:r>
      <w:hyperlink r:id="rId71">
        <w:r>
          <w:rPr>
            <w:color w:val="000000"/>
            <w:u w:val="single"/>
          </w:rPr>
          <w:t>원문</w:t>
        </w:r>
      </w:hyperlink>
    </w:p>
    <w:p>
      <w:pPr>
        <w:pStyle w:val="Reference"/>
      </w:pPr>
      <w:r>
        <w:t xml:space="preserve">E5 변경과 해석 범위 기록. research/last_final_20261026/protocol_and_review.json </w:t>
      </w:r>
      <w:hyperlink r:id="rId72">
        <w:r>
          <w:rPr>
            <w:color w:val="000000"/>
            <w:u w:val="single"/>
          </w:rPr>
          <w:t>원문</w:t>
        </w:r>
      </w:hyperlink>
    </w:p>
    <w:p>
      <w:r>
        <w:t>본 원고 v5.3의 실험 자료와 대응 설계의 근거는 v5.1에 보관된 기록을 계승한다. 문헌 검토는 2026년 10월 26일까지 접근 가능한 원문·공식 기술 자료를 대상으로 한 목적형 탐색이며 체계적 문헌고찰은 아니다. 기존 원고와 원응답·수치 집계는 보존하였고, 이번 원고 작성 과정에서 새 생성 실험이나 근거 개입 및 대응 효과의 검증을 수행하지 않았다.</w:t>
      </w:r>
    </w:p>
    <w:p>
      <w:pPr>
        <w:pStyle w:val="Reference"/>
      </w:pPr>
      <w:r>
        <w:t xml:space="preserve">R1 실험 해석, 금융 연구, 타 산업 사례와 제안의 연결 및 검토 기록. research/solution_revision_20261026/ </w:t>
      </w:r>
      <w:hyperlink r:id="rId73">
        <w:r>
          <w:rPr>
            <w:color w:val="000000"/>
            <w:u w:val="single"/>
          </w:rPr>
          <w:t>원문</w:t>
        </w:r>
      </w:hyperlink>
    </w:p>
    <w:p>
      <w:pPr>
        <w:pStyle w:val="Heading1"/>
      </w:pPr>
      <w:r>
        <w:t>부록 수치표와 추가 시각화</w:t>
      </w:r>
    </w:p>
    <w:p>
      <w:r>
        <w:t>본문 그림의 정확한 값과 사례 판정의 범위를 확인할 수 있도록 전체 수치표를 제시한다. 표 A1~A3은 시각화에 대응하는 기존 결과표이며, 표 A4~A8은 각 조건의 초안 D0와 첫 최종안 F0에서 원비중과 파생 비중을 함께 보고한다. 이 행들은 독립 실험의 수를 뜻하지 않는다.</w:t>
      </w:r>
    </w:p>
    <w:p>
      <w:pPr>
        <w:pStyle w:val="Caption"/>
        <w:keepNext/>
      </w:pPr>
      <w:r>
        <w:t>표 A1 외부 계산으로 합계를 맞춘 최종 배분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1338"/>
        <w:gridCol w:w="1338"/>
        <w:gridCol w:w="1338"/>
        <w:gridCol w:w="1338"/>
        <w:gridCol w:w="1338"/>
      </w:tblGrid>
      <w:tr>
        <w:trPr>
          <w:tblHeader/>
          <w:cantSplit/>
        </w:trPr>
        <w:tc>
          <w:tcPr>
            <w:tcW w:type="dxa" w:w="2381"/>
            <w:vAlign w:val="center"/>
            <w:shd w:fill="E8EDF1"/>
          </w:tcPr>
          <w:p>
            <w:pPr>
              <w:pStyle w:val="TableText"/>
              <w:keepNext/>
              <w:keepLines/>
              <w:jc w:val="center"/>
            </w:pPr>
            <w:r>
              <w:rPr>
                <w:b/>
              </w:rPr>
              <w:t>산업</w:t>
            </w:r>
          </w:p>
        </w:tc>
        <w:tc>
          <w:tcPr>
            <w:tcW w:type="dxa" w:w="1338"/>
            <w:vAlign w:val="center"/>
            <w:shd w:fill="E8EDF1"/>
          </w:tcPr>
          <w:p>
            <w:pPr>
              <w:pStyle w:val="TableText"/>
              <w:keepNext/>
              <w:keepLines/>
              <w:jc w:val="center"/>
            </w:pPr>
            <w:r>
              <w:rPr>
                <w:b/>
              </w:rPr>
              <w:t>Fid E</w:t>
            </w:r>
          </w:p>
        </w:tc>
        <w:tc>
          <w:tcPr>
            <w:tcW w:type="dxa" w:w="1338"/>
            <w:vAlign w:val="center"/>
            <w:shd w:fill="E8EDF1"/>
          </w:tcPr>
          <w:p>
            <w:pPr>
              <w:pStyle w:val="TableText"/>
              <w:keepNext/>
              <w:keepLines/>
              <w:jc w:val="center"/>
            </w:pPr>
            <w:r>
              <w:rPr>
                <w:b/>
              </w:rPr>
              <w:t>Fid L</w:t>
            </w:r>
          </w:p>
        </w:tc>
        <w:tc>
          <w:tcPr>
            <w:tcW w:type="dxa" w:w="1338"/>
            <w:vAlign w:val="center"/>
            <w:shd w:fill="E8EDF1"/>
          </w:tcPr>
          <w:p>
            <w:pPr>
              <w:pStyle w:val="TableText"/>
              <w:keepNext/>
              <w:keepLines/>
              <w:jc w:val="center"/>
            </w:pPr>
            <w:r>
              <w:rPr>
                <w:b/>
              </w:rPr>
              <w:t>UBS E</w:t>
            </w:r>
          </w:p>
        </w:tc>
        <w:tc>
          <w:tcPr>
            <w:tcW w:type="dxa" w:w="1338"/>
            <w:vAlign w:val="center"/>
            <w:shd w:fill="E8EDF1"/>
          </w:tcPr>
          <w:p>
            <w:pPr>
              <w:pStyle w:val="TableText"/>
              <w:keepNext/>
              <w:keepLines/>
              <w:jc w:val="center"/>
            </w:pPr>
            <w:r>
              <w:rPr>
                <w:b/>
              </w:rPr>
              <w:t>UBS L</w:t>
            </w:r>
          </w:p>
        </w:tc>
        <w:tc>
          <w:tcPr>
            <w:tcW w:type="dxa" w:w="1338"/>
            <w:vAlign w:val="center"/>
            <w:shd w:fill="E8EDF1"/>
          </w:tcPr>
          <w:p>
            <w:pPr>
              <w:pStyle w:val="TableText"/>
              <w:keepNext/>
              <w:keepLines/>
              <w:jc w:val="center"/>
            </w:pPr>
            <w:r>
              <w:rPr>
                <w:b/>
              </w:rPr>
              <w:t>C</w:t>
            </w:r>
          </w:p>
        </w:tc>
      </w:tr>
      <w:tr>
        <w:trPr>
          <w:cantSplit/>
        </w:trPr>
        <w:tc>
          <w:tcPr>
            <w:tcW w:type="dxa" w:w="2381"/>
            <w:vAlign w:val="center"/>
          </w:tcPr>
          <w:p>
            <w:pPr>
              <w:pStyle w:val="TableText"/>
              <w:keepNext w:val="0"/>
              <w:keepLines/>
            </w:pPr>
            <w:r>
              <w:rPr>
                <w:b w:val="0"/>
              </w:rPr>
              <w:t>에너지</w:t>
            </w:r>
          </w:p>
        </w:tc>
        <w:tc>
          <w:tcPr>
            <w:tcW w:type="dxa" w:w="1338"/>
            <w:vAlign w:val="center"/>
          </w:tcPr>
          <w:p>
            <w:pPr>
              <w:pStyle w:val="TableText"/>
              <w:keepNext w:val="0"/>
              <w:keepLines/>
              <w:jc w:val="center"/>
            </w:pPr>
            <w:r>
              <w:rPr>
                <w:b w:val="0"/>
              </w:rPr>
              <w:t>2.18</w:t>
            </w:r>
          </w:p>
        </w:tc>
        <w:tc>
          <w:tcPr>
            <w:tcW w:type="dxa" w:w="1338"/>
            <w:vAlign w:val="center"/>
          </w:tcPr>
          <w:p>
            <w:pPr>
              <w:pStyle w:val="TableText"/>
              <w:keepNext w:val="0"/>
              <w:keepLines/>
              <w:jc w:val="center"/>
            </w:pPr>
            <w:r>
              <w:rPr>
                <w:b w:val="0"/>
              </w:rPr>
              <w:t>2.27</w:t>
            </w:r>
          </w:p>
        </w:tc>
        <w:tc>
          <w:tcPr>
            <w:tcW w:type="dxa" w:w="1338"/>
            <w:vAlign w:val="center"/>
          </w:tcPr>
          <w:p>
            <w:pPr>
              <w:pStyle w:val="TableText"/>
              <w:keepNext w:val="0"/>
              <w:keepLines/>
              <w:jc w:val="center"/>
            </w:pPr>
            <w:r>
              <w:rPr>
                <w:b w:val="0"/>
              </w:rPr>
              <w:t>3.16</w:t>
            </w:r>
          </w:p>
        </w:tc>
        <w:tc>
          <w:tcPr>
            <w:tcW w:type="dxa" w:w="1338"/>
            <w:vAlign w:val="center"/>
          </w:tcPr>
          <w:p>
            <w:pPr>
              <w:pStyle w:val="TableText"/>
              <w:keepNext w:val="0"/>
              <w:keepLines/>
              <w:jc w:val="center"/>
            </w:pPr>
            <w:r>
              <w:rPr>
                <w:b w:val="0"/>
              </w:rPr>
              <w:t>3.96</w:t>
            </w:r>
          </w:p>
        </w:tc>
        <w:tc>
          <w:tcPr>
            <w:tcW w:type="dxa" w:w="1338"/>
            <w:vAlign w:val="center"/>
          </w:tcPr>
          <w:p>
            <w:pPr>
              <w:pStyle w:val="TableText"/>
              <w:keepNext w:val="0"/>
              <w:keepLines/>
              <w:jc w:val="center"/>
            </w:pPr>
            <w:r>
              <w:rPr>
                <w:b w:val="0"/>
              </w:rPr>
              <w:t>3.75</w:t>
            </w:r>
          </w:p>
        </w:tc>
      </w:tr>
      <w:tr>
        <w:trPr>
          <w:cantSplit/>
        </w:trPr>
        <w:tc>
          <w:tcPr>
            <w:tcW w:type="dxa" w:w="2381"/>
            <w:vAlign w:val="center"/>
          </w:tcPr>
          <w:p>
            <w:pPr>
              <w:pStyle w:val="TableText"/>
              <w:keepNext w:val="0"/>
              <w:keepLines/>
            </w:pPr>
            <w:r>
              <w:rPr>
                <w:b w:val="0"/>
              </w:rPr>
              <w:t>소재</w:t>
            </w:r>
          </w:p>
        </w:tc>
        <w:tc>
          <w:tcPr>
            <w:tcW w:type="dxa" w:w="1338"/>
            <w:vAlign w:val="center"/>
          </w:tcPr>
          <w:p>
            <w:pPr>
              <w:pStyle w:val="TableText"/>
              <w:keepNext w:val="0"/>
              <w:keepLines/>
              <w:jc w:val="center"/>
            </w:pPr>
            <w:r>
              <w:rPr>
                <w:b w:val="0"/>
              </w:rPr>
              <w:t>2.17</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1.98</w:t>
            </w:r>
          </w:p>
        </w:tc>
        <w:tc>
          <w:tcPr>
            <w:tcW w:type="dxa" w:w="1338"/>
            <w:vAlign w:val="center"/>
          </w:tcPr>
          <w:p>
            <w:pPr>
              <w:pStyle w:val="TableText"/>
              <w:keepNext w:val="0"/>
              <w:keepLines/>
              <w:jc w:val="center"/>
            </w:pPr>
            <w:r>
              <w:rPr>
                <w:b w:val="0"/>
              </w:rPr>
              <w:t>1.77</w:t>
            </w:r>
          </w:p>
        </w:tc>
      </w:tr>
      <w:tr>
        <w:trPr>
          <w:cantSplit/>
        </w:trPr>
        <w:tc>
          <w:tcPr>
            <w:tcW w:type="dxa" w:w="2381"/>
            <w:vAlign w:val="center"/>
          </w:tcPr>
          <w:p>
            <w:pPr>
              <w:pStyle w:val="TableText"/>
              <w:keepNext w:val="0"/>
              <w:keepLines/>
            </w:pPr>
            <w:r>
              <w:rPr>
                <w:b w:val="0"/>
              </w:rPr>
              <w:t>산업재</w:t>
            </w:r>
          </w:p>
        </w:tc>
        <w:tc>
          <w:tcPr>
            <w:tcW w:type="dxa" w:w="1338"/>
            <w:vAlign w:val="center"/>
          </w:tcPr>
          <w:p>
            <w:pPr>
              <w:pStyle w:val="TableText"/>
              <w:keepNext w:val="0"/>
              <w:keepLines/>
              <w:jc w:val="center"/>
            </w:pPr>
            <w:r>
              <w:rPr>
                <w:b w:val="0"/>
              </w:rPr>
              <w:t>10.87</w:t>
            </w:r>
          </w:p>
        </w:tc>
        <w:tc>
          <w:tcPr>
            <w:tcW w:type="dxa" w:w="1338"/>
            <w:vAlign w:val="center"/>
          </w:tcPr>
          <w:p>
            <w:pPr>
              <w:pStyle w:val="TableText"/>
              <w:keepNext w:val="0"/>
              <w:keepLines/>
              <w:jc w:val="center"/>
            </w:pPr>
            <w:r>
              <w:rPr>
                <w:b w:val="0"/>
              </w:rPr>
              <w:t>12.50</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경기소비재</w:t>
            </w:r>
          </w:p>
        </w:tc>
        <w:tc>
          <w:tcPr>
            <w:tcW w:type="dxa" w:w="1338"/>
            <w:vAlign w:val="center"/>
          </w:tcPr>
          <w:p>
            <w:pPr>
              <w:pStyle w:val="TableText"/>
              <w:keepNext w:val="0"/>
              <w:keepLines/>
              <w:jc w:val="center"/>
            </w:pPr>
            <w:r>
              <w:rPr>
                <w:b w:val="0"/>
              </w:rPr>
              <w:t>9.78</w:t>
            </w:r>
          </w:p>
        </w:tc>
        <w:tc>
          <w:tcPr>
            <w:tcW w:type="dxa" w:w="1338"/>
            <w:vAlign w:val="center"/>
          </w:tcPr>
          <w:p>
            <w:pPr>
              <w:pStyle w:val="TableText"/>
              <w:keepNext w:val="0"/>
              <w:keepLines/>
              <w:jc w:val="center"/>
            </w:pPr>
            <w:r>
              <w:rPr>
                <w:b w:val="0"/>
              </w:rPr>
              <w:t>11.36</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필수소비재</w:t>
            </w:r>
          </w:p>
        </w:tc>
        <w:tc>
          <w:tcPr>
            <w:tcW w:type="dxa" w:w="1338"/>
            <w:vAlign w:val="center"/>
          </w:tcPr>
          <w:p>
            <w:pPr>
              <w:pStyle w:val="TableText"/>
              <w:keepNext w:val="0"/>
              <w:keepLines/>
              <w:jc w:val="center"/>
            </w:pPr>
            <w:r>
              <w:rPr>
                <w:b w:val="0"/>
              </w:rPr>
              <w:t>4.35</w:t>
            </w:r>
          </w:p>
        </w:tc>
        <w:tc>
          <w:tcPr>
            <w:tcW w:type="dxa" w:w="1338"/>
            <w:vAlign w:val="center"/>
          </w:tcPr>
          <w:p>
            <w:pPr>
              <w:pStyle w:val="TableText"/>
              <w:keepNext w:val="0"/>
              <w:keepLines/>
              <w:jc w:val="center"/>
            </w:pPr>
            <w:r>
              <w:rPr>
                <w:b w:val="0"/>
              </w:rPr>
              <w:t>3.41</w:t>
            </w:r>
          </w:p>
        </w:tc>
        <w:tc>
          <w:tcPr>
            <w:tcW w:type="dxa" w:w="1338"/>
            <w:vAlign w:val="center"/>
          </w:tcPr>
          <w:p>
            <w:pPr>
              <w:pStyle w:val="TableText"/>
              <w:keepNext w:val="0"/>
              <w:keepLines/>
              <w:jc w:val="center"/>
            </w:pPr>
            <w:r>
              <w:rPr>
                <w:b w:val="0"/>
              </w:rPr>
              <w:t>5.26</w:t>
            </w:r>
          </w:p>
        </w:tc>
        <w:tc>
          <w:tcPr>
            <w:tcW w:type="dxa" w:w="1338"/>
            <w:vAlign w:val="center"/>
          </w:tcPr>
          <w:p>
            <w:pPr>
              <w:pStyle w:val="TableText"/>
              <w:keepNext w:val="0"/>
              <w:keepLines/>
              <w:jc w:val="center"/>
            </w:pPr>
            <w:r>
              <w:rPr>
                <w:b w:val="0"/>
              </w:rPr>
              <w:t>4.95</w:t>
            </w:r>
          </w:p>
        </w:tc>
        <w:tc>
          <w:tcPr>
            <w:tcW w:type="dxa" w:w="1338"/>
            <w:vAlign w:val="center"/>
          </w:tcPr>
          <w:p>
            <w:pPr>
              <w:pStyle w:val="TableText"/>
              <w:keepNext w:val="0"/>
              <w:keepLines/>
              <w:jc w:val="center"/>
            </w:pPr>
            <w:r>
              <w:rPr>
                <w:b w:val="0"/>
              </w:rPr>
              <w:t>4.93</w:t>
            </w:r>
          </w:p>
        </w:tc>
      </w:tr>
      <w:tr>
        <w:trPr>
          <w:cantSplit/>
        </w:trPr>
        <w:tc>
          <w:tcPr>
            <w:tcW w:type="dxa" w:w="2381"/>
            <w:vAlign w:val="center"/>
          </w:tcPr>
          <w:p>
            <w:pPr>
              <w:pStyle w:val="TableText"/>
              <w:keepNext w:val="0"/>
              <w:keepLines/>
            </w:pPr>
            <w:r>
              <w:rPr>
                <w:b w:val="0"/>
              </w:rPr>
              <w:t>헬스케어</w:t>
            </w:r>
          </w:p>
        </w:tc>
        <w:tc>
          <w:tcPr>
            <w:tcW w:type="dxa" w:w="1338"/>
            <w:vAlign w:val="center"/>
          </w:tcPr>
          <w:p>
            <w:pPr>
              <w:pStyle w:val="TableText"/>
              <w:keepNext w:val="0"/>
              <w:keepLines/>
              <w:jc w:val="center"/>
            </w:pPr>
            <w:r>
              <w:rPr>
                <w:b w:val="0"/>
              </w:rPr>
              <w:t>9.78</w:t>
            </w:r>
          </w:p>
        </w:tc>
        <w:tc>
          <w:tcPr>
            <w:tcW w:type="dxa" w:w="1338"/>
            <w:vAlign w:val="center"/>
          </w:tcPr>
          <w:p>
            <w:pPr>
              <w:pStyle w:val="TableText"/>
              <w:keepNext w:val="0"/>
              <w:keepLines/>
              <w:jc w:val="center"/>
            </w:pPr>
            <w:r>
              <w:rPr>
                <w:b w:val="0"/>
              </w:rPr>
              <w:t>9.09</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금융</w:t>
            </w:r>
          </w:p>
        </w:tc>
        <w:tc>
          <w:tcPr>
            <w:tcW w:type="dxa" w:w="1338"/>
            <w:vAlign w:val="center"/>
          </w:tcPr>
          <w:p>
            <w:pPr>
              <w:pStyle w:val="TableText"/>
              <w:keepNext w:val="0"/>
              <w:keepLines/>
              <w:jc w:val="center"/>
            </w:pPr>
            <w:r>
              <w:rPr>
                <w:b w:val="0"/>
              </w:rPr>
              <w:t>13.04</w:t>
            </w:r>
          </w:p>
        </w:tc>
        <w:tc>
          <w:tcPr>
            <w:tcW w:type="dxa" w:w="1338"/>
            <w:vAlign w:val="center"/>
          </w:tcPr>
          <w:p>
            <w:pPr>
              <w:pStyle w:val="TableText"/>
              <w:keepNext w:val="0"/>
              <w:keepLines/>
              <w:jc w:val="center"/>
            </w:pPr>
            <w:r>
              <w:rPr>
                <w:b w:val="0"/>
              </w:rPr>
              <w:t>14.77</w:t>
            </w:r>
          </w:p>
        </w:tc>
        <w:tc>
          <w:tcPr>
            <w:tcW w:type="dxa" w:w="1338"/>
            <w:vAlign w:val="center"/>
          </w:tcPr>
          <w:p>
            <w:pPr>
              <w:pStyle w:val="TableText"/>
              <w:keepNext w:val="0"/>
              <w:keepLines/>
              <w:jc w:val="center"/>
            </w:pPr>
            <w:r>
              <w:rPr>
                <w:b w:val="0"/>
              </w:rPr>
              <w:t>12.63</w:t>
            </w:r>
          </w:p>
        </w:tc>
        <w:tc>
          <w:tcPr>
            <w:tcW w:type="dxa" w:w="1338"/>
            <w:vAlign w:val="center"/>
          </w:tcPr>
          <w:p>
            <w:pPr>
              <w:pStyle w:val="TableText"/>
              <w:keepNext w:val="0"/>
              <w:keepLines/>
              <w:jc w:val="center"/>
            </w:pPr>
            <w:r>
              <w:rPr>
                <w:b w:val="0"/>
              </w:rPr>
              <w:t>11.88</w:t>
            </w:r>
          </w:p>
        </w:tc>
        <w:tc>
          <w:tcPr>
            <w:tcW w:type="dxa" w:w="1338"/>
            <w:vAlign w:val="center"/>
          </w:tcPr>
          <w:p>
            <w:pPr>
              <w:pStyle w:val="TableText"/>
              <w:keepNext w:val="0"/>
              <w:keepLines/>
              <w:jc w:val="center"/>
            </w:pPr>
            <w:r>
              <w:rPr>
                <w:b w:val="0"/>
              </w:rPr>
              <w:t>11.83</w:t>
            </w:r>
          </w:p>
        </w:tc>
      </w:tr>
      <w:tr>
        <w:trPr>
          <w:cantSplit/>
        </w:trPr>
        <w:tc>
          <w:tcPr>
            <w:tcW w:type="dxa" w:w="2381"/>
            <w:vAlign w:val="center"/>
          </w:tcPr>
          <w:p>
            <w:pPr>
              <w:pStyle w:val="TableText"/>
              <w:keepNext w:val="0"/>
              <w:keepLines/>
            </w:pPr>
            <w:r>
              <w:rPr>
                <w:b w:val="0"/>
              </w:rPr>
              <w:t>정보기술</w:t>
            </w:r>
          </w:p>
        </w:tc>
        <w:tc>
          <w:tcPr>
            <w:tcW w:type="dxa" w:w="1338"/>
            <w:vAlign w:val="center"/>
          </w:tcPr>
          <w:p>
            <w:pPr>
              <w:pStyle w:val="TableText"/>
              <w:keepNext w:val="0"/>
              <w:keepLines/>
              <w:jc w:val="center"/>
            </w:pPr>
            <w:r>
              <w:rPr>
                <w:b w:val="0"/>
              </w:rPr>
              <w:t>41.31</w:t>
            </w:r>
          </w:p>
        </w:tc>
        <w:tc>
          <w:tcPr>
            <w:tcW w:type="dxa" w:w="1338"/>
            <w:vAlign w:val="center"/>
          </w:tcPr>
          <w:p>
            <w:pPr>
              <w:pStyle w:val="TableText"/>
              <w:keepNext w:val="0"/>
              <w:keepLines/>
              <w:jc w:val="center"/>
            </w:pPr>
            <w:r>
              <w:rPr>
                <w:b w:val="0"/>
              </w:rPr>
              <w:t>40.91</w:t>
            </w:r>
          </w:p>
        </w:tc>
        <w:tc>
          <w:tcPr>
            <w:tcW w:type="dxa" w:w="1338"/>
            <w:vAlign w:val="center"/>
          </w:tcPr>
          <w:p>
            <w:pPr>
              <w:pStyle w:val="TableText"/>
              <w:keepNext w:val="0"/>
              <w:keepLines/>
              <w:jc w:val="center"/>
            </w:pPr>
            <w:r>
              <w:rPr>
                <w:b w:val="0"/>
              </w:rPr>
              <w:t>40.00</w:t>
            </w:r>
          </w:p>
        </w:tc>
        <w:tc>
          <w:tcPr>
            <w:tcW w:type="dxa" w:w="1338"/>
            <w:vAlign w:val="center"/>
          </w:tcPr>
          <w:p>
            <w:pPr>
              <w:pStyle w:val="TableText"/>
              <w:keepNext w:val="0"/>
              <w:keepLines/>
              <w:jc w:val="center"/>
            </w:pPr>
            <w:r>
              <w:rPr>
                <w:b w:val="0"/>
              </w:rPr>
              <w:t>34.66</w:t>
            </w:r>
          </w:p>
        </w:tc>
        <w:tc>
          <w:tcPr>
            <w:tcW w:type="dxa" w:w="1338"/>
            <w:vAlign w:val="center"/>
          </w:tcPr>
          <w:p>
            <w:pPr>
              <w:pStyle w:val="TableText"/>
              <w:keepNext w:val="0"/>
              <w:keepLines/>
              <w:jc w:val="center"/>
            </w:pPr>
            <w:r>
              <w:rPr>
                <w:b w:val="0"/>
              </w:rPr>
              <w:t>37.48</w:t>
            </w:r>
          </w:p>
        </w:tc>
      </w:tr>
      <w:tr>
        <w:trPr>
          <w:cantSplit/>
        </w:trPr>
        <w:tc>
          <w:tcPr>
            <w:tcW w:type="dxa" w:w="2381"/>
            <w:vAlign w:val="center"/>
          </w:tcPr>
          <w:p>
            <w:pPr>
              <w:pStyle w:val="TableText"/>
              <w:keepNext w:val="0"/>
              <w:keepLines/>
            </w:pPr>
            <w:r>
              <w:rPr>
                <w:b w:val="0"/>
              </w:rPr>
              <w:t>커뮤니케이션 서비스</w:t>
            </w:r>
          </w:p>
        </w:tc>
        <w:tc>
          <w:tcPr>
            <w:tcW w:type="dxa" w:w="1338"/>
            <w:vAlign w:val="center"/>
          </w:tcPr>
          <w:p>
            <w:pPr>
              <w:pStyle w:val="TableText"/>
              <w:keepNext w:val="0"/>
              <w:keepLines/>
              <w:jc w:val="center"/>
            </w:pPr>
            <w:r>
              <w:rPr>
                <w:b w:val="0"/>
              </w:rPr>
              <w:t>3.26</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4.21</w:t>
            </w:r>
          </w:p>
        </w:tc>
        <w:tc>
          <w:tcPr>
            <w:tcW w:type="dxa" w:w="1338"/>
            <w:vAlign w:val="center"/>
          </w:tcPr>
          <w:p>
            <w:pPr>
              <w:pStyle w:val="TableText"/>
              <w:keepNext w:val="0"/>
              <w:keepLines/>
              <w:jc w:val="center"/>
            </w:pPr>
            <w:r>
              <w:rPr>
                <w:b w:val="0"/>
              </w:rPr>
              <w:t>7.92</w:t>
            </w:r>
          </w:p>
        </w:tc>
        <w:tc>
          <w:tcPr>
            <w:tcW w:type="dxa" w:w="1338"/>
            <w:vAlign w:val="center"/>
          </w:tcPr>
          <w:p>
            <w:pPr>
              <w:pStyle w:val="TableText"/>
              <w:keepNext w:val="0"/>
              <w:keepLines/>
              <w:jc w:val="center"/>
            </w:pPr>
            <w:r>
              <w:rPr>
                <w:b w:val="0"/>
              </w:rPr>
              <w:t>9.86</w:t>
            </w:r>
          </w:p>
        </w:tc>
      </w:tr>
      <w:tr>
        <w:trPr>
          <w:cantSplit/>
        </w:trPr>
        <w:tc>
          <w:tcPr>
            <w:tcW w:type="dxa" w:w="2381"/>
            <w:vAlign w:val="center"/>
          </w:tcPr>
          <w:p>
            <w:pPr>
              <w:pStyle w:val="TableText"/>
              <w:keepNext w:val="0"/>
              <w:keepLines/>
            </w:pPr>
            <w:r>
              <w:rPr>
                <w:b w:val="0"/>
              </w:rPr>
              <w:t>유틸리티</w:t>
            </w:r>
          </w:p>
        </w:tc>
        <w:tc>
          <w:tcPr>
            <w:tcW w:type="dxa" w:w="1338"/>
            <w:vAlign w:val="center"/>
          </w:tcPr>
          <w:p>
            <w:pPr>
              <w:pStyle w:val="TableText"/>
              <w:keepNext w:val="0"/>
              <w:keepLines/>
              <w:jc w:val="center"/>
            </w:pPr>
            <w:r>
              <w:rPr>
                <w:b w:val="0"/>
              </w:rPr>
              <w:t>2.17</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2.97</w:t>
            </w:r>
          </w:p>
        </w:tc>
        <w:tc>
          <w:tcPr>
            <w:tcW w:type="dxa" w:w="1338"/>
            <w:vAlign w:val="center"/>
          </w:tcPr>
          <w:p>
            <w:pPr>
              <w:pStyle w:val="TableText"/>
              <w:keepNext w:val="0"/>
              <w:keepLines/>
              <w:jc w:val="center"/>
            </w:pPr>
            <w:r>
              <w:rPr>
                <w:b w:val="0"/>
              </w:rPr>
              <w:t>1.77</w:t>
            </w:r>
          </w:p>
        </w:tc>
      </w:tr>
      <w:tr>
        <w:trPr>
          <w:cantSplit/>
        </w:trPr>
        <w:tc>
          <w:tcPr>
            <w:tcW w:type="dxa" w:w="2381"/>
            <w:vAlign w:val="center"/>
          </w:tcPr>
          <w:p>
            <w:pPr>
              <w:pStyle w:val="TableText"/>
              <w:keepNext w:val="0"/>
              <w:keepLines/>
            </w:pPr>
            <w:r>
              <w:rPr>
                <w:b w:val="0"/>
              </w:rPr>
              <w:t>부동산</w:t>
            </w:r>
          </w:p>
        </w:tc>
        <w:tc>
          <w:tcPr>
            <w:tcW w:type="dxa" w:w="1338"/>
            <w:vAlign w:val="center"/>
          </w:tcPr>
          <w:p>
            <w:pPr>
              <w:pStyle w:val="TableText"/>
              <w:keepNext w:val="0"/>
              <w:keepLines/>
              <w:jc w:val="center"/>
            </w:pPr>
            <w:r>
              <w:rPr>
                <w:b w:val="0"/>
              </w:rPr>
              <w:t>1.09</w:t>
            </w:r>
          </w:p>
        </w:tc>
        <w:tc>
          <w:tcPr>
            <w:tcW w:type="dxa" w:w="1338"/>
            <w:vAlign w:val="center"/>
          </w:tcPr>
          <w:p>
            <w:pPr>
              <w:pStyle w:val="TableText"/>
              <w:keepNext w:val="0"/>
              <w:keepLines/>
              <w:jc w:val="center"/>
            </w:pPr>
            <w:r>
              <w:rPr>
                <w:b w:val="0"/>
              </w:rPr>
              <w:t>2.27</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1.98</w:t>
            </w:r>
          </w:p>
        </w:tc>
        <w:tc>
          <w:tcPr>
            <w:tcW w:type="dxa" w:w="1338"/>
            <w:vAlign w:val="center"/>
          </w:tcPr>
          <w:p>
            <w:pPr>
              <w:pStyle w:val="TableText"/>
              <w:keepNext w:val="0"/>
              <w:keepLines/>
              <w:jc w:val="center"/>
            </w:pPr>
            <w:r>
              <w:rPr>
                <w:b w:val="0"/>
              </w:rPr>
              <w:t>1.97</w:t>
            </w:r>
          </w:p>
        </w:tc>
      </w:tr>
      <w:tr>
        <w:trPr>
          <w:cantSplit/>
        </w:trPr>
        <w:tc>
          <w:tcPr>
            <w:tcW w:type="dxa" w:w="2381"/>
            <w:vAlign w:val="center"/>
          </w:tcPr>
          <w:p>
            <w:pPr>
              <w:pStyle w:val="TableText"/>
              <w:keepNext w:val="0"/>
              <w:keepLines/>
            </w:pPr>
            <w:r>
              <w:rPr>
                <w:b w:val="0"/>
              </w:rPr>
              <w:t>합계</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r>
    </w:tbl>
    <w:p>
      <w:pPr>
        <w:pStyle w:val="TableNote"/>
      </w:pPr>
      <w:r>
        <w:t>단위 %. Fid는 Fidelity이다. 모두 파생 배분이며 원비중은 E1에 별도 보존한다. 0.01%p의 동률 해소 차이는 고정 반올림 순서에서 생길 수 있다.</w:t>
      </w:r>
    </w:p>
    <w:p>
      <w:pPr>
        <w:pStyle w:val="Caption"/>
        <w:keepNext/>
      </w:pPr>
      <w:r>
        <w:t>표 A2 최종 배분 사이의 거리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061"/>
        <w:gridCol w:w="4195"/>
        <w:gridCol w:w="1814"/>
      </w:tblGrid>
      <w:tr>
        <w:trPr>
          <w:tblHeader/>
          <w:cantSplit/>
        </w:trPr>
        <w:tc>
          <w:tcPr>
            <w:tcW w:type="dxa" w:w="3061"/>
            <w:vAlign w:val="center"/>
            <w:shd w:fill="E8EDF1"/>
          </w:tcPr>
          <w:p>
            <w:pPr>
              <w:pStyle w:val="TableText"/>
              <w:keepNext/>
              <w:keepLines/>
              <w:jc w:val="center"/>
            </w:pPr>
            <w:r>
              <w:rPr>
                <w:b/>
              </w:rPr>
              <w:t>비교</w:t>
            </w:r>
          </w:p>
        </w:tc>
        <w:tc>
          <w:tcPr>
            <w:tcW w:type="dxa" w:w="4195"/>
            <w:vAlign w:val="center"/>
            <w:shd w:fill="E8EDF1"/>
          </w:tcPr>
          <w:p>
            <w:pPr>
              <w:pStyle w:val="TableText"/>
              <w:keepNext/>
              <w:keepLines/>
              <w:jc w:val="center"/>
            </w:pPr>
            <w:r>
              <w:rPr>
                <w:b/>
              </w:rPr>
              <w:t>비교 대상</w:t>
            </w:r>
          </w:p>
        </w:tc>
        <w:tc>
          <w:tcPr>
            <w:tcW w:type="dxa" w:w="1814"/>
            <w:vAlign w:val="center"/>
            <w:shd w:fill="E8EDF1"/>
          </w:tcPr>
          <w:p>
            <w:pPr>
              <w:pStyle w:val="TableText"/>
              <w:keepNext/>
              <w:keepLines/>
              <w:jc w:val="center"/>
            </w:pPr>
            <w:r>
              <w:rPr>
                <w:b/>
              </w:rPr>
              <w:t>거리 %</w:t>
            </w:r>
          </w:p>
        </w:tc>
      </w:tr>
      <w:tr>
        <w:trPr>
          <w:cantSplit/>
        </w:trPr>
        <w:tc>
          <w:tcPr>
            <w:tcW w:type="dxa" w:w="3061"/>
            <w:vAlign w:val="center"/>
          </w:tcPr>
          <w:p>
            <w:pPr>
              <w:pStyle w:val="TableText"/>
              <w:keepNext w:val="0"/>
              <w:keepLines/>
            </w:pPr>
            <w:r>
              <w:rPr>
                <w:b w:val="0"/>
              </w:rPr>
              <w:t>같은 기관의 제공 절차</w:t>
            </w:r>
          </w:p>
        </w:tc>
        <w:tc>
          <w:tcPr>
            <w:tcW w:type="dxa" w:w="4195"/>
            <w:vAlign w:val="center"/>
          </w:tcPr>
          <w:p>
            <w:pPr>
              <w:pStyle w:val="TableText"/>
              <w:keepNext w:val="0"/>
              <w:keepLines/>
            </w:pPr>
            <w:r>
              <w:rPr>
                <w:b w:val="0"/>
              </w:rPr>
              <w:t>Fidelity E ↔ Fidelity L</w:t>
            </w:r>
          </w:p>
        </w:tc>
        <w:tc>
          <w:tcPr>
            <w:tcW w:type="dxa" w:w="1814"/>
            <w:vAlign w:val="center"/>
          </w:tcPr>
          <w:p>
            <w:pPr>
              <w:pStyle w:val="TableText"/>
              <w:keepNext w:val="0"/>
              <w:keepLines/>
              <w:jc w:val="center"/>
            </w:pPr>
            <w:r>
              <w:rPr>
                <w:b w:val="0"/>
              </w:rPr>
              <w:t>6.21</w:t>
            </w:r>
          </w:p>
        </w:tc>
      </w:tr>
      <w:tr>
        <w:trPr>
          <w:cantSplit/>
        </w:trPr>
        <w:tc>
          <w:tcPr>
            <w:tcW w:type="dxa" w:w="3061"/>
            <w:vAlign w:val="center"/>
          </w:tcPr>
          <w:p>
            <w:pPr>
              <w:pStyle w:val="TableText"/>
              <w:keepNext w:val="0"/>
              <w:keepLines/>
            </w:pPr>
            <w:r>
              <w:rPr>
                <w:b w:val="0"/>
              </w:rPr>
              <w:t>같은 기관의 제공 절차</w:t>
            </w:r>
          </w:p>
        </w:tc>
        <w:tc>
          <w:tcPr>
            <w:tcW w:type="dxa" w:w="4195"/>
            <w:vAlign w:val="center"/>
          </w:tcPr>
          <w:p>
            <w:pPr>
              <w:pStyle w:val="TableText"/>
              <w:keepNext w:val="0"/>
              <w:keepLines/>
            </w:pPr>
            <w:r>
              <w:rPr>
                <w:b w:val="0"/>
              </w:rPr>
              <w:t>UBS E ↔ UBS L</w:t>
            </w:r>
          </w:p>
        </w:tc>
        <w:tc>
          <w:tcPr>
            <w:tcW w:type="dxa" w:w="1814"/>
            <w:vAlign w:val="center"/>
          </w:tcPr>
          <w:p>
            <w:pPr>
              <w:pStyle w:val="TableText"/>
              <w:keepNext w:val="0"/>
              <w:keepLines/>
              <w:jc w:val="center"/>
            </w:pPr>
            <w:r>
              <w:rPr>
                <w:b w:val="0"/>
              </w:rPr>
              <w:t>6.66</w:t>
            </w:r>
          </w:p>
        </w:tc>
      </w:tr>
      <w:tr>
        <w:trPr>
          <w:cantSplit/>
        </w:trPr>
        <w:tc>
          <w:tcPr>
            <w:tcW w:type="dxa" w:w="3061"/>
            <w:vAlign w:val="center"/>
          </w:tcPr>
          <w:p>
            <w:pPr>
              <w:pStyle w:val="TableText"/>
              <w:keepNext w:val="0"/>
              <w:keepLines/>
            </w:pPr>
            <w:r>
              <w:rPr>
                <w:b w:val="0"/>
              </w:rPr>
              <w:t>초기 제공의 기관 간 차이</w:t>
            </w:r>
          </w:p>
        </w:tc>
        <w:tc>
          <w:tcPr>
            <w:tcW w:type="dxa" w:w="4195"/>
            <w:vAlign w:val="center"/>
          </w:tcPr>
          <w:p>
            <w:pPr>
              <w:pStyle w:val="TableText"/>
              <w:keepNext w:val="0"/>
              <w:keepLines/>
            </w:pPr>
            <w:r>
              <w:rPr>
                <w:b w:val="0"/>
              </w:rPr>
              <w:t>Fidelity E ↔ UBS E</w:t>
            </w:r>
          </w:p>
        </w:tc>
        <w:tc>
          <w:tcPr>
            <w:tcW w:type="dxa" w:w="1814"/>
            <w:vAlign w:val="center"/>
          </w:tcPr>
          <w:p>
            <w:pPr>
              <w:pStyle w:val="TableText"/>
              <w:keepNext w:val="0"/>
              <w:keepLines/>
              <w:jc w:val="center"/>
            </w:pPr>
            <w:r>
              <w:rPr>
                <w:b w:val="0"/>
              </w:rPr>
              <w:t>3.86</w:t>
            </w:r>
          </w:p>
        </w:tc>
      </w:tr>
      <w:tr>
        <w:trPr>
          <w:cantSplit/>
        </w:trPr>
        <w:tc>
          <w:tcPr>
            <w:tcW w:type="dxa" w:w="3061"/>
            <w:vAlign w:val="center"/>
          </w:tcPr>
          <w:p>
            <w:pPr>
              <w:pStyle w:val="TableText"/>
              <w:keepNext w:val="0"/>
              <w:keepLines/>
            </w:pPr>
            <w:r>
              <w:rPr>
                <w:b w:val="0"/>
              </w:rPr>
              <w:t>후기 제공의 기관 간 차이</w:t>
            </w:r>
          </w:p>
        </w:tc>
        <w:tc>
          <w:tcPr>
            <w:tcW w:type="dxa" w:w="4195"/>
            <w:vAlign w:val="center"/>
          </w:tcPr>
          <w:p>
            <w:pPr>
              <w:pStyle w:val="TableText"/>
              <w:keepNext w:val="0"/>
              <w:keepLines/>
            </w:pPr>
            <w:r>
              <w:rPr>
                <w:b w:val="0"/>
              </w:rPr>
              <w:t>Fidelity L ↔ UBS L</w:t>
            </w:r>
          </w:p>
        </w:tc>
        <w:tc>
          <w:tcPr>
            <w:tcW w:type="dxa" w:w="1814"/>
            <w:vAlign w:val="center"/>
          </w:tcPr>
          <w:p>
            <w:pPr>
              <w:pStyle w:val="TableText"/>
              <w:keepNext w:val="0"/>
              <w:keepLines/>
              <w:jc w:val="center"/>
            </w:pPr>
            <w:r>
              <w:rPr>
                <w:b w:val="0"/>
              </w:rPr>
              <w:t>13.49</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Fidelity E ↔ C</w:t>
            </w:r>
          </w:p>
        </w:tc>
        <w:tc>
          <w:tcPr>
            <w:tcW w:type="dxa" w:w="1814"/>
            <w:vAlign w:val="center"/>
          </w:tcPr>
          <w:p>
            <w:pPr>
              <w:pStyle w:val="TableText"/>
              <w:keepNext w:val="0"/>
              <w:keepLines/>
              <w:jc w:val="center"/>
            </w:pPr>
            <w:r>
              <w:rPr>
                <w:b w:val="0"/>
              </w:rPr>
              <w:t>9.63</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Fidelity L ↔ C</w:t>
            </w:r>
          </w:p>
        </w:tc>
        <w:tc>
          <w:tcPr>
            <w:tcW w:type="dxa" w:w="1814"/>
            <w:vAlign w:val="center"/>
          </w:tcPr>
          <w:p>
            <w:pPr>
              <w:pStyle w:val="TableText"/>
              <w:keepNext w:val="0"/>
              <w:keepLines/>
              <w:jc w:val="center"/>
            </w:pPr>
            <w:r>
              <w:rPr>
                <w:b w:val="0"/>
              </w:rPr>
              <w:t>12.98</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UBS E ↔ C</w:t>
            </w:r>
          </w:p>
        </w:tc>
        <w:tc>
          <w:tcPr>
            <w:tcW w:type="dxa" w:w="1814"/>
            <w:vAlign w:val="center"/>
          </w:tcPr>
          <w:p>
            <w:pPr>
              <w:pStyle w:val="TableText"/>
              <w:keepNext w:val="0"/>
              <w:keepLines/>
              <w:jc w:val="center"/>
            </w:pPr>
            <w:r>
              <w:rPr>
                <w:b w:val="0"/>
              </w:rPr>
              <w:t>6.24</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UBS L ↔ C</w:t>
            </w:r>
          </w:p>
        </w:tc>
        <w:tc>
          <w:tcPr>
            <w:tcW w:type="dxa" w:w="1814"/>
            <w:vAlign w:val="center"/>
          </w:tcPr>
          <w:p>
            <w:pPr>
              <w:pStyle w:val="TableText"/>
              <w:keepNext w:val="0"/>
              <w:keepLines/>
              <w:jc w:val="center"/>
            </w:pPr>
            <w:r>
              <w:rPr>
                <w:b w:val="0"/>
              </w:rPr>
              <w:t>4.76</w:t>
            </w:r>
          </w:p>
        </w:tc>
      </w:tr>
    </w:tbl>
    <w:p>
      <w:pPr>
        <w:pStyle w:val="TableNote"/>
      </w:pPr>
      <w:r>
        <w:t>동일한 C를 네 번 비교한 것이며 독립된 대조군 네 개가 아니다. 거리의 크기는 배분 차이만 나타낸다. 출처 E1.</w:t>
      </w:r>
    </w:p>
    <w:p>
      <w:pPr>
        <w:pStyle w:val="Caption"/>
        <w:keepNext/>
      </w:pPr>
      <w:r>
        <w:t>표 A3 근거와 실제 선택을 대조한 대표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41"/>
        <w:gridCol w:w="3402"/>
        <w:gridCol w:w="3628"/>
      </w:tblGrid>
      <w:tr>
        <w:trPr>
          <w:tblHeader/>
          <w:cantSplit/>
        </w:trPr>
        <w:tc>
          <w:tcPr>
            <w:tcW w:type="dxa" w:w="2041"/>
            <w:vAlign w:val="center"/>
            <w:shd w:fill="E8EDF1"/>
          </w:tcPr>
          <w:p>
            <w:pPr>
              <w:pStyle w:val="TableText"/>
              <w:keepNext/>
              <w:keepLines/>
              <w:jc w:val="center"/>
            </w:pPr>
            <w:r>
              <w:rPr>
                <w:b/>
              </w:rPr>
              <w:t>대상</w:t>
            </w:r>
          </w:p>
        </w:tc>
        <w:tc>
          <w:tcPr>
            <w:tcW w:type="dxa" w:w="3402"/>
            <w:vAlign w:val="center"/>
            <w:shd w:fill="E8EDF1"/>
          </w:tcPr>
          <w:p>
            <w:pPr>
              <w:pStyle w:val="TableText"/>
              <w:keepNext/>
              <w:keepLines/>
              <w:jc w:val="center"/>
            </w:pPr>
            <w:r>
              <w:rPr>
                <w:b/>
              </w:rPr>
              <w:t>관찰한 출력</w:t>
            </w:r>
          </w:p>
        </w:tc>
        <w:tc>
          <w:tcPr>
            <w:tcW w:type="dxa" w:w="3628"/>
            <w:vAlign w:val="center"/>
            <w:shd w:fill="E8EDF1"/>
          </w:tcPr>
          <w:p>
            <w:pPr>
              <w:pStyle w:val="TableText"/>
              <w:keepNext/>
              <w:keepLines/>
              <w:jc w:val="center"/>
            </w:pPr>
            <w:r>
              <w:rPr>
                <w:b/>
              </w:rPr>
              <w:t>근거와 대조한 결과</w:t>
            </w:r>
          </w:p>
        </w:tc>
      </w:tr>
      <w:tr>
        <w:trPr>
          <w:cantSplit/>
        </w:trPr>
        <w:tc>
          <w:tcPr>
            <w:tcW w:type="dxa" w:w="2041"/>
            <w:vAlign w:val="center"/>
          </w:tcPr>
          <w:p>
            <w:pPr>
              <w:pStyle w:val="TableText"/>
              <w:keepNext w:val="0"/>
              <w:keepLines/>
            </w:pPr>
            <w:r>
              <w:rPr>
                <w:b w:val="0"/>
              </w:rPr>
              <w:t>Fidelity L·UBS L·C</w:t>
              <w:br/>
              <w:t>정보기술 수익률</w:t>
            </w:r>
          </w:p>
        </w:tc>
        <w:tc>
          <w:tcPr>
            <w:tcW w:type="dxa" w:w="3402"/>
            <w:vAlign w:val="center"/>
          </w:tcPr>
          <w:p>
            <w:pPr>
              <w:pStyle w:val="TableText"/>
              <w:keepNext w:val="0"/>
              <w:keepLines/>
            </w:pPr>
            <w:r>
              <w:rPr>
                <w:b w:val="0"/>
              </w:rPr>
              <w:t>과거 누적수익률 149.92%로 서술</w:t>
            </w:r>
          </w:p>
        </w:tc>
        <w:tc>
          <w:tcPr>
            <w:tcW w:type="dxa" w:w="3628"/>
            <w:vAlign w:val="center"/>
          </w:tcPr>
          <w:p>
            <w:pPr>
              <w:pStyle w:val="TableText"/>
              <w:keepNext w:val="0"/>
              <w:keepLines/>
            </w:pPr>
            <w:r>
              <w:rPr>
                <w:b w:val="0"/>
              </w:rPr>
              <w:t>입력은 약 14.99%</w:t>
              <w:br/>
              <w:t>약 10배의 수치 오류</w:t>
            </w:r>
          </w:p>
        </w:tc>
      </w:tr>
      <w:tr>
        <w:trPr>
          <w:cantSplit/>
        </w:trPr>
        <w:tc>
          <w:tcPr>
            <w:tcW w:type="dxa" w:w="2041"/>
            <w:vAlign w:val="center"/>
          </w:tcPr>
          <w:p>
            <w:pPr>
              <w:pStyle w:val="TableText"/>
              <w:keepNext w:val="0"/>
              <w:keepLines/>
            </w:pPr>
            <w:r>
              <w:rPr>
                <w:b w:val="0"/>
              </w:rPr>
              <w:t>같은 세 조건</w:t>
              <w:br/>
              <w:t>정보기술 변동성</w:t>
            </w:r>
          </w:p>
        </w:tc>
        <w:tc>
          <w:tcPr>
            <w:tcW w:type="dxa" w:w="3402"/>
            <w:vAlign w:val="center"/>
          </w:tcPr>
          <w:p>
            <w:pPr>
              <w:pStyle w:val="TableText"/>
              <w:keepNext w:val="0"/>
              <w:keepLines/>
            </w:pPr>
            <w:r>
              <w:rPr>
                <w:b w:val="0"/>
              </w:rPr>
              <w:t>연율 변동성 21.2%로 서술</w:t>
            </w:r>
          </w:p>
        </w:tc>
        <w:tc>
          <w:tcPr>
            <w:tcW w:type="dxa" w:w="3628"/>
            <w:vAlign w:val="center"/>
          </w:tcPr>
          <w:p>
            <w:pPr>
              <w:pStyle w:val="TableText"/>
              <w:keepNext w:val="0"/>
              <w:keepLines/>
            </w:pPr>
            <w:r>
              <w:rPr>
                <w:b w:val="0"/>
              </w:rPr>
              <w:t>입력의 연율 진단은 약 33.69%</w:t>
              <w:br/>
              <w:t>지표와 수치가 불일치</w:t>
            </w:r>
          </w:p>
        </w:tc>
      </w:tr>
      <w:tr>
        <w:trPr>
          <w:cantSplit/>
        </w:trPr>
        <w:tc>
          <w:tcPr>
            <w:tcW w:type="dxa" w:w="2041"/>
            <w:vAlign w:val="center"/>
          </w:tcPr>
          <w:p>
            <w:pPr>
              <w:pStyle w:val="TableText"/>
              <w:keepNext w:val="0"/>
              <w:keepLines/>
            </w:pPr>
            <w:r>
              <w:rPr>
                <w:b w:val="0"/>
              </w:rPr>
              <w:t>UBS L</w:t>
              <w:br/>
              <w:t>정보기술 증감</w:t>
            </w:r>
          </w:p>
        </w:tc>
        <w:tc>
          <w:tcPr>
            <w:tcW w:type="dxa" w:w="3402"/>
            <w:vAlign w:val="center"/>
          </w:tcPr>
          <w:p>
            <w:pPr>
              <w:pStyle w:val="TableText"/>
              <w:keepNext w:val="0"/>
              <w:keepLines/>
            </w:pPr>
            <w:r>
              <w:rPr>
                <w:b w:val="0"/>
              </w:rPr>
              <w:t>원비중 38% → 35%인데 늘렸다고 설명</w:t>
            </w:r>
          </w:p>
        </w:tc>
        <w:tc>
          <w:tcPr>
            <w:tcW w:type="dxa" w:w="3628"/>
            <w:vAlign w:val="center"/>
          </w:tcPr>
          <w:p>
            <w:pPr>
              <w:pStyle w:val="TableText"/>
              <w:keepNext w:val="0"/>
              <w:keepLines/>
            </w:pPr>
            <w:r>
              <w:rPr>
                <w:b w:val="0"/>
              </w:rPr>
              <w:t>실제 감소 3%p</w:t>
              <w:br/>
              <w:t>설명 방향과 원비중이 모순</w:t>
            </w:r>
          </w:p>
        </w:tc>
      </w:tr>
      <w:tr>
        <w:trPr>
          <w:cantSplit/>
        </w:trPr>
        <w:tc>
          <w:tcPr>
            <w:tcW w:type="dxa" w:w="2041"/>
            <w:vAlign w:val="center"/>
          </w:tcPr>
          <w:p>
            <w:pPr>
              <w:pStyle w:val="TableText"/>
              <w:keepNext w:val="0"/>
              <w:keepLines/>
            </w:pPr>
            <w:r>
              <w:rPr>
                <w:b w:val="0"/>
              </w:rPr>
              <w:t>UBS L</w:t>
              <w:br/>
              <w:t>정보기술 비교 기준</w:t>
            </w:r>
          </w:p>
        </w:tc>
        <w:tc>
          <w:tcPr>
            <w:tcW w:type="dxa" w:w="3402"/>
            <w:vAlign w:val="center"/>
          </w:tcPr>
          <w:p>
            <w:pPr>
              <w:pStyle w:val="TableText"/>
              <w:keepNext w:val="0"/>
              <w:keepLines/>
            </w:pPr>
            <w:r>
              <w:rPr>
                <w:b w:val="0"/>
              </w:rPr>
              <w:t>원비중 35%를 기준보다 크게 높다고 설명</w:t>
            </w:r>
          </w:p>
        </w:tc>
        <w:tc>
          <w:tcPr>
            <w:tcW w:type="dxa" w:w="3628"/>
            <w:vAlign w:val="center"/>
          </w:tcPr>
          <w:p>
            <w:pPr>
              <w:pStyle w:val="TableText"/>
              <w:keepNext w:val="0"/>
              <w:keepLines/>
            </w:pPr>
            <w:r>
              <w:rPr>
                <w:b w:val="0"/>
              </w:rPr>
              <w:t>보고 기준 38% 및 정규화 기준 약 38.04%보다 낮음</w:t>
            </w:r>
          </w:p>
        </w:tc>
      </w:tr>
      <w:tr>
        <w:trPr>
          <w:cantSplit/>
        </w:trPr>
        <w:tc>
          <w:tcPr>
            <w:tcW w:type="dxa" w:w="2041"/>
            <w:vAlign w:val="center"/>
          </w:tcPr>
          <w:p>
            <w:pPr>
              <w:pStyle w:val="TableText"/>
              <w:keepNext w:val="0"/>
              <w:keepLines/>
            </w:pPr>
            <w:r>
              <w:rPr>
                <w:b w:val="0"/>
              </w:rPr>
              <w:t>UBS L</w:t>
              <w:br/>
              <w:t>Neutral의 이유</w:t>
            </w:r>
          </w:p>
        </w:tc>
        <w:tc>
          <w:tcPr>
            <w:tcW w:type="dxa" w:w="3402"/>
            <w:vAlign w:val="center"/>
          </w:tcPr>
          <w:p>
            <w:pPr>
              <w:pStyle w:val="TableText"/>
              <w:keepNext w:val="0"/>
              <w:keepLines/>
            </w:pPr>
            <w:r>
              <w:rPr>
                <w:b w:val="0"/>
              </w:rPr>
              <w:t>가격에 이미 반영되었거나 경기 순환 정점일 가능성 추정</w:t>
            </w:r>
          </w:p>
        </w:tc>
        <w:tc>
          <w:tcPr>
            <w:tcW w:type="dxa" w:w="3628"/>
            <w:vAlign w:val="center"/>
          </w:tcPr>
          <w:p>
            <w:pPr>
              <w:pStyle w:val="TableText"/>
              <w:keepNext w:val="0"/>
              <w:keepLines/>
            </w:pPr>
            <w:r>
              <w:rPr>
                <w:b w:val="0"/>
              </w:rPr>
              <w:t>제공된 기관 자료에서 확인되지 않음</w:t>
              <w:br/>
              <w:t>추정의 표현은 보존하여 판정</w:t>
            </w:r>
          </w:p>
        </w:tc>
      </w:tr>
    </w:tbl>
    <w:p>
      <w:pPr>
        <w:pStyle w:val="TableNote"/>
      </w:pPr>
      <w:r>
        <w:t>대표 사례만으로 전체 오류율을 계산하지 않는다. UBS L의 이유 추정은 단정문이 아니며 검토자 간 미해결·근거 없음 분류 차이를 보존하였다. 출처 E2, 상세 위치 E4.</w:t>
      </w:r>
    </w:p>
    <w:p>
      <w:pPr>
        <w:pStyle w:val="Caption"/>
        <w:keepNext/>
      </w:pPr>
      <w:r>
        <w:t>표 A4 Fidelity E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2.18</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2.18</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10.87</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10.87</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4.35</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4.35</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13.04</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13.04</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41.31</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41.31</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3.26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3.26</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1.09</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1.09</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92.00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92.00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A5 Fidelity L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2.27</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11.00</w:t>
            </w:r>
          </w:p>
        </w:tc>
        <w:tc>
          <w:tcPr>
            <w:tcW w:type="dxa" w:w="1644"/>
            <w:vAlign w:val="center"/>
          </w:tcPr>
          <w:p>
            <w:pPr>
              <w:pStyle w:val="TableText"/>
              <w:keepNext w:val="0"/>
              <w:keepLines/>
              <w:jc w:val="center"/>
            </w:pPr>
            <w:r>
              <w:rPr>
                <w:b w:val="0"/>
              </w:rPr>
              <w:t>12.50</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11.36</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3.41</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8.00</w:t>
            </w:r>
          </w:p>
        </w:tc>
        <w:tc>
          <w:tcPr>
            <w:tcW w:type="dxa" w:w="1644"/>
            <w:vAlign w:val="center"/>
          </w:tcPr>
          <w:p>
            <w:pPr>
              <w:pStyle w:val="TableText"/>
              <w:keepNext w:val="0"/>
              <w:keepLines/>
              <w:jc w:val="center"/>
            </w:pPr>
            <w:r>
              <w:rPr>
                <w:b w:val="0"/>
              </w:rPr>
              <w:t>9.09</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13.00</w:t>
            </w:r>
          </w:p>
        </w:tc>
        <w:tc>
          <w:tcPr>
            <w:tcW w:type="dxa" w:w="1644"/>
            <w:vAlign w:val="center"/>
          </w:tcPr>
          <w:p>
            <w:pPr>
              <w:pStyle w:val="TableText"/>
              <w:keepNext w:val="0"/>
              <w:keepLines/>
              <w:jc w:val="center"/>
            </w:pPr>
            <w:r>
              <w:rPr>
                <w:b w:val="0"/>
              </w:rPr>
              <w:t>14.77</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36.00</w:t>
            </w:r>
          </w:p>
        </w:tc>
        <w:tc>
          <w:tcPr>
            <w:tcW w:type="dxa" w:w="1644"/>
            <w:vAlign w:val="center"/>
          </w:tcPr>
          <w:p>
            <w:pPr>
              <w:pStyle w:val="TableText"/>
              <w:keepNext w:val="0"/>
              <w:keepLines/>
              <w:jc w:val="center"/>
            </w:pPr>
            <w:r>
              <w:rPr>
                <w:b w:val="0"/>
              </w:rPr>
              <w:t>40.91</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2.27</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88.00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A6 UBS E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3.16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3.16</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5.26</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5.26</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12.63</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12.63</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40.00</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40.00</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4.21</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4.21</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95.00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95.00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A7 UBS L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3.96</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1.98</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4.95</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11.88</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35.00</w:t>
            </w:r>
          </w:p>
        </w:tc>
        <w:tc>
          <w:tcPr>
            <w:tcW w:type="dxa" w:w="1644"/>
            <w:vAlign w:val="center"/>
          </w:tcPr>
          <w:p>
            <w:pPr>
              <w:pStyle w:val="TableText"/>
              <w:keepNext w:val="0"/>
              <w:keepLines/>
              <w:jc w:val="center"/>
            </w:pPr>
            <w:r>
              <w:rPr>
                <w:b w:val="0"/>
              </w:rPr>
              <w:t>34.66</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8.00</w:t>
            </w:r>
          </w:p>
        </w:tc>
        <w:tc>
          <w:tcPr>
            <w:tcW w:type="dxa" w:w="1644"/>
            <w:vAlign w:val="center"/>
          </w:tcPr>
          <w:p>
            <w:pPr>
              <w:pStyle w:val="TableText"/>
              <w:keepNext w:val="0"/>
              <w:keepLines/>
              <w:jc w:val="center"/>
            </w:pPr>
            <w:r>
              <w:rPr>
                <w:b w:val="0"/>
              </w:rPr>
              <w:t>7.92</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2.97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1.98</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101.00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A8 C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3.80</w:t>
            </w:r>
          </w:p>
        </w:tc>
        <w:tc>
          <w:tcPr>
            <w:tcW w:type="dxa" w:w="1644"/>
            <w:vAlign w:val="center"/>
          </w:tcPr>
          <w:p>
            <w:pPr>
              <w:pStyle w:val="TableText"/>
              <w:keepNext w:val="0"/>
              <w:keepLines/>
              <w:jc w:val="center"/>
            </w:pPr>
            <w:r>
              <w:rPr>
                <w:b w:val="0"/>
              </w:rPr>
              <w:t>3.75</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1.80</w:t>
            </w:r>
          </w:p>
        </w:tc>
        <w:tc>
          <w:tcPr>
            <w:tcW w:type="dxa" w:w="1644"/>
            <w:vAlign w:val="center"/>
          </w:tcPr>
          <w:p>
            <w:pPr>
              <w:pStyle w:val="TableText"/>
              <w:keepNext w:val="0"/>
              <w:keepLines/>
              <w:jc w:val="center"/>
            </w:pPr>
            <w:r>
              <w:rPr>
                <w:b w:val="0"/>
              </w:rPr>
              <w:t>1.77</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4.93</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11.83</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37.48</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9.86</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1.80</w:t>
            </w:r>
          </w:p>
        </w:tc>
        <w:tc>
          <w:tcPr>
            <w:tcW w:type="dxa" w:w="1644"/>
            <w:vAlign w:val="center"/>
          </w:tcPr>
          <w:p>
            <w:pPr>
              <w:pStyle w:val="TableText"/>
              <w:keepNext w:val="0"/>
              <w:keepLines/>
              <w:jc w:val="center"/>
            </w:pPr>
            <w:r>
              <w:rPr>
                <w:b w:val="0"/>
              </w:rPr>
              <w:t>1.77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1.97</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101.40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Figure"/>
        <w:keepNext/>
        <w:keepLines/>
      </w:pPr>
      <w:r>
        <w:drawing>
          <wp:inline xmlns:a="http://schemas.openxmlformats.org/drawingml/2006/main" xmlns:pic="http://schemas.openxmlformats.org/drawingml/2006/picture">
            <wp:extent cx="5760000" cy="4139761"/>
            <wp:docPr id="5" name="Picture 5" descr="대조조건 대비 산업별 최종 파생 비중 차이 그림 A1. 대조조건 C 대비 산업별 최종 파생 비중 차이"/>
            <wp:cNvGraphicFramePr>
              <a:graphicFrameLocks noChangeAspect="1"/>
            </wp:cNvGraphicFramePr>
            <a:graphic>
              <a:graphicData uri="http://schemas.openxmlformats.org/drawingml/2006/picture">
                <pic:pic>
                  <pic:nvPicPr>
                    <pic:cNvPr id="0" name="figA01_control_difference.png"/>
                    <pic:cNvPicPr/>
                  </pic:nvPicPr>
                  <pic:blipFill>
                    <a:blip r:embed="rId74"/>
                    <a:stretch>
                      <a:fillRect/>
                    </a:stretch>
                  </pic:blipFill>
                  <pic:spPr>
                    <a:xfrm>
                      <a:off x="0" y="0"/>
                      <a:ext cx="5760000" cy="4139761"/>
                    </a:xfrm>
                    <a:prstGeom prst="rect"/>
                  </pic:spPr>
                </pic:pic>
              </a:graphicData>
            </a:graphic>
          </wp:inline>
        </w:drawing>
      </w:r>
    </w:p>
    <w:p>
      <w:pPr>
        <w:pStyle w:val="Caption"/>
        <w:keepNext/>
      </w:pPr>
      <w:r>
        <w:t>그림 A1 공통 대조군 대비 최종 파생 비중의 차이</w:t>
      </w:r>
    </w:p>
    <w:p>
      <w:pPr>
        <w:pStyle w:val="FigureNote"/>
      </w:pPr>
      <w:r>
        <w:t>각 셀은 기관 자료 조건의 F0 파생 비중에서 C의 F0 파생 비중을 뺀 값(%p)이다. 발산 척도는 −9~+9%p로 대칭이며, 부호와 숫자를 함께 표시했다. 자료 조건의 순수 인과효과로 해석하지 않는다. 출처: E1.</w:t>
      </w:r>
    </w:p>
    <w:p>
      <w:r>
        <w:t>그림 A1은 F0 파생 비중에서 같은 산업의 C 비중을 뺀 값이다. 양수는 C보다 높은 비중을, 음수는 낮은 비중을 뜻한다. C는 같은 시장 자료를 해석한 비교 조건이며 기관의 정답 배분은 아니다.</w:t>
      </w:r>
    </w:p>
    <w:sectPr w:rsidR="00FC693F" w:rsidRPr="0006063C" w:rsidSect="00034616">
      <w:footerReference w:type="default" r:id="rId75"/>
      <w:pgSz w:w="11906" w:h="16838"/>
      <w:pgMar w:top="1134" w:right="1417" w:bottom="1134" w:left="141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Malgun Gothic" w:hAnsi="Malgun Gothic" w:eastAsia="Malgun Gothic" w:cs="Malgun Gothi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algun Gothic" w:hAnsi="Malgun Gothic" w:eastAsia="Malgun Gothic" w:cs="Malgun Gothic"/>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Malgun Gothic" w:cs="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cs="Malgun Gothic"/>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40" w:after="100"/>
    </w:pPr>
    <w:rPr>
      <w:rFonts w:ascii="Malgun Gothic" w:hAnsi="Malgun Gothic" w:eastAsia="Malgun Gothic" w:cs="Malgun Gothic"/>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69" w:lineRule="auto" w:after="0"/>
      <w:ind w:firstLine="0"/>
    </w:pPr>
    <w:rPr>
      <w:rFonts w:ascii="Malgun Gothic" w:hAnsi="Malgun Gothic" w:eastAsia="Malgun Gothic" w:cs="Malgun Gothic"/>
      <w:b w:val="0"/>
      <w:color w:val="000000"/>
      <w:sz w:val="18"/>
    </w:rPr>
  </w:style>
  <w:style w:type="paragraph" w:customStyle="1" w:styleId="TableNote">
    <w:name w:val="Table Note"/>
    <w:basedOn w:val="Normal"/>
    <w:pPr>
      <w:spacing w:line="269" w:lineRule="auto" w:after="100" w:before="80"/>
      <w:ind w:firstLine="0"/>
    </w:pPr>
    <w:rPr>
      <w:rFonts w:ascii="Malgun Gothic" w:hAnsi="Malgun Gothic" w:eastAsia="Malgun Gothic" w:cs="Malgun Gothic"/>
      <w:b w:val="0"/>
      <w:color w:val="000000"/>
      <w:sz w:val="17"/>
    </w:rPr>
  </w:style>
  <w:style w:type="paragraph" w:customStyle="1" w:styleId="FigureNote">
    <w:name w:val="Figure Note"/>
    <w:basedOn w:val="Normal"/>
    <w:pPr>
      <w:spacing w:line="269" w:lineRule="auto" w:after="100" w:before="80"/>
      <w:ind w:firstLine="0"/>
    </w:pPr>
    <w:rPr>
      <w:rFonts w:ascii="Malgun Gothic" w:hAnsi="Malgun Gothic" w:eastAsia="Malgun Gothic" w:cs="Malgun Gothic"/>
      <w:b w:val="0"/>
      <w:color w:val="000000"/>
      <w:sz w:val="17"/>
    </w:rPr>
  </w:style>
  <w:style w:type="paragraph" w:customStyle="1" w:styleId="Reference">
    <w:name w:val="Reference"/>
    <w:basedOn w:val="Normal"/>
    <w:pPr>
      <w:spacing w:line="269" w:lineRule="auto" w:after="100"/>
      <w:ind w:left="283" w:hanging="283"/>
    </w:pPr>
    <w:rPr>
      <w:rFonts w:ascii="Malgun Gothic" w:hAnsi="Malgun Gothic" w:eastAsia="Malgun Gothic" w:cs="Malgun Gothic"/>
      <w:b w:val="0"/>
      <w:color w:val="000000"/>
      <w:sz w:val="18"/>
    </w:rPr>
  </w:style>
  <w:style w:type="paragraph" w:customStyle="1" w:styleId="Figure">
    <w:name w:val="Figure"/>
    <w:basedOn w:val="Normal"/>
    <w:pPr>
      <w:spacing w:before="100" w:after="0"/>
      <w:jc w:val="center"/>
    </w:pPr>
    <w:rPr>
      <w:rFonts w:ascii="Malgun Gothic" w:hAnsi="Malgun Gothic" w:eastAsia="Malgun Gothic" w:cs="Malgun Gothic"/>
      <w:b w:val="0"/>
      <w:color w:val="000000"/>
      <w:sz w:val="21"/>
    </w:rPr>
  </w:style>
  <w:style w:type="paragraph" w:customStyle="1" w:styleId="Equation">
    <w:name w:val="Equation"/>
    <w:basedOn w:val="Normal"/>
    <w:pPr>
      <w:spacing w:before="100" w:after="160"/>
    </w:pPr>
    <w:rPr>
      <w:rFonts w:ascii="Malgun Gothic" w:hAnsi="Malgun Gothic" w:eastAsia="Malgun Gothic" w:cs="Malgun Gothic"/>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i.org/10.1073/pnas.2018340118" TargetMode="External"/><Relationship Id="rId14" Type="http://schemas.openxmlformats.org/officeDocument/2006/relationships/hyperlink" Target="https://papers.neurips.cc/paper_files/paper/2022/hash/17a234c91f746d9625a75cf8a8731ee2-Abstract-Conference.html" TargetMode="External"/><Relationship Id="rId15" Type="http://schemas.openxmlformats.org/officeDocument/2006/relationships/hyperlink" Target="https://doi.org/10.1126/sciadv.adn5290" TargetMode="External"/><Relationship Id="rId16" Type="http://schemas.openxmlformats.org/officeDocument/2006/relationships/hyperlink" Target="https://www.ifo.de/DocDL/cesifo1_wp11862.pdf" TargetMode="External"/><Relationship Id="rId17" Type="http://schemas.openxmlformats.org/officeDocument/2006/relationships/hyperlink" Target="https://arxiv.org/abs/2503.09647v5" TargetMode="External"/><Relationship Id="rId18" Type="http://schemas.openxmlformats.org/officeDocument/2006/relationships/hyperlink" Target="https://arxiv.org/abs/2505.06120v1" TargetMode="External"/><Relationship Id="rId19" Type="http://schemas.openxmlformats.org/officeDocument/2006/relationships/hyperlink" Target="https://arxiv.org/abs/2605.27887v6" TargetMode="External"/><Relationship Id="rId20" Type="http://schemas.openxmlformats.org/officeDocument/2006/relationships/hyperlink" Target="https://arxiv.org/abs/2609.14302v1" TargetMode="External"/><Relationship Id="rId21" Type="http://schemas.openxmlformats.org/officeDocument/2006/relationships/hyperlink" Target="https://doi.org/10.1111/j.1540-6261.1952.tb01525.x" TargetMode="External"/><Relationship Id="rId22" Type="http://schemas.openxmlformats.org/officeDocument/2006/relationships/hyperlink" Target="https://arxiv.org/abs/2604.06996v3" TargetMode="External"/><Relationship Id="rId23" Type="http://schemas.openxmlformats.org/officeDocument/2006/relationships/hyperlink" Target="https://doi.org/10.18653/v1/2025.ijcnlp-long.18" TargetMode="External"/><Relationship Id="rId24" Type="http://schemas.openxmlformats.org/officeDocument/2006/relationships/hyperlink" Target="https://www.fsb.org/2024/11/the-financial-stability-implications-of-artificial-intelligence/" TargetMode="External"/><Relationship Id="rId25" Type="http://schemas.openxmlformats.org/officeDocument/2006/relationships/hyperlink" Target="https://aclanthology.org/2023.acl-long.910/" TargetMode="External"/><Relationship Id="rId26" Type="http://schemas.openxmlformats.org/officeDocument/2006/relationships/hyperlink" Target="https://doi.org/10.6028/NIST.AI.100-1" TargetMode="External"/><Relationship Id="rId27" Type="http://schemas.openxmlformats.org/officeDocument/2006/relationships/hyperlink" Target="https://doi.org/10.17016/FEDS.2025.090" TargetMode="External"/><Relationship Id="rId28" Type="http://schemas.openxmlformats.org/officeDocument/2006/relationships/hyperlink" Target="https://doi.org/10.2866/4103076" TargetMode="External"/><Relationship Id="rId29" Type="http://schemas.openxmlformats.org/officeDocument/2006/relationships/hyperlink" Target="https://www.ecb.europa.eu/press/research-publications/resbull/2026/html/ecb.rb260521~4d8b12940b.en.html" TargetMode="External"/><Relationship Id="rId30" Type="http://schemas.openxmlformats.org/officeDocument/2006/relationships/hyperlink" Target="https://proceedings.iclr.cc/paper_files/paper/2025/hash/b5ec50eb177908f21f78ed0d76ed525c-Abstract-Conference.html" TargetMode="External"/><Relationship Id="rId31" Type="http://schemas.openxmlformats.org/officeDocument/2006/relationships/hyperlink" Target="https://proceedings.mlr.press/v306/mayne26a.html" TargetMode="External"/><Relationship Id="rId32" Type="http://schemas.openxmlformats.org/officeDocument/2006/relationships/hyperlink" Target="https://aws.amazon.com/blogs/machine-learning/how-automated-reasoning-checks-in-amazon-bedrock-transform-generative-ai-compliance/" TargetMode="External"/><Relationship Id="rId33" Type="http://schemas.openxmlformats.org/officeDocument/2006/relationships/hyperlink" Target="https://aws.amazon.com/blogs/machine-learning/automated-reasoning-policy-refinement-in-amazon-bedrock/" TargetMode="External"/><Relationship Id="rId34" Type="http://schemas.openxmlformats.org/officeDocument/2006/relationships/hyperlink" Target="https://aws.amazon.com/solutions/case-studies/amazon-logistics-case-study/" TargetMode="External"/><Relationship Id="rId35" Type="http://schemas.openxmlformats.org/officeDocument/2006/relationships/hyperlink" Target="https://doi.org/10.18653/v1/2025.naacl-long.176" TargetMode="External"/><Relationship Id="rId36" Type="http://schemas.openxmlformats.org/officeDocument/2006/relationships/hyperlink" Target="https://arxiv.org/html/2607.07405v2" TargetMode="External"/><Relationship Id="rId37" Type="http://schemas.openxmlformats.org/officeDocument/2006/relationships/hyperlink" Target="https://www.fidelity.com/bin-public/600_Fidelity_Com_English/documents/learning-center/Quarterly-Sector-And-Investment-Research-Update-Second-Quarter-2026.pdf" TargetMode="External"/><Relationship Id="rId38" Type="http://schemas.openxmlformats.org/officeDocument/2006/relationships/hyperlink" Target="https://advisors.ubs.com/mediahandler/media/808505/UBS%20House%20View%20for%20June%202026.pdf" TargetMode="External"/><Relationship Id="rId39" Type="http://schemas.openxmlformats.org/officeDocument/2006/relationships/hyperlink" Target="https://clearingcustody.fidelity.com/app/proxy/content?literatureURL=/9906006.PDF" TargetMode="External"/><Relationship Id="rId40" Type="http://schemas.openxmlformats.org/officeDocument/2006/relationships/hyperlink" Target="https://advisors.ubs.com/mediahandler/media/816396/UBS%20House%20View%20for%20July%202026.pdf" TargetMode="External"/><Relationship Id="rId41" Type="http://schemas.openxmlformats.org/officeDocument/2006/relationships/hyperlink" Target="https://www.federalreserve.gov/newsevents/pressreleases/monetary20260617a.htm" TargetMode="External"/><Relationship Id="rId42" Type="http://schemas.openxmlformats.org/officeDocument/2006/relationships/hyperlink" Target="https://www.bls.gov/news.release/archives/cpi_07142026.htm" TargetMode="External"/><Relationship Id="rId43" Type="http://schemas.openxmlformats.org/officeDocument/2006/relationships/hyperlink" Target="https://www.bls.gov/news.release/archives/empsit_07022026.htm" TargetMode="External"/><Relationship Id="rId44" Type="http://schemas.openxmlformats.org/officeDocument/2006/relationships/hyperlink" Target="https://www.bea.gov/sites/default/files/2026-06/gdp1q26-3rd.pdf" TargetMode="External"/><Relationship Id="rId45" Type="http://schemas.openxmlformats.org/officeDocument/2006/relationships/hyperlink" Target="https://www.msci.com/indexes/index-resources/gics" TargetMode="External"/><Relationship Id="rId46" Type="http://schemas.openxmlformats.org/officeDocument/2006/relationships/hyperlink" Target="https://www.ssga.com/us/en/individual/etfs/state-street-energy-select-sector-spdr-etf-xle" TargetMode="External"/><Relationship Id="rId47" Type="http://schemas.openxmlformats.org/officeDocument/2006/relationships/hyperlink" Target="https://www.ssga.com/us/en/individual/etfs/state-street-materials-select-sector-spdr-etf-xlb" TargetMode="External"/><Relationship Id="rId48" Type="http://schemas.openxmlformats.org/officeDocument/2006/relationships/hyperlink" Target="https://www.ssga.com/us/en/individual/etfs/state-street-industrial-select-sector-spdr-etf-xli" TargetMode="External"/><Relationship Id="rId49" Type="http://schemas.openxmlformats.org/officeDocument/2006/relationships/hyperlink" Target="https://www.ssga.com/us/en/individual/etfs/state-street-consumer-discretionary-select-sector-spdr-etf-xly" TargetMode="External"/><Relationship Id="rId50" Type="http://schemas.openxmlformats.org/officeDocument/2006/relationships/hyperlink" Target="https://www.ssga.com/us/en/individual/etfs/state-street-consumer-staples-select-sector-spdr-etf-xlp" TargetMode="External"/><Relationship Id="rId51" Type="http://schemas.openxmlformats.org/officeDocument/2006/relationships/hyperlink" Target="https://www.ssga.com/us/en/individual/etfs/state-street-health-care-select-sector-spdr-etf-xlv" TargetMode="External"/><Relationship Id="rId52" Type="http://schemas.openxmlformats.org/officeDocument/2006/relationships/hyperlink" Target="https://www.ssga.com/us/en/individual/etfs/state-street-financial-select-sector-spdr-etf-xlf" TargetMode="External"/><Relationship Id="rId53" Type="http://schemas.openxmlformats.org/officeDocument/2006/relationships/hyperlink" Target="https://www.ssga.com/us/en/individual/etfs/state-street-technology-select-sector-spdr-etf-xlk" TargetMode="External"/><Relationship Id="rId54" Type="http://schemas.openxmlformats.org/officeDocument/2006/relationships/hyperlink" Target="https://www.ssga.com/us/en/individual/etfs/state-street-communication-services-select-sector-spdr-etf-xlc" TargetMode="External"/><Relationship Id="rId55" Type="http://schemas.openxmlformats.org/officeDocument/2006/relationships/hyperlink" Target="https://www.ssga.com/us/en/individual/etfs/state-street-utilities-select-sector-spdr-etf-xlu" TargetMode="External"/><Relationship Id="rId56" Type="http://schemas.openxmlformats.org/officeDocument/2006/relationships/hyperlink" Target="https://www.ssga.com/us/en/individual/etfs/state-street-real-estate-select-sector-spdr-etf-xlre" TargetMode="External"/><Relationship Id="rId57" Type="http://schemas.openxmlformats.org/officeDocument/2006/relationships/hyperlink" Target="https://query1.finance.yahoo.com/v8/finance/chart/XLE?period1=1772323200&amp;period2=1784246400&amp;interval=1d&amp;events=div%2Csplits&amp;includeAdjustedClose=true" TargetMode="External"/><Relationship Id="rId58" Type="http://schemas.openxmlformats.org/officeDocument/2006/relationships/hyperlink" Target="https://query1.finance.yahoo.com/v8/finance/chart/XLB?period1=1772323200&amp;period2=1784246400&amp;interval=1d&amp;events=div%2Csplits&amp;includeAdjustedClose=true" TargetMode="External"/><Relationship Id="rId59" Type="http://schemas.openxmlformats.org/officeDocument/2006/relationships/hyperlink" Target="https://query1.finance.yahoo.com/v8/finance/chart/XLI?period1=1772323200&amp;period2=1784246400&amp;interval=1d&amp;events=div%2Csplits&amp;includeAdjustedClose=true" TargetMode="External"/><Relationship Id="rId60" Type="http://schemas.openxmlformats.org/officeDocument/2006/relationships/hyperlink" Target="https://query1.finance.yahoo.com/v8/finance/chart/XLY?period1=1772323200&amp;period2=1784246400&amp;interval=1d&amp;events=div%2Csplits&amp;includeAdjustedClose=true" TargetMode="External"/><Relationship Id="rId61" Type="http://schemas.openxmlformats.org/officeDocument/2006/relationships/hyperlink" Target="https://query1.finance.yahoo.com/v8/finance/chart/XLP?period1=1772323200&amp;period2=1784246400&amp;interval=1d&amp;events=div%2Csplits&amp;includeAdjustedClose=true" TargetMode="External"/><Relationship Id="rId62" Type="http://schemas.openxmlformats.org/officeDocument/2006/relationships/hyperlink" Target="https://query1.finance.yahoo.com/v8/finance/chart/XLV?period1=1772323200&amp;period2=1784246400&amp;interval=1d&amp;events=div%2Csplits&amp;includeAdjustedClose=true" TargetMode="External"/><Relationship Id="rId63" Type="http://schemas.openxmlformats.org/officeDocument/2006/relationships/hyperlink" Target="https://query1.finance.yahoo.com/v8/finance/chart/XLF?period1=1772323200&amp;period2=1784246400&amp;interval=1d&amp;events=div%2Csplits&amp;includeAdjustedClose=true" TargetMode="External"/><Relationship Id="rId64" Type="http://schemas.openxmlformats.org/officeDocument/2006/relationships/hyperlink" Target="https://query1.finance.yahoo.com/v8/finance/chart/XLK?period1=1772323200&amp;period2=1784246400&amp;interval=1d&amp;events=div%2Csplits&amp;includeAdjustedClose=true" TargetMode="External"/><Relationship Id="rId65" Type="http://schemas.openxmlformats.org/officeDocument/2006/relationships/hyperlink" Target="https://query1.finance.yahoo.com/v8/finance/chart/XLC?period1=1772323200&amp;period2=1784246400&amp;interval=1d&amp;events=div%2Csplits&amp;includeAdjustedClose=true" TargetMode="External"/><Relationship Id="rId66" Type="http://schemas.openxmlformats.org/officeDocument/2006/relationships/hyperlink" Target="https://query1.finance.yahoo.com/v8/finance/chart/XLU?period1=1772323200&amp;period2=1784246400&amp;interval=1d&amp;events=div%2Csplits&amp;includeAdjustedClose=true" TargetMode="External"/><Relationship Id="rId67" Type="http://schemas.openxmlformats.org/officeDocument/2006/relationships/hyperlink" Target="https://query1.finance.yahoo.com/v8/finance/chart/XLRE?period1=1772323200&amp;period2=1784246400&amp;interval=1d&amp;events=div%2Csplits&amp;includeAdjustedClose=true" TargetMode="External"/><Relationship Id="rId68" Type="http://schemas.openxmlformats.org/officeDocument/2006/relationships/hyperlink" Target="file:///C:/Users/Insun/2026libera/research/last_final_20261026/derived_allocation/completed_five_condition_dataset.json" TargetMode="External"/><Relationship Id="rId69" Type="http://schemas.openxmlformats.org/officeDocument/2006/relationships/hyperlink" Target="file:///C:/Users/Insun/2026libera/research/last_final_20261026/five_condition_audit_index.json" TargetMode="External"/><Relationship Id="rId70" Type="http://schemas.openxmlformats.org/officeDocument/2006/relationships/hyperlink" Target="file:///C:/Users/Insun/2026libera/research/delivery_20261026/completion_index.json" TargetMode="External"/><Relationship Id="rId71" Type="http://schemas.openxmlformats.org/officeDocument/2006/relationships/hyperlink" Target="file:///C:/Users/Insun/2026libera/research/last_final_20261026/results_explained_ko.html" TargetMode="External"/><Relationship Id="rId72" Type="http://schemas.openxmlformats.org/officeDocument/2006/relationships/hyperlink" Target="file:///C:/Users/Insun/2026libera/research/last_final_20261026/protocol_and_review.json" TargetMode="External"/><Relationship Id="rId73" Type="http://schemas.openxmlformats.org/officeDocument/2006/relationships/hyperlink" Target="file:///C:/Users/Insun/2026libera/research/solution_revision_20261026" TargetMode="External"/><Relationship Id="rId74" Type="http://schemas.openxmlformats.org/officeDocument/2006/relationships/image" Target="media/image5.png"/><Relationship Id="rId7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생성형 AI와 기관별 투자판단의 차이</dc:title>
  <dc:subject>공개 산업전망의 반영과 근거 검증 절차에 관한 탐색적 사례연구</dc:subject>
  <dc:creator/>
  <cp:keywords>LIBERA, 생성형 AI, 산업배분, 근거 충실성</cp:keywords>
  <dc:description/>
  <cp:lastModifiedBy/>
  <cp:revision>1</cp:revision>
  <dcterms:created xsi:type="dcterms:W3CDTF">2013-12-23T23:15:00Z</dcterms:created>
  <dcterms:modified xsi:type="dcterms:W3CDTF">2013-12-23T23:15:00Z</dcterms:modified>
  <cp:category/>
</cp:coreProperties>
</file>