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Ans.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drawing>
          <wp:inline distT="0" distB="0" distL="114300" distR="114300">
            <wp:extent cx="5420995" cy="3892550"/>
            <wp:effectExtent l="0" t="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Morgan Stanley</w:t>
      </w:r>
      <w:r>
        <w:rPr>
          <w:rFonts w:hint="default" w:eastAsia="Times New Roman" w:cs="Times New Roman"/>
          <w:color w:val="000000"/>
          <w:lang w:val="en-US"/>
        </w:rPr>
        <w:t xml:space="preserve"> is an outlier with Measure X of </w:t>
      </w:r>
      <w:r>
        <w:rPr>
          <w:rFonts w:eastAsia="Times New Roman" w:cs="Times New Roman"/>
          <w:color w:val="000000"/>
        </w:rPr>
        <w:t>91.36%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 w:eastAsia="Times New Roman" w:cs="Times New Roman"/>
          <w:color w:val="000000"/>
          <w:lang w:val="en-US"/>
        </w:rPr>
        <w:t xml:space="preserve">Mean </w:t>
      </w:r>
      <m:oMath>
        <m:r>
          <m:rPr/>
          <w:rPr>
            <w:rFonts w:hint="default" w:ascii="Cambria Math" w:eastAsia="Times New Roman" w:cs="Times New Roman"/>
            <w:color w:val="000000"/>
            <w:lang w:val="en-US"/>
          </w:rPr>
          <m:t>(</m:t>
        </m:r>
        <m:r>
          <m:rPr/>
          <w:rPr>
            <w:rFonts w:ascii="Cambria Math" w:hAnsi="Cambria Math"/>
          </w:rPr>
          <m:t>μ</m:t>
        </m:r>
      </m:oMath>
      <w:r>
        <m:rPr/>
        <w:rPr>
          <w:rFonts w:hint="default" w:hAnsi="Cambria Math"/>
          <w:i w:val="0"/>
          <w:lang w:val="en-US"/>
        </w:rPr>
        <w:t>)</w:t>
      </w:r>
      <w:r>
        <m:rPr/>
        <w:rPr>
          <w:rFonts w:hint="default" w:hAnsi="Cambria Math"/>
          <w:i w:val="0"/>
          <w:lang w:val="en-US"/>
        </w:rPr>
        <w:tab/>
        <w:t/>
      </w:r>
      <w:r>
        <m:rPr/>
        <w:rPr>
          <w:rFonts w:hint="default" w:hAnsi="Cambria Math"/>
          <w:i w:val="0"/>
          <w:lang w:val="en-US"/>
        </w:rPr>
        <w:tab/>
        <w:t>= 33.2713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eastAsia="Times New Roman" w:cs="Times New Roman"/>
          <w:color w:val="000000"/>
          <w:lang w:val="en-US"/>
        </w:rPr>
      </w:pPr>
      <w:r>
        <m:rPr/>
        <w:rPr>
          <w:rFonts w:hint="default" w:hAnsi="Cambria Math"/>
          <w:i w:val="0"/>
          <w:lang w:val="en-US"/>
        </w:rPr>
        <w:t>Standard deviation</w:t>
      </w:r>
      <m:oMath>
        <m:r>
          <m:rPr/>
          <w:rPr>
            <w:rFonts w:ascii="Cambria Math" w:hAnsi="Cambria Math"/>
          </w:rPr>
          <m:t xml:space="preserve"> </m:t>
        </m:r>
        <m:r>
          <m:rPr/>
          <w:rPr>
            <w:rFonts w:hint="default" w:ascii="Cambria Math" w:hAnsi="Cambria Math"/>
            <w:lang w:val="en-US"/>
          </w:rPr>
          <m:t>(</m:t>
        </m:r>
        <m:r>
          <m:rPr/>
          <w:rPr>
            <w:rFonts w:ascii="Cambria Math" w:hAnsi="Cambria Math"/>
          </w:rPr>
          <m:t>σ</m:t>
        </m:r>
        <m:r>
          <m:rPr/>
          <w:rPr>
            <w:rFonts w:hint="default" w:ascii="Cambria Math" w:hAnsi="Cambria Math"/>
            <w:lang w:val="en-US"/>
          </w:rPr>
          <m:t>)</m:t>
        </m:r>
      </m:oMath>
      <w:r>
        <m:rPr/>
        <w:rPr>
          <w:rFonts w:hint="default" w:hAnsi="Cambria Math"/>
          <w:i w:val="0"/>
          <w:lang w:val="en-US"/>
        </w:rPr>
        <w:tab/>
        <w:t>= 16.3708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m:rPr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Variance(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hint="default" w:ascii="Cambria Math" w:hAnsi="Cambria Math"/>
            <w:lang w:val="en-US"/>
          </w:rPr>
          <m:t>)</m:t>
        </m:r>
      </m:oMath>
      <w:r>
        <m:rPr/>
        <w:rPr>
          <w:rFonts w:hint="default" w:hAnsi="Cambria Math"/>
          <w:i w:val="0"/>
          <w:lang w:val="en-US"/>
        </w:rPr>
        <w:tab/>
        <w:t/>
      </w:r>
      <w:r>
        <m:rPr/>
        <w:rPr>
          <w:rFonts w:hint="default" w:hAnsi="Cambria Math"/>
          <w:i w:val="0"/>
          <w:lang w:val="en-US"/>
        </w:rPr>
        <w:tab/>
        <w:t>= 268.0035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m:rPr/>
        <w:rPr>
          <w:rFonts w:hint="default" w:hAnsi="Cambria Math"/>
          <w:i w:val="0"/>
          <w:lang w:val="en-US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Ans.</w:t>
      </w:r>
      <w:r>
        <w:rPr>
          <w:rFonts w:hint="default"/>
          <w:lang w:val="en-US"/>
        </w:rPr>
        <w:tab/>
        <w:t>(i)</w:t>
      </w:r>
      <w:r>
        <w:rPr>
          <w:rFonts w:hint="default"/>
          <w:lang w:val="en-US"/>
        </w:rPr>
        <w:tab/>
        <w:t>I</w:t>
      </w:r>
      <w:r>
        <w:t>nter-quartile range</w:t>
      </w:r>
      <w:r>
        <w:rPr>
          <w:rFonts w:hint="default"/>
          <w:lang w:val="en-US"/>
        </w:rPr>
        <w:t xml:space="preserve"> [IQR]= 7, this range implies that mid 50% of the data lies under this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range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ab/>
        <w:t>(ii)</w:t>
      </w:r>
      <w:r>
        <w:rPr>
          <w:rFonts w:hint="default"/>
          <w:lang w:val="en-US"/>
        </w:rPr>
        <w:tab/>
        <w:t>The dataset is positively skewed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ab/>
        <w:t>(iii)</w:t>
      </w:r>
      <w:r>
        <w:rPr>
          <w:rFonts w:hint="default"/>
          <w:lang w:val="en-US"/>
        </w:rPr>
        <w:tab/>
        <w:t xml:space="preserve">There would not be an outlier and the chances of the data to be symmetrically skewed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would increase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96940" cy="3715385"/>
            <wp:effectExtent l="0" t="0" r="3810" b="18415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>Ans.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(i)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</w:t>
      </w:r>
      <w:r>
        <w:t>ode of this dataset</w:t>
      </w:r>
      <w:r>
        <w:rPr>
          <w:rFonts w:hint="default"/>
          <w:lang w:val="en-US"/>
        </w:rPr>
        <w:t xml:space="preserve"> would</w:t>
      </w:r>
      <w:r>
        <w:t xml:space="preserve"> lie</w:t>
      </w:r>
      <w:r>
        <w:rPr>
          <w:rFonts w:hint="default"/>
          <w:lang w:val="en-US"/>
        </w:rPr>
        <w:t xml:space="preserve"> where value of Y= 6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(ii)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dataset is positively skewed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330" w:hanging="330" w:hangingChars="1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(iii)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Using both the Box-plot as well as the histogram it would be easier to verify the outlier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skeweness, mode and the overall distribution of the data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cs="BaskervilleBE-Regular"/>
          <w:lang w:val="en-US"/>
        </w:rPr>
      </w:pPr>
      <w:r>
        <w:rPr>
          <w:rFonts w:hint="default" w:cs="BaskervilleBE-Regular"/>
          <w:lang w:val="en-US"/>
        </w:rPr>
        <w:t xml:space="preserve">Ans. </w:t>
      </w:r>
      <w:r>
        <w:rPr>
          <w:rFonts w:hint="default" w:cs="BaskervilleBE-Regular"/>
          <w:lang w:val="en-US"/>
        </w:rPr>
        <w:tab/>
        <w:t>P</w:t>
      </w:r>
      <w:r>
        <w:rPr>
          <w:rFonts w:cs="BaskervilleBE-Regular"/>
        </w:rPr>
        <w:t>robability that at least one in five attempted telephone calls reaches the wrong number</w:t>
      </w:r>
      <w:r>
        <w:rPr>
          <w:rFonts w:hint="default" w:cs="BaskervilleBE-Regular"/>
          <w:lang w:val="en-US"/>
        </w:rPr>
        <w:t xml:space="preserve"> is </w:t>
      </w:r>
      <w:r>
        <w:rPr>
          <w:rFonts w:hint="default" w:cs="BaskervilleBE-Regular"/>
          <w:lang w:val="en-US"/>
        </w:rPr>
        <w:tab/>
        <w:t>2.47%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Ans.</w:t>
      </w:r>
      <w:r>
        <w:rPr>
          <w:rFonts w:hint="default"/>
          <w:lang w:val="en-US"/>
        </w:rPr>
        <w:tab/>
        <w:t>(i)</w:t>
      </w:r>
      <w:r>
        <w:rPr>
          <w:rFonts w:hint="default"/>
          <w:lang w:val="en-US"/>
        </w:rPr>
        <w:tab/>
        <w:t>The most likely monetary outcome of the business venture is $2,000.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(ii)</w:t>
      </w:r>
      <w:r>
        <w:rPr>
          <w:rFonts w:hint="default"/>
          <w:lang w:val="en-US"/>
        </w:rPr>
        <w:tab/>
        <w:t xml:space="preserve">When we compare the negative return to the positive return, the positive return is more,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hence the chances of success are more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(iii)</w:t>
      </w:r>
      <w:r>
        <w:rPr>
          <w:rFonts w:hint="default"/>
          <w:lang w:val="en-US"/>
        </w:rPr>
        <w:tab/>
        <w:t>Long term average is $800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[(-2,000*0.1)+(-1,000*0.1)+(0*0.2)+(1000*0.2)+(2000*0.3)+(3000*0.1)]= $800</w:t>
      </w:r>
    </w:p>
    <w:p>
      <w:pPr>
        <w:numPr>
          <w:ilvl w:val="0"/>
          <w:numId w:val="4"/>
        </w:numPr>
        <w:ind w:left="1440" w:leftChars="0" w:hanging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good measure of risk involved is standard deviation , here the standard deviation is $1469.693</w:t>
      </w:r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S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310065"/>
    <w:rsid w:val="00614CA4"/>
    <w:rsid w:val="008B5FFA"/>
    <w:rsid w:val="00AF65C6"/>
    <w:rsid w:val="00FA0D64"/>
    <w:rsid w:val="4A37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26</TotalTime>
  <ScaleCrop>false</ScaleCrop>
  <LinksUpToDate>false</LinksUpToDate>
  <CharactersWithSpaces>2389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Sooraj Sheregar</cp:lastModifiedBy>
  <dcterms:modified xsi:type="dcterms:W3CDTF">2023-07-14T11:33:33Z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BEA88A3C4D6D4CD4885AE993C081A652</vt:lpwstr>
  </property>
</Properties>
</file>