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Ans.  </w:t>
      </w:r>
      <w:r>
        <w:rPr>
          <w:rFonts w:hint="default"/>
          <w:szCs w:val="21"/>
          <w:lang w:val="en-US"/>
        </w:rPr>
        <w:tab/>
        <w:t>B.   0.2676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Ans.</w:t>
      </w:r>
      <w:r>
        <w:rPr>
          <w:rFonts w:hint="default"/>
          <w:szCs w:val="21"/>
          <w:lang w:val="en-US"/>
        </w:rPr>
        <w:tab/>
        <w:t xml:space="preserve">A.   False, as given distribution is normal with mean = 38 and standard deviation =6 we </w:t>
      </w:r>
      <w:r>
        <w:rPr>
          <w:rFonts w:hint="default"/>
          <w:szCs w:val="21"/>
          <w:lang w:val="en-US"/>
        </w:rPr>
        <w:tab/>
        <w:t xml:space="preserve">can consider it as symmetric distribution with 38 as the center of distribution so </w:t>
      </w:r>
      <w:r>
        <w:rPr>
          <w:rFonts w:hint="default"/>
          <w:szCs w:val="21"/>
          <w:lang w:val="en-US"/>
        </w:rPr>
        <w:tab/>
        <w:t xml:space="preserve">employees with the age 38 and greater would be 50% and as we know the Standard </w:t>
      </w:r>
      <w:r>
        <w:rPr>
          <w:rFonts w:hint="default"/>
          <w:szCs w:val="21"/>
          <w:lang w:val="en-US"/>
        </w:rPr>
        <w:tab/>
        <w:t xml:space="preserve">deviation is 6, employees with the age 38 to 44 would be 34.1% , hence employee with </w:t>
      </w:r>
      <w:r>
        <w:rPr>
          <w:rFonts w:hint="default"/>
          <w:szCs w:val="21"/>
          <w:lang w:val="en-US"/>
        </w:rPr>
        <w:tab/>
        <w:t>the age 44 and greater is (50-34.1) 15.9% which is less than the age group 38 to 44.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B.   True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Ans. </w:t>
      </w:r>
      <w:r>
        <w:rPr>
          <w:rFonts w:hint="default"/>
          <w:szCs w:val="21"/>
          <w:lang w:val="en-US"/>
        </w:rPr>
        <w:tab/>
        <w:t xml:space="preserve">i) </w:t>
      </w:r>
      <w:r>
        <w:rPr>
          <w:szCs w:val="21"/>
        </w:rPr>
        <w:t xml:space="preserve">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bscript"/>
          <w:lang w:val="en-US"/>
        </w:rPr>
      </w:pPr>
      <w:r>
        <w:rPr>
          <w:rFonts w:hint="default"/>
          <w:szCs w:val="21"/>
          <w:lang w:val="en-US"/>
        </w:rPr>
        <w:tab/>
        <w:t>Distribution:</w:t>
      </w:r>
      <w:r>
        <w:rPr>
          <w:rFonts w:hint="default"/>
          <w:szCs w:val="21"/>
          <w:lang w:val="en-US"/>
        </w:rPr>
        <w:tab/>
        <w:t xml:space="preserve">If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hint="default"/>
          <w:szCs w:val="21"/>
          <w:vertAlign w:val="subscript"/>
          <w:lang w:val="en-US"/>
        </w:rPr>
        <w:t xml:space="preserve">  </w:t>
      </w:r>
      <w:r>
        <w:rPr>
          <w:rFonts w:hint="default"/>
          <w:szCs w:val="21"/>
          <w:lang w:val="en-US"/>
        </w:rPr>
        <w:t xml:space="preserve">follows normal distribution 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rFonts w:hint="default"/>
          <w:szCs w:val="21"/>
          <w:vertAlign w:val="subscript"/>
          <w:lang w:val="en-US"/>
        </w:rPr>
        <w:t xml:space="preserve">  </w:t>
      </w:r>
      <w:r>
        <w:rPr>
          <w:rFonts w:hint="default"/>
          <w:szCs w:val="21"/>
          <w:lang w:val="en-US"/>
        </w:rPr>
        <w:t>will also follow normal distribution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bscript"/>
          <w:lang w:val="en-US"/>
        </w:rPr>
      </w:pP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lang w:val="en-US"/>
        </w:rPr>
        <w:t>Parameters:</w:t>
      </w:r>
      <w:r>
        <w:rPr>
          <w:rFonts w:hint="default"/>
          <w:szCs w:val="21"/>
          <w:lang w:val="en-US"/>
        </w:rPr>
        <w:tab/>
        <w:t>Mean: 2</w:t>
      </w:r>
      <w:r>
        <w:rPr>
          <w:szCs w:val="21"/>
        </w:rPr>
        <w:t>μ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  <w:vertAlign w:val="superscript"/>
        </w:rPr>
      </w:pPr>
      <w:r>
        <w:rPr>
          <w:rFonts w:hint="default"/>
          <w:szCs w:val="21"/>
          <w:vertAlign w:val="subscript"/>
          <w:lang w:val="en-US"/>
        </w:rPr>
        <w:tab/>
        <w:t/>
      </w:r>
      <w:r>
        <w:rPr>
          <w:rFonts w:hint="default"/>
          <w:szCs w:val="21"/>
          <w:vertAlign w:val="subscript"/>
          <w:lang w:val="en-US"/>
        </w:rPr>
        <w:tab/>
        <w:t/>
      </w: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lang w:val="en-US"/>
        </w:rPr>
        <w:t>Variance= 4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vertAlign w:val="superscript"/>
          <w:lang w:val="en-US"/>
        </w:rPr>
        <w:tab/>
      </w:r>
      <w:r>
        <w:rPr>
          <w:rFonts w:hint="default"/>
          <w:szCs w:val="21"/>
          <w:lang w:val="en-US"/>
        </w:rPr>
        <w:t xml:space="preserve">ii) </w:t>
      </w:r>
      <w:r>
        <w:rPr>
          <w:szCs w:val="21"/>
        </w:rPr>
        <w:t xml:space="preserve">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bscript"/>
          <w:lang w:val="en-US"/>
        </w:rPr>
      </w:pP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>Distribution:</w:t>
      </w:r>
      <w:r>
        <w:rPr>
          <w:rFonts w:hint="default"/>
          <w:szCs w:val="21"/>
          <w:lang w:val="en-US"/>
        </w:rPr>
        <w:tab/>
        <w:t xml:space="preserve">If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default"/>
          <w:szCs w:val="21"/>
          <w:vertAlign w:val="subscript"/>
          <w:lang w:val="en-US"/>
        </w:rPr>
        <w:t xml:space="preserve">  </w:t>
      </w:r>
      <w:r>
        <w:rPr>
          <w:rFonts w:hint="default"/>
          <w:szCs w:val="21"/>
          <w:lang w:val="en-US"/>
        </w:rPr>
        <w:t xml:space="preserve">follows normal distribution  </w:t>
      </w: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rFonts w:hint="default"/>
          <w:szCs w:val="21"/>
          <w:vertAlign w:val="subscript"/>
          <w:lang w:val="en-US"/>
        </w:rPr>
        <w:t xml:space="preserve">  </w:t>
      </w:r>
      <w:r>
        <w:rPr>
          <w:rFonts w:hint="default"/>
          <w:szCs w:val="21"/>
          <w:lang w:val="en-US"/>
        </w:rPr>
        <w:t xml:space="preserve">will also follow normal </w:t>
      </w:r>
      <w:r>
        <w:rPr>
          <w:rFonts w:hint="default"/>
          <w:szCs w:val="21"/>
          <w:lang w:val="en-US"/>
        </w:rPr>
        <w:tab/>
        <w:t/>
      </w:r>
      <w:r>
        <w:rPr>
          <w:rFonts w:hint="default"/>
          <w:szCs w:val="21"/>
          <w:lang w:val="en-US"/>
        </w:rPr>
        <w:tab/>
        <w:t/>
      </w:r>
      <w:r>
        <w:rPr>
          <w:rFonts w:hint="default"/>
          <w:szCs w:val="21"/>
          <w:lang w:val="en-US"/>
        </w:rPr>
        <w:tab/>
        <w:t/>
      </w:r>
      <w:r>
        <w:rPr>
          <w:rFonts w:hint="default"/>
          <w:szCs w:val="21"/>
          <w:lang w:val="en-US"/>
        </w:rPr>
        <w:tab/>
        <w:t>distribution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bscript"/>
          <w:lang w:val="en-US"/>
        </w:rPr>
      </w:pP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lang w:val="en-US"/>
        </w:rPr>
        <w:t>Parameters:</w:t>
      </w:r>
      <w:r>
        <w:rPr>
          <w:rFonts w:hint="default"/>
          <w:szCs w:val="21"/>
          <w:lang w:val="en-US"/>
        </w:rPr>
        <w:tab/>
      </w:r>
      <w:r>
        <w:rPr>
          <w:rFonts w:hint="default"/>
          <w:szCs w:val="21"/>
          <w:lang w:val="en-US"/>
        </w:rPr>
        <w:t>Mean: 2</w:t>
      </w:r>
      <w:r>
        <w:rPr>
          <w:szCs w:val="21"/>
        </w:rPr>
        <w:t>μ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  <w:vertAlign w:val="superscript"/>
        </w:rPr>
      </w:pP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vertAlign w:val="subscript"/>
          <w:lang w:val="en-US"/>
        </w:rPr>
        <w:tab/>
      </w:r>
      <w:r>
        <w:rPr>
          <w:rFonts w:hint="default"/>
          <w:szCs w:val="21"/>
          <w:lang w:val="en-US"/>
        </w:rPr>
        <w:t>Variance= 2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vertAlign w:val="superscript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color w:val="000000"/>
          <w:szCs w:val="21"/>
        </w:rPr>
      </w:pPr>
    </w:p>
    <w:p>
      <w:pPr>
        <w:numPr>
          <w:numId w:val="0"/>
        </w:num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Ans. </w:t>
      </w:r>
      <w:r>
        <w:rPr>
          <w:rFonts w:hint="default"/>
          <w:color w:val="000000"/>
          <w:szCs w:val="21"/>
          <w:lang w:val="en-US"/>
        </w:rPr>
        <w:tab/>
        <w:t xml:space="preserve">D.   </w:t>
      </w:r>
      <w:r>
        <w:rPr>
          <w:color w:val="000000"/>
          <w:szCs w:val="21"/>
        </w:rPr>
        <w:t>48.5, 151.5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szCs w:val="21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Ans.</w:t>
      </w:r>
      <w:r>
        <w:rPr>
          <w:rFonts w:hint="default"/>
          <w:szCs w:val="21"/>
          <w:lang w:val="en-US"/>
        </w:rPr>
        <w:tab/>
        <w:t>A.    Rupee range with 95% probability: 99.008 to 980.992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B.    5th percentile of profit in Rupees: 169.9079339359186</w:t>
      </w:r>
    </w:p>
    <w:p>
      <w:pPr>
        <w:numPr>
          <w:ilvl w:val="0"/>
          <w:numId w:val="3"/>
        </w:numPr>
        <w:spacing w:after="120"/>
        <w:ind w:left="1080" w:leftChars="0" w:hanging="360" w:firstLine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Division with a larger probability of making a loss: Division 2</w:t>
      </w:r>
      <w:bookmarkStart w:id="0" w:name="_GoBack"/>
      <w:bookmarkEnd w:id="0"/>
      <w:r>
        <w:rPr>
          <w:rFonts w:hint="default"/>
          <w:szCs w:val="21"/>
          <w:lang w:val="en-US"/>
        </w:rPr>
        <w:t xml:space="preserve">  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7E46587"/>
    <w:rsid w:val="7FE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482</TotalTime>
  <ScaleCrop>false</ScaleCrop>
  <LinksUpToDate>false</LinksUpToDate>
  <CharactersWithSpaces>1935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Sooraj Sheregar</cp:lastModifiedBy>
  <dcterms:modified xsi:type="dcterms:W3CDTF">2023-08-17T09:32:21Z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0032FB6312594A1E8D7AB8AFB1F755AD</vt:lpwstr>
  </property>
</Properties>
</file>