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040"/>
        <w:gridCol w:w="5040"/>
      </w:tblGrid>
      <w:tr>
        <w:tc>
          <w:tcPr>
            <w:tcW w:type="dxa" w:w="6480"/>
            <w:vAlign w:val="center"/>
          </w:tcPr>
          <w:p>
            <w:pPr>
              <w:jc w:val="left"/>
            </w:pPr>
            <w:r>
              <w:drawing>
                <wp:inline xmlns:a="http://schemas.openxmlformats.org/drawingml/2006/main" xmlns:pic="http://schemas.openxmlformats.org/drawingml/2006/picture">
                  <wp:extent cx="1691640" cy="414395"/>
                  <wp:docPr id="1" name="Picture 1"/>
                  <wp:cNvGraphicFramePr>
                    <a:graphicFrameLocks noChangeAspect="1"/>
                  </wp:cNvGraphicFramePr>
                  <a:graphic>
                    <a:graphicData uri="http://schemas.openxmlformats.org/drawingml/2006/picture">
                      <pic:pic>
                        <pic:nvPicPr>
                          <pic:cNvPr id="0" name="goose_logo_new.png"/>
                          <pic:cNvPicPr/>
                        </pic:nvPicPr>
                        <pic:blipFill>
                          <a:blip r:embed="rId9"/>
                          <a:stretch>
                            <a:fillRect/>
                          </a:stretch>
                        </pic:blipFill>
                        <pic:spPr>
                          <a:xfrm>
                            <a:off x="0" y="0"/>
                            <a:ext cx="1691640" cy="414395"/>
                          </a:xfrm>
                          <a:prstGeom prst="rect"/>
                        </pic:spPr>
                      </pic:pic>
                    </a:graphicData>
                  </a:graphic>
                </wp:inline>
              </w:drawing>
            </w:r>
          </w:p>
        </w:tc>
        <w:tc>
          <w:tcPr>
            <w:tcW w:type="dxa" w:w="3600"/>
            <w:vAlign w:val="center"/>
          </w:tcPr>
          <w:p>
            <w:pPr>
              <w:jc w:val="right"/>
            </w:pPr>
            <w:r>
              <w:drawing>
                <wp:inline xmlns:a="http://schemas.openxmlformats.org/drawingml/2006/main" xmlns:pic="http://schemas.openxmlformats.org/drawingml/2006/picture">
                  <wp:extent cx="868680" cy="843379"/>
                  <wp:docPr id="2" name="Picture 2"/>
                  <wp:cNvGraphicFramePr>
                    <a:graphicFrameLocks noChangeAspect="1"/>
                  </wp:cNvGraphicFramePr>
                  <a:graphic>
                    <a:graphicData uri="http://schemas.openxmlformats.org/drawingml/2006/picture">
                      <pic:pic>
                        <pic:nvPicPr>
                          <pic:cNvPr id="0" name="milma_logo.png"/>
                          <pic:cNvPicPr/>
                        </pic:nvPicPr>
                        <pic:blipFill>
                          <a:blip r:embed="rId10"/>
                          <a:stretch>
                            <a:fillRect/>
                          </a:stretch>
                        </pic:blipFill>
                        <pic:spPr>
                          <a:xfrm>
                            <a:off x="0" y="0"/>
                            <a:ext cx="868680" cy="843379"/>
                          </a:xfrm>
                          <a:prstGeom prst="rect"/>
                        </pic:spPr>
                      </pic:pic>
                    </a:graphicData>
                  </a:graphic>
                </wp:inline>
              </w:drawing>
            </w:r>
          </w:p>
        </w:tc>
      </w:tr>
    </w:tbl>
    <w:p>
      <w:pPr>
        <w:spacing w:before="80" w:after="320"/>
        <w:pBdr>
          <w:bottom w:val="single" w:sz="14" w:space="1" w:color="0066B3"/>
        </w:pBdr>
      </w:pPr>
    </w:p>
    <w:tbl>
      <w:tblPr>
        <w:tblW w:type="auto" w:w="0"/>
        <w:jc w:val="center"/>
        <w:tblLayout w:type="fixed"/>
        <w:tblLook w:firstColumn="1" w:firstRow="1" w:lastColumn="0" w:lastRow="0" w:noHBand="0" w:noVBand="1" w:val="04A0"/>
      </w:tblPr>
      <w:tblGrid>
        <w:gridCol w:w="10080"/>
      </w:tblGrid>
      <w:tr>
        <w:tc>
          <w:tcPr>
            <w:tcW w:type="dxa" w:w="10080"/>
            <w:shd w:fill="EFF6FF"/>
            <w:tcMar>
              <w:top w:w="180" w:type="dxa"/>
              <w:bottom w:w="180" w:type="dxa"/>
              <w:left w:w="220" w:type="dxa"/>
              <w:right w:w="220" w:type="dxa"/>
            </w:tcMar>
            <w:tcBorders>
              <w:top w:val="none"/>
              <w:left w:val="single" w:sz="24" w:space="0" w:color="0066B3"/>
              <w:bottom w:val="none"/>
              <w:right w:val="none"/>
            </w:tcBorders>
          </w:tcPr>
          <w:p>
            <w:pPr>
              <w:spacing w:after="40"/>
              <w:jc w:val="left"/>
            </w:pPr>
            <w:r>
              <w:rPr>
                <w:b/>
                <w:color w:val="0066B3"/>
                <w:sz w:val="20"/>
              </w:rPr>
              <w:t>TECHNICAL IMPLEMENTATION PLAN &amp; DATA REQUIREMENT SPECIFICATION</w:t>
            </w:r>
          </w:p>
          <w:p>
            <w:pPr>
              <w:spacing w:after="80"/>
            </w:pPr>
            <w:r>
              <w:rPr>
                <w:b/>
                <w:color w:val="0F2A4A"/>
                <w:sz w:val="32"/>
              </w:rPr>
              <w:t>Automated Vision-Based Milk Pouch &amp; Crate Counting System</w:t>
            </w:r>
          </w:p>
          <w:p>
            <w:pPr>
              <w:spacing w:after="0"/>
            </w:pPr>
            <w:r>
              <w:rPr>
                <w:color w:val="64748B"/>
                <w:sz w:val="19"/>
              </w:rPr>
              <w:t>Prepared for: Milma (E.R.C.M.P.U. Ltd.), Kottayam Dairy Plant | Prepared by: Goose Industrial Solutions (Vision AI Team)</w:t>
              <w:br/>
              <w:t>Project Scope: Real-time pouch detection, segregated variant counting &amp; crate validation on conveyor line</w:t>
            </w:r>
          </w:p>
        </w:tc>
      </w:tr>
    </w:tbl>
    <w:p>
      <w:pPr>
        <w:spacing w:after="200"/>
      </w:pPr>
    </w:p>
    <w:p>
      <w:pPr>
        <w:keepNext/>
        <w:spacing w:before="320" w:after="120"/>
        <w:pBdr>
          <w:bottom w:val="single" w:sz="6" w:space="2" w:color="CBD5E1"/>
        </w:pBdr>
      </w:pPr>
      <w:r>
        <w:rPr>
          <w:b/>
          <w:color w:val="0F2A4A"/>
          <w:sz w:val="26"/>
        </w:rPr>
        <w:t>1. Executive Summary &amp; Project Overview</w:t>
      </w:r>
    </w:p>
    <w:p>
      <w:pPr>
        <w:spacing w:after="120"/>
      </w:pPr>
      <w:r>
        <w:t>Following the comprehensive site survey conducted at Milma (E.R.C.M.P.U. Ltd.) Kottayam Dairy, Goose Industrial Solutions is pleased to submit this detailed Implementation Plan and Technical Requirement Specification. The objective of this project is to develop and deploy an automated, non-intrusive Vision-Based Milk Pouch &amp; Crate Counting System capable of providing real-time, segregated packet production metrics with maximum operational accuracy.</w:t>
      </w:r>
    </w:p>
    <w:p>
      <w:pPr>
        <w:spacing w:after="160"/>
      </w:pPr>
      <w:r>
        <w:t>The system replaces error-prone manual tallies with high-speed industrial computer vision and deep learning instance segmentation, accurately counting 500 ml pillow pouches packed in blue plastic crates traversing the chain conveyor at line speeds of up to 24 crates per minute (~480 pouches/min). Production counts will be categorized automatically across three distinct milk variants (Orange, Violet, and Green), providing transparent, audit-ready production data.</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5040"/>
        <w:gridCol w:w="5040"/>
      </w:tblGrid>
      <w:tr>
        <w:tc>
          <w:tcPr>
            <w:tcW w:type="dxa" w:w="3600"/>
            <w:tcMar>
              <w:top w:w="70" w:type="dxa"/>
              <w:bottom w:w="70" w:type="dxa"/>
              <w:left w:w="120" w:type="dxa"/>
              <w:right w:w="120" w:type="dxa"/>
            </w:tcMar>
            <w:shd w:fill="F8FAFC"/>
          </w:tcPr>
          <w:p>
            <w:r>
              <w:rPr>
                <w:b/>
                <w:sz w:val="19"/>
              </w:rPr>
              <w:t>Client &amp; Installation Site</w:t>
            </w:r>
          </w:p>
        </w:tc>
        <w:tc>
          <w:tcPr>
            <w:tcW w:type="dxa" w:w="6480"/>
            <w:tcMar>
              <w:top w:w="70" w:type="dxa"/>
              <w:bottom w:w="70" w:type="dxa"/>
              <w:left w:w="120" w:type="dxa"/>
              <w:right w:w="120" w:type="dxa"/>
            </w:tcMar>
          </w:tcPr>
          <w:p>
            <w:r>
              <w:rPr>
                <w:sz w:val="19"/>
              </w:rPr>
              <w:t>Milma (E.R.C.M.P.U. Ltd.), Kottayam Dairy Plant</w:t>
            </w:r>
          </w:p>
        </w:tc>
      </w:tr>
      <w:tr>
        <w:tc>
          <w:tcPr>
            <w:tcW w:type="dxa" w:w="3600"/>
            <w:tcMar>
              <w:top w:w="70" w:type="dxa"/>
              <w:bottom w:w="70" w:type="dxa"/>
              <w:left w:w="120" w:type="dxa"/>
              <w:right w:w="120" w:type="dxa"/>
            </w:tcMar>
            <w:shd w:fill="F8FAFC"/>
          </w:tcPr>
          <w:p>
            <w:r>
              <w:rPr>
                <w:b/>
                <w:sz w:val="19"/>
              </w:rPr>
              <w:t>Primary Goal</w:t>
            </w:r>
          </w:p>
        </w:tc>
        <w:tc>
          <w:tcPr>
            <w:tcW w:type="dxa" w:w="6480"/>
            <w:tcMar>
              <w:top w:w="70" w:type="dxa"/>
              <w:bottom w:w="70" w:type="dxa"/>
              <w:left w:w="120" w:type="dxa"/>
              <w:right w:w="120" w:type="dxa"/>
            </w:tcMar>
          </w:tcPr>
          <w:p>
            <w:r>
              <w:rPr>
                <w:sz w:val="19"/>
              </w:rPr>
              <w:t>Real-time automated packet counting per crate &amp; shift total segregated by variant</w:t>
            </w:r>
          </w:p>
        </w:tc>
      </w:tr>
      <w:tr>
        <w:tc>
          <w:tcPr>
            <w:tcW w:type="dxa" w:w="3600"/>
            <w:tcMar>
              <w:top w:w="70" w:type="dxa"/>
              <w:bottom w:w="70" w:type="dxa"/>
              <w:left w:w="120" w:type="dxa"/>
              <w:right w:w="120" w:type="dxa"/>
            </w:tcMar>
            <w:shd w:fill="F8FAFC"/>
          </w:tcPr>
          <w:p>
            <w:r>
              <w:rPr>
                <w:b/>
                <w:sz w:val="19"/>
              </w:rPr>
              <w:t>Throughput Capacity</w:t>
            </w:r>
          </w:p>
        </w:tc>
        <w:tc>
          <w:tcPr>
            <w:tcW w:type="dxa" w:w="6480"/>
            <w:tcMar>
              <w:top w:w="70" w:type="dxa"/>
              <w:bottom w:w="70" w:type="dxa"/>
              <w:left w:w="120" w:type="dxa"/>
              <w:right w:w="120" w:type="dxa"/>
            </w:tcMar>
          </w:tcPr>
          <w:p>
            <w:r>
              <w:rPr>
                <w:sz w:val="19"/>
              </w:rPr>
              <w:t>24 crates/min per line (~280–480 pouches/min), ~150,000 packets/day plant throughput</w:t>
            </w:r>
          </w:p>
        </w:tc>
      </w:tr>
      <w:tr>
        <w:tc>
          <w:tcPr>
            <w:tcW w:type="dxa" w:w="3600"/>
            <w:tcMar>
              <w:top w:w="70" w:type="dxa"/>
              <w:bottom w:w="70" w:type="dxa"/>
              <w:left w:w="120" w:type="dxa"/>
              <w:right w:w="120" w:type="dxa"/>
            </w:tcMar>
            <w:shd w:fill="F8FAFC"/>
          </w:tcPr>
          <w:p>
            <w:r>
              <w:rPr>
                <w:b/>
                <w:sz w:val="19"/>
              </w:rPr>
              <w:t>Product Scope</w:t>
            </w:r>
          </w:p>
        </w:tc>
        <w:tc>
          <w:tcPr>
            <w:tcW w:type="dxa" w:w="6480"/>
            <w:tcMar>
              <w:top w:w="70" w:type="dxa"/>
              <w:bottom w:w="70" w:type="dxa"/>
              <w:left w:w="120" w:type="dxa"/>
              <w:right w:w="120" w:type="dxa"/>
            </w:tcMar>
          </w:tcPr>
          <w:p>
            <w:r>
              <w:rPr>
                <w:sz w:val="19"/>
              </w:rPr>
              <w:t>500 ml LDPE pillow pouches (Orange, Violet, Green) in standard blue moulded crates</w:t>
            </w:r>
          </w:p>
        </w:tc>
      </w:tr>
      <w:tr>
        <w:tc>
          <w:tcPr>
            <w:tcW w:type="dxa" w:w="3600"/>
            <w:tcMar>
              <w:top w:w="70" w:type="dxa"/>
              <w:bottom w:w="70" w:type="dxa"/>
              <w:left w:w="120" w:type="dxa"/>
              <w:right w:w="120" w:type="dxa"/>
            </w:tcMar>
            <w:shd w:fill="F8FAFC"/>
          </w:tcPr>
          <w:p>
            <w:r>
              <w:rPr>
                <w:b/>
                <w:sz w:val="19"/>
              </w:rPr>
              <w:t>Core Technology</w:t>
            </w:r>
          </w:p>
        </w:tc>
        <w:tc>
          <w:tcPr>
            <w:tcW w:type="dxa" w:w="6480"/>
            <w:tcMar>
              <w:top w:w="70" w:type="dxa"/>
              <w:bottom w:w="70" w:type="dxa"/>
              <w:left w:w="120" w:type="dxa"/>
              <w:right w:w="120" w:type="dxa"/>
            </w:tcMar>
          </w:tcPr>
          <w:p>
            <w:r>
              <w:rPr>
                <w:sz w:val="19"/>
              </w:rPr>
              <w:t>Industrial Global Shutter Vision Camera + Polarized LED Lighting + YOLO Edge AI Segmentation</w:t>
            </w:r>
          </w:p>
        </w:tc>
      </w:tr>
    </w:tbl>
    <w:p>
      <w:pPr>
        <w:spacing w:after="160"/>
      </w:pPr>
    </w:p>
    <w:p>
      <w:pPr>
        <w:keepNext/>
        <w:spacing w:before="320" w:after="120"/>
        <w:pBdr>
          <w:bottom w:val="single" w:sz="6" w:space="2" w:color="CBD5E1"/>
        </w:pBdr>
      </w:pPr>
      <w:r>
        <w:rPr>
          <w:b/>
          <w:color w:val="0F2A4A"/>
          <w:sz w:val="26"/>
        </w:rPr>
        <w:t>2. Synthesis of Site Survey Findings &amp; Engineering Solutions</w:t>
      </w:r>
    </w:p>
    <w:p>
      <w:pPr>
        <w:spacing w:after="120"/>
      </w:pPr>
      <w:r>
        <w:t>Based on the site survey report, several key mechanical, optical, and operational characteristics have been identified and factored into our system design:</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3360"/>
        <w:gridCol w:w="3360"/>
        <w:gridCol w:w="3360"/>
      </w:tblGrid>
      <w:tr>
        <w:tc>
          <w:tcPr>
            <w:tcW w:type="dxa" w:w="2592"/>
            <w:tcMar>
              <w:top w:w="80" w:type="dxa"/>
              <w:bottom w:w="80" w:type="dxa"/>
              <w:left w:w="100" w:type="dxa"/>
              <w:right w:w="100" w:type="dxa"/>
            </w:tcMar>
            <w:shd w:fill="0F2A4A"/>
          </w:tcPr>
          <w:p>
            <w:r>
              <w:rPr>
                <w:b/>
                <w:color w:val="FFFFFF"/>
                <w:sz w:val="19"/>
              </w:rPr>
              <w:t>Survey Parameter</w:t>
            </w:r>
          </w:p>
        </w:tc>
        <w:tc>
          <w:tcPr>
            <w:tcW w:type="dxa" w:w="3744"/>
            <w:tcMar>
              <w:top w:w="80" w:type="dxa"/>
              <w:bottom w:w="80" w:type="dxa"/>
              <w:left w:w="100" w:type="dxa"/>
              <w:right w:w="100" w:type="dxa"/>
            </w:tcMar>
            <w:shd w:fill="0F2A4A"/>
          </w:tcPr>
          <w:p>
            <w:r>
              <w:rPr>
                <w:b/>
                <w:color w:val="FFFFFF"/>
                <w:sz w:val="19"/>
              </w:rPr>
              <w:t>Observed Site Condition</w:t>
            </w:r>
          </w:p>
        </w:tc>
        <w:tc>
          <w:tcPr>
            <w:tcW w:type="dxa" w:w="3744"/>
            <w:tcMar>
              <w:top w:w="80" w:type="dxa"/>
              <w:bottom w:w="80" w:type="dxa"/>
              <w:left w:w="100" w:type="dxa"/>
              <w:right w:w="100" w:type="dxa"/>
            </w:tcMar>
            <w:shd w:fill="0F2A4A"/>
          </w:tcPr>
          <w:p>
            <w:r>
              <w:rPr>
                <w:b/>
                <w:color w:val="FFFFFF"/>
                <w:sz w:val="19"/>
              </w:rPr>
              <w:t>Goose Engineering Solution</w:t>
            </w:r>
          </w:p>
        </w:tc>
      </w:tr>
      <w:tr>
        <w:tc>
          <w:tcPr>
            <w:tcW w:type="dxa" w:w="2592"/>
            <w:tcMar>
              <w:top w:w="80" w:type="dxa"/>
              <w:bottom w:w="80" w:type="dxa"/>
              <w:left w:w="100" w:type="dxa"/>
              <w:right w:w="100" w:type="dxa"/>
            </w:tcMar>
          </w:tcPr>
          <w:p>
            <w:r>
              <w:rPr>
                <w:b/>
                <w:sz w:val="18"/>
              </w:rPr>
              <w:t>Lighting &amp; Specular Glare</w:t>
            </w:r>
          </w:p>
        </w:tc>
        <w:tc>
          <w:tcPr>
            <w:tcW w:type="dxa" w:w="3744"/>
            <w:tcMar>
              <w:top w:w="80" w:type="dxa"/>
              <w:bottom w:w="80" w:type="dxa"/>
              <w:left w:w="100" w:type="dxa"/>
              <w:right w:w="100" w:type="dxa"/>
            </w:tcMar>
          </w:tcPr>
          <w:p>
            <w:r>
              <w:rPr>
                <w:sz w:val="18"/>
              </w:rPr>
              <w:t>Dim ambient fluorescent tubes; polished stainless steel guards and wet glossy film create harsh specular glare.</w:t>
            </w:r>
          </w:p>
        </w:tc>
        <w:tc>
          <w:tcPr>
            <w:tcW w:type="dxa" w:w="3744"/>
            <w:tcMar>
              <w:top w:w="80" w:type="dxa"/>
              <w:bottom w:w="80" w:type="dxa"/>
              <w:left w:w="100" w:type="dxa"/>
              <w:right w:w="100" w:type="dxa"/>
            </w:tcMar>
          </w:tcPr>
          <w:p>
            <w:r>
              <w:rPr>
                <w:sz w:val="18"/>
              </w:rPr>
              <w:t>High-intensity polarized industrial LED bar lights with cross-polarizing lens filter to eliminate surface glare entirely.</w:t>
            </w:r>
          </w:p>
        </w:tc>
      </w:tr>
      <w:tr>
        <w:tc>
          <w:tcPr>
            <w:tcW w:type="dxa" w:w="2592"/>
            <w:tcMar>
              <w:top w:w="80" w:type="dxa"/>
              <w:bottom w:w="80" w:type="dxa"/>
              <w:left w:w="100" w:type="dxa"/>
              <w:right w:w="100" w:type="dxa"/>
            </w:tcMar>
            <w:shd w:fill="F8FAFC"/>
          </w:tcPr>
          <w:p>
            <w:r>
              <w:rPr>
                <w:b/>
                <w:sz w:val="18"/>
              </w:rPr>
              <w:t>Crate Spacing &amp; Motion</w:t>
            </w:r>
          </w:p>
        </w:tc>
        <w:tc>
          <w:tcPr>
            <w:tcW w:type="dxa" w:w="3744"/>
            <w:tcMar>
              <w:top w:w="80" w:type="dxa"/>
              <w:bottom w:w="80" w:type="dxa"/>
              <w:left w:w="100" w:type="dxa"/>
              <w:right w:w="100" w:type="dxa"/>
            </w:tcMar>
            <w:shd w:fill="F8FAFC"/>
          </w:tcPr>
          <w:p>
            <w:r>
              <w:rPr>
                <w:sz w:val="18"/>
              </w:rPr>
              <w:t>Crates travel abutting with zero inter-crate gap at ~24 crates/min; manual lift-off causes variable dwell time.</w:t>
            </w:r>
          </w:p>
        </w:tc>
        <w:tc>
          <w:tcPr>
            <w:tcW w:type="dxa" w:w="3744"/>
            <w:tcMar>
              <w:top w:w="80" w:type="dxa"/>
              <w:bottom w:w="80" w:type="dxa"/>
              <w:left w:w="100" w:type="dxa"/>
              <w:right w:w="100" w:type="dxa"/>
            </w:tcMar>
            <w:shd w:fill="F8FAFC"/>
          </w:tcPr>
          <w:p>
            <w:r>
              <w:rPr>
                <w:sz w:val="18"/>
              </w:rPr>
              <w:t>Continuous optical edge tracking + photoelectric trigger sensor to precisely delineate crate entry, boundaries, and exit.</w:t>
            </w:r>
          </w:p>
        </w:tc>
      </w:tr>
      <w:tr>
        <w:tc>
          <w:tcPr>
            <w:tcW w:type="dxa" w:w="2592"/>
            <w:tcMar>
              <w:top w:w="80" w:type="dxa"/>
              <w:bottom w:w="80" w:type="dxa"/>
              <w:left w:w="100" w:type="dxa"/>
              <w:right w:w="100" w:type="dxa"/>
            </w:tcMar>
          </w:tcPr>
          <w:p>
            <w:r>
              <w:rPr>
                <w:b/>
                <w:sz w:val="18"/>
              </w:rPr>
              <w:t>Pouch Packing Arrangement</w:t>
            </w:r>
          </w:p>
        </w:tc>
        <w:tc>
          <w:tcPr>
            <w:tcW w:type="dxa" w:w="3744"/>
            <w:tcMar>
              <w:top w:w="80" w:type="dxa"/>
              <w:bottom w:w="80" w:type="dxa"/>
              <w:left w:w="100" w:type="dxa"/>
              <w:right w:w="100" w:type="dxa"/>
            </w:tcMar>
          </w:tcPr>
          <w:p>
            <w:r>
              <w:rPr>
                <w:sz w:val="18"/>
              </w:rPr>
              <w:t>Packets lie flat and shingled (overlapping in 2 runs, ~20 per crate); touching runs and protruding fin seals.</w:t>
            </w:r>
          </w:p>
        </w:tc>
        <w:tc>
          <w:tcPr>
            <w:tcW w:type="dxa" w:w="3744"/>
            <w:tcMar>
              <w:top w:w="80" w:type="dxa"/>
              <w:bottom w:w="80" w:type="dxa"/>
              <w:left w:w="100" w:type="dxa"/>
              <w:right w:w="100" w:type="dxa"/>
            </w:tcMar>
          </w:tcPr>
          <w:p>
            <w:r>
              <w:rPr>
                <w:sz w:val="18"/>
              </w:rPr>
              <w:t>Deep learning instance segmentation (YOLO-based) trained to isolate overlapping boundaries and fin-seal geometries.</w:t>
            </w:r>
          </w:p>
        </w:tc>
      </w:tr>
      <w:tr>
        <w:tc>
          <w:tcPr>
            <w:tcW w:type="dxa" w:w="2592"/>
            <w:tcMar>
              <w:top w:w="80" w:type="dxa"/>
              <w:bottom w:w="80" w:type="dxa"/>
              <w:left w:w="100" w:type="dxa"/>
              <w:right w:w="100" w:type="dxa"/>
            </w:tcMar>
            <w:shd w:fill="F8FAFC"/>
          </w:tcPr>
          <w:p>
            <w:r>
              <w:rPr>
                <w:b/>
                <w:sz w:val="18"/>
              </w:rPr>
              <w:t>Dairy Environment</w:t>
            </w:r>
          </w:p>
        </w:tc>
        <w:tc>
          <w:tcPr>
            <w:tcW w:type="dxa" w:w="3744"/>
            <w:tcMar>
              <w:top w:w="80" w:type="dxa"/>
              <w:bottom w:w="80" w:type="dxa"/>
              <w:left w:w="100" w:type="dxa"/>
              <w:right w:w="100" w:type="dxa"/>
            </w:tcMar>
            <w:shd w:fill="F8FAFC"/>
          </w:tcPr>
          <w:p>
            <w:r>
              <w:rPr>
                <w:sz w:val="18"/>
              </w:rPr>
              <w:t>Wet washdown dairy processing area with humidity and daily cleaning cycles.</w:t>
            </w:r>
          </w:p>
        </w:tc>
        <w:tc>
          <w:tcPr>
            <w:tcW w:type="dxa" w:w="3744"/>
            <w:tcMar>
              <w:top w:w="80" w:type="dxa"/>
              <w:bottom w:w="80" w:type="dxa"/>
              <w:left w:w="100" w:type="dxa"/>
              <w:right w:w="100" w:type="dxa"/>
            </w:tcMar>
            <w:shd w:fill="F8FAFC"/>
          </w:tcPr>
          <w:p>
            <w:r>
              <w:rPr>
                <w:sz w:val="18"/>
              </w:rPr>
              <w:t>IP65/IP67 stainless steel / anodized sealed enclosure for camera, lens, and lighting; moisture-proof industrial connectors.</w:t>
            </w:r>
          </w:p>
        </w:tc>
      </w:tr>
      <w:tr>
        <w:tc>
          <w:tcPr>
            <w:tcW w:type="dxa" w:w="2592"/>
            <w:tcMar>
              <w:top w:w="80" w:type="dxa"/>
              <w:bottom w:w="80" w:type="dxa"/>
              <w:left w:w="100" w:type="dxa"/>
              <w:right w:w="100" w:type="dxa"/>
            </w:tcMar>
          </w:tcPr>
          <w:p>
            <w:r>
              <w:rPr>
                <w:b/>
                <w:sz w:val="18"/>
              </w:rPr>
              <w:t>Physical Clearance</w:t>
            </w:r>
          </w:p>
        </w:tc>
        <w:tc>
          <w:tcPr>
            <w:tcW w:type="dxa" w:w="3744"/>
            <w:tcMar>
              <w:top w:w="80" w:type="dxa"/>
              <w:bottom w:w="80" w:type="dxa"/>
              <w:left w:w="100" w:type="dxa"/>
              <w:right w:w="100" w:type="dxa"/>
            </w:tcMar>
          </w:tcPr>
          <w:p>
            <w:r>
              <w:rPr>
                <w:sz w:val="18"/>
              </w:rPr>
              <w:t>Conveyor height: 900 mm; belt width: 450 mm; max overhead clearance to structure: ~950 mm.</w:t>
            </w:r>
          </w:p>
        </w:tc>
        <w:tc>
          <w:tcPr>
            <w:tcW w:type="dxa" w:w="3744"/>
            <w:tcMar>
              <w:top w:w="80" w:type="dxa"/>
              <w:bottom w:w="80" w:type="dxa"/>
              <w:left w:w="100" w:type="dxa"/>
              <w:right w:w="100" w:type="dxa"/>
            </w:tcMar>
          </w:tcPr>
          <w:p>
            <w:r>
              <w:rPr>
                <w:sz w:val="18"/>
              </w:rPr>
              <w:t>Compact custom overhead C-frame bracket with 8mm/12mm wide-angle lens optimized for short working distance (WD ~600–750 mm).</w:t>
            </w:r>
          </w:p>
        </w:tc>
      </w:tr>
    </w:tbl>
    <w:p>
      <w:pPr>
        <w:spacing w:after="160"/>
      </w:pPr>
    </w:p>
    <w:p>
      <w:pPr>
        <w:keepNext/>
        <w:spacing w:before="320" w:after="120"/>
        <w:pBdr>
          <w:bottom w:val="single" w:sz="6" w:space="2" w:color="CBD5E1"/>
        </w:pBdr>
      </w:pPr>
      <w:r>
        <w:rPr>
          <w:b/>
          <w:color w:val="0F2A4A"/>
          <w:sz w:val="26"/>
        </w:rPr>
        <w:t>3. Project Requirements &amp; Inputs from Milma Kottayam</w:t>
      </w:r>
    </w:p>
    <w:p>
      <w:pPr>
        <w:spacing w:after="120"/>
      </w:pPr>
      <w:r>
        <w:t>To ensure high counting accuracy (target ≥ 99.5%) and robust model performance under production conditions, Goose Industrial Solutions requires specific dataset assets and plant site provisions from Milma Kottayam.</w:t>
      </w:r>
    </w:p>
    <w:p>
      <w:pPr>
        <w:keepNext/>
        <w:spacing w:before="200" w:after="60"/>
      </w:pPr>
      <w:r>
        <w:rPr>
          <w:b/>
          <w:color w:val="0066B3"/>
          <w:sz w:val="22"/>
        </w:rPr>
        <w:t>3.1 Machine Learning Dataset &amp; Photography Requirements</w:t>
      </w:r>
    </w:p>
    <w:p>
      <w:pPr>
        <w:spacing w:after="120"/>
      </w:pPr>
      <w:r>
        <w:t>Because milk pouches are pliable, glossy, and arranged in shingled/overlapping layers, a robust machine learning model requires photographic data captured directly from the plant floor. The table below specifies the exact photo dataset needed:</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3360"/>
        <w:gridCol w:w="3360"/>
        <w:gridCol w:w="3360"/>
      </w:tblGrid>
      <w:tr>
        <w:tc>
          <w:tcPr>
            <w:tcW w:type="dxa" w:w="2592"/>
            <w:tcMar>
              <w:top w:w="70" w:type="dxa"/>
              <w:bottom w:w="70" w:type="dxa"/>
              <w:left w:w="100" w:type="dxa"/>
              <w:right w:w="100" w:type="dxa"/>
            </w:tcMar>
            <w:shd w:fill="0F2A4A"/>
          </w:tcPr>
          <w:p>
            <w:r>
              <w:rPr>
                <w:b/>
                <w:color w:val="FFFFFF"/>
                <w:sz w:val="19"/>
              </w:rPr>
              <w:t>Pouch Variant / Condition</w:t>
            </w:r>
          </w:p>
        </w:tc>
        <w:tc>
          <w:tcPr>
            <w:tcW w:type="dxa" w:w="2160"/>
            <w:tcMar>
              <w:top w:w="70" w:type="dxa"/>
              <w:bottom w:w="70" w:type="dxa"/>
              <w:left w:w="100" w:type="dxa"/>
              <w:right w:w="100" w:type="dxa"/>
            </w:tcMar>
            <w:shd w:fill="0F2A4A"/>
          </w:tcPr>
          <w:p>
            <w:r>
              <w:rPr>
                <w:b/>
                <w:color w:val="FFFFFF"/>
                <w:sz w:val="19"/>
              </w:rPr>
              <w:t>Recommended Quantity</w:t>
            </w:r>
          </w:p>
        </w:tc>
        <w:tc>
          <w:tcPr>
            <w:tcW w:type="dxa" w:w="5328"/>
            <w:tcMar>
              <w:top w:w="70" w:type="dxa"/>
              <w:bottom w:w="70" w:type="dxa"/>
              <w:left w:w="100" w:type="dxa"/>
              <w:right w:w="100" w:type="dxa"/>
            </w:tcMar>
            <w:shd w:fill="0F2A4A"/>
          </w:tcPr>
          <w:p>
            <w:r>
              <w:rPr>
                <w:b/>
                <w:color w:val="FFFFFF"/>
                <w:sz w:val="19"/>
              </w:rPr>
              <w:t>Specific Visual Variations Needed</w:t>
            </w:r>
          </w:p>
        </w:tc>
      </w:tr>
      <w:tr>
        <w:tc>
          <w:tcPr>
            <w:tcW w:type="dxa" w:w="2592"/>
            <w:tcMar>
              <w:top w:w="70" w:type="dxa"/>
              <w:bottom w:w="70" w:type="dxa"/>
              <w:left w:w="100" w:type="dxa"/>
              <w:right w:w="100" w:type="dxa"/>
            </w:tcMar>
          </w:tcPr>
          <w:p>
            <w:r>
              <w:rPr>
                <w:b/>
                <w:sz w:val="18"/>
              </w:rPr>
              <w:t>Orange Variant (Standard)</w:t>
            </w:r>
          </w:p>
        </w:tc>
        <w:tc>
          <w:tcPr>
            <w:tcW w:type="dxa" w:w="2160"/>
            <w:tcMar>
              <w:top w:w="70" w:type="dxa"/>
              <w:bottom w:w="70" w:type="dxa"/>
              <w:left w:w="100" w:type="dxa"/>
              <w:right w:w="100" w:type="dxa"/>
            </w:tcMar>
          </w:tcPr>
          <w:p>
            <w:r>
              <w:rPr>
                <w:b/>
                <w:color w:val="0066B3"/>
                <w:sz w:val="18"/>
              </w:rPr>
              <w:t>600 – 800 Photos</w:t>
            </w:r>
          </w:p>
        </w:tc>
        <w:tc>
          <w:tcPr>
            <w:tcW w:type="dxa" w:w="5328"/>
            <w:tcMar>
              <w:top w:w="70" w:type="dxa"/>
              <w:bottom w:w="70" w:type="dxa"/>
              <w:left w:w="100" w:type="dxa"/>
              <w:right w:w="100" w:type="dxa"/>
            </w:tcMar>
          </w:tcPr>
          <w:p>
            <w:r>
              <w:rPr>
                <w:sz w:val="18"/>
              </w:rPr>
              <w:t>Normal shingled runs (nominal 20 pouches/crate), varying overlap depths, fin-seal orientation, dry and wet pouches.</w:t>
            </w:r>
          </w:p>
        </w:tc>
      </w:tr>
      <w:tr>
        <w:tc>
          <w:tcPr>
            <w:tcW w:type="dxa" w:w="2592"/>
            <w:tcMar>
              <w:top w:w="70" w:type="dxa"/>
              <w:bottom w:w="70" w:type="dxa"/>
              <w:left w:w="100" w:type="dxa"/>
              <w:right w:w="100" w:type="dxa"/>
            </w:tcMar>
            <w:shd w:fill="F8FAFC"/>
          </w:tcPr>
          <w:p>
            <w:r>
              <w:rPr>
                <w:b/>
                <w:sz w:val="18"/>
              </w:rPr>
              <w:t>Violet Variant (Standard)</w:t>
            </w:r>
          </w:p>
        </w:tc>
        <w:tc>
          <w:tcPr>
            <w:tcW w:type="dxa" w:w="2160"/>
            <w:tcMar>
              <w:top w:w="70" w:type="dxa"/>
              <w:bottom w:w="70" w:type="dxa"/>
              <w:left w:w="100" w:type="dxa"/>
              <w:right w:w="100" w:type="dxa"/>
            </w:tcMar>
            <w:shd w:fill="F8FAFC"/>
          </w:tcPr>
          <w:p>
            <w:r>
              <w:rPr>
                <w:b/>
                <w:color w:val="0066B3"/>
                <w:sz w:val="18"/>
              </w:rPr>
              <w:t>600 – 800 Photos</w:t>
            </w:r>
          </w:p>
        </w:tc>
        <w:tc>
          <w:tcPr>
            <w:tcW w:type="dxa" w:w="5328"/>
            <w:tcMar>
              <w:top w:w="70" w:type="dxa"/>
              <w:bottom w:w="70" w:type="dxa"/>
              <w:left w:w="100" w:type="dxa"/>
              <w:right w:w="100" w:type="dxa"/>
            </w:tcMar>
            <w:shd w:fill="F8FAFC"/>
          </w:tcPr>
          <w:p>
            <w:r>
              <w:rPr>
                <w:sz w:val="18"/>
              </w:rPr>
              <w:t>Standard packing layouts, different print alignment on film, partial overlaps, full crates on moving conveyor.</w:t>
            </w:r>
          </w:p>
        </w:tc>
      </w:tr>
      <w:tr>
        <w:tc>
          <w:tcPr>
            <w:tcW w:type="dxa" w:w="2592"/>
            <w:tcMar>
              <w:top w:w="70" w:type="dxa"/>
              <w:bottom w:w="70" w:type="dxa"/>
              <w:left w:w="100" w:type="dxa"/>
              <w:right w:w="100" w:type="dxa"/>
            </w:tcMar>
          </w:tcPr>
          <w:p>
            <w:r>
              <w:rPr>
                <w:b/>
                <w:sz w:val="18"/>
              </w:rPr>
              <w:t>Green Variant (Standard)</w:t>
            </w:r>
          </w:p>
        </w:tc>
        <w:tc>
          <w:tcPr>
            <w:tcW w:type="dxa" w:w="2160"/>
            <w:tcMar>
              <w:top w:w="70" w:type="dxa"/>
              <w:bottom w:w="70" w:type="dxa"/>
              <w:left w:w="100" w:type="dxa"/>
              <w:right w:w="100" w:type="dxa"/>
            </w:tcMar>
          </w:tcPr>
          <w:p>
            <w:r>
              <w:rPr>
                <w:b/>
                <w:color w:val="0066B3"/>
                <w:sz w:val="18"/>
              </w:rPr>
              <w:t>600 – 800 Photos</w:t>
            </w:r>
          </w:p>
        </w:tc>
        <w:tc>
          <w:tcPr>
            <w:tcW w:type="dxa" w:w="5328"/>
            <w:tcMar>
              <w:top w:w="70" w:type="dxa"/>
              <w:bottom w:w="70" w:type="dxa"/>
              <w:left w:w="100" w:type="dxa"/>
              <w:right w:w="100" w:type="dxa"/>
            </w:tcMar>
          </w:tcPr>
          <w:p>
            <w:r>
              <w:rPr>
                <w:sz w:val="18"/>
              </w:rPr>
              <w:t>Standard packing runs, pouch settling variations, slight crate skewing on outer frame.</w:t>
            </w:r>
          </w:p>
        </w:tc>
      </w:tr>
      <w:tr>
        <w:tc>
          <w:tcPr>
            <w:tcW w:type="dxa" w:w="2592"/>
            <w:tcMar>
              <w:top w:w="70" w:type="dxa"/>
              <w:bottom w:w="70" w:type="dxa"/>
              <w:left w:w="100" w:type="dxa"/>
              <w:right w:w="100" w:type="dxa"/>
            </w:tcMar>
            <w:shd w:fill="F8FAFC"/>
          </w:tcPr>
          <w:p>
            <w:r>
              <w:rPr>
                <w:b/>
                <w:sz w:val="18"/>
              </w:rPr>
              <w:t>Anomalies &amp; Edge Cases</w:t>
            </w:r>
          </w:p>
        </w:tc>
        <w:tc>
          <w:tcPr>
            <w:tcW w:type="dxa" w:w="2160"/>
            <w:tcMar>
              <w:top w:w="70" w:type="dxa"/>
              <w:bottom w:w="70" w:type="dxa"/>
              <w:left w:w="100" w:type="dxa"/>
              <w:right w:w="100" w:type="dxa"/>
            </w:tcMar>
            <w:shd w:fill="F8FAFC"/>
          </w:tcPr>
          <w:p>
            <w:r>
              <w:rPr>
                <w:b/>
                <w:color w:val="0066B3"/>
                <w:sz w:val="18"/>
              </w:rPr>
              <w:t>350 – 500 Photos</w:t>
            </w:r>
          </w:p>
        </w:tc>
        <w:tc>
          <w:tcPr>
            <w:tcW w:type="dxa" w:w="5328"/>
            <w:tcMar>
              <w:top w:w="70" w:type="dxa"/>
              <w:bottom w:w="70" w:type="dxa"/>
              <w:left w:w="100" w:type="dxa"/>
              <w:right w:w="100" w:type="dxa"/>
            </w:tcMar>
            <w:shd w:fill="F8FAFC"/>
          </w:tcPr>
          <w:p>
            <w:r>
              <w:rPr>
                <w:sz w:val="18"/>
              </w:rPr>
              <w:t>Underfilled crates (16, 17, 18, 19 packets), overfilled/tilted pouches, folded/creased pouches, empty crates, worn crates.</w:t>
            </w:r>
          </w:p>
        </w:tc>
      </w:tr>
      <w:tr>
        <w:tc>
          <w:tcPr>
            <w:tcW w:type="dxa" w:w="2592"/>
            <w:tcMar>
              <w:top w:w="70" w:type="dxa"/>
              <w:bottom w:w="70" w:type="dxa"/>
              <w:left w:w="100" w:type="dxa"/>
              <w:right w:w="100" w:type="dxa"/>
            </w:tcMar>
          </w:tcPr>
          <w:p>
            <w:r>
              <w:rPr>
                <w:b/>
                <w:sz w:val="18"/>
              </w:rPr>
              <w:t>High-Speed Video Footages</w:t>
            </w:r>
          </w:p>
        </w:tc>
        <w:tc>
          <w:tcPr>
            <w:tcW w:type="dxa" w:w="2160"/>
            <w:tcMar>
              <w:top w:w="70" w:type="dxa"/>
              <w:bottom w:w="70" w:type="dxa"/>
              <w:left w:w="100" w:type="dxa"/>
              <w:right w:w="100" w:type="dxa"/>
            </w:tcMar>
          </w:tcPr>
          <w:p>
            <w:r>
              <w:rPr>
                <w:b/>
                <w:color w:val="0066B3"/>
                <w:sz w:val="18"/>
              </w:rPr>
              <w:t>20 – 30 Minutes Total</w:t>
            </w:r>
          </w:p>
        </w:tc>
        <w:tc>
          <w:tcPr>
            <w:tcW w:type="dxa" w:w="5328"/>
            <w:tcMar>
              <w:top w:w="70" w:type="dxa"/>
              <w:bottom w:w="70" w:type="dxa"/>
              <w:left w:w="100" w:type="dxa"/>
              <w:right w:w="100" w:type="dxa"/>
            </w:tcMar>
          </w:tcPr>
          <w:p>
            <w:r>
              <w:rPr>
                <w:sz w:val="18"/>
              </w:rPr>
              <w:t>Continuous top-down videos (1080p @ 30/60 fps) across morning shift (07:30 start) and mid-shift to capture natural crate flow &amp; vibration.</w:t>
            </w:r>
          </w:p>
        </w:tc>
      </w:tr>
    </w:tbl>
    <w:p>
      <w:pPr>
        <w:spacing w:after="120"/>
      </w:pPr>
    </w:p>
    <w:tbl>
      <w:tblPr>
        <w:tblW w:type="auto" w:w="0"/>
        <w:jc w:val="center"/>
        <w:tblLayout w:type="fixed"/>
        <w:tblLook w:firstColumn="1" w:firstRow="1" w:lastColumn="0" w:lastRow="0" w:noHBand="0" w:noVBand="1" w:val="04A0"/>
      </w:tblPr>
      <w:tblGrid>
        <w:gridCol w:w="10080"/>
      </w:tblGrid>
      <w:tr>
        <w:tc>
          <w:tcPr>
            <w:tcW w:type="dxa" w:w="10080"/>
            <w:shd w:fill="EFF6FF"/>
            <w:tcMar>
              <w:top w:w="100" w:type="dxa"/>
              <w:bottom w:w="100" w:type="dxa"/>
              <w:left w:w="150" w:type="dxa"/>
              <w:right w:w="150" w:type="dxa"/>
            </w:tcMar>
            <w:tcBorders>
              <w:top w:val="none"/>
              <w:left w:val="single" w:sz="18" w:space="0" w:color="0066B3"/>
              <w:bottom w:val="none"/>
              <w:right w:val="none"/>
            </w:tcBorders>
          </w:tcPr>
          <w:p>
            <w:pPr>
              <w:spacing w:after="40"/>
            </w:pPr>
            <w:r>
              <w:rPr>
                <w:b/>
                <w:color w:val="0066B3"/>
                <w:sz w:val="20"/>
              </w:rPr>
              <w:t xml:space="preserve">📌 DATASET SUMMARY: </w:t>
            </w:r>
            <w:r>
              <w:rPr>
                <w:color w:val="1E293B"/>
                <w:sz w:val="20"/>
              </w:rPr>
              <w:t>Total Target Dataset: Approximately 2,100 to 2,900 still images + 25 minutes of continuous video. Photos can be captured using a standard smartphone or DSLR following the protocol below, or by Goose engineers during a 1-day staging visit.</w:t>
            </w:r>
          </w:p>
        </w:tc>
      </w:tr>
    </w:tbl>
    <w:p>
      <w:pPr>
        <w:spacing w:after="80"/>
      </w:pPr>
    </w:p>
    <w:p>
      <w:pPr>
        <w:keepNext/>
        <w:spacing w:before="200" w:after="60"/>
      </w:pPr>
      <w:r>
        <w:rPr>
          <w:b/>
          <w:color w:val="0066B3"/>
          <w:sz w:val="22"/>
        </w:rPr>
        <w:t>3.2 Protocol for Photo &amp; Video Capture</w:t>
      </w:r>
    </w:p>
    <w:p>
      <w:pPr>
        <w:pStyle w:val="ListBullet"/>
        <w:spacing w:after="60"/>
      </w:pPr>
      <w:r>
        <w:rPr>
          <w:b/>
          <w:sz w:val="19"/>
        </w:rPr>
        <w:t xml:space="preserve">Camera Perspective &amp; Angle: </w:t>
      </w:r>
      <w:r>
        <w:rPr>
          <w:sz w:val="19"/>
        </w:rPr>
        <w:t>Capture directly from above (perpendicular 90° nadir angle), looking straight down into the crate. This simulates the fixed industrial camera position. Include slight angular shifts (5°–10°) to train robustness against slight crate tilting.</w:t>
      </w:r>
    </w:p>
    <w:p>
      <w:pPr>
        <w:pStyle w:val="ListBullet"/>
        <w:spacing w:after="60"/>
      </w:pPr>
      <w:r>
        <w:rPr>
          <w:b/>
          <w:sz w:val="19"/>
        </w:rPr>
        <w:t xml:space="preserve">Camera Distance &amp; Frame: </w:t>
      </w:r>
      <w:r>
        <w:rPr>
          <w:sz w:val="19"/>
        </w:rPr>
        <w:t>Position the camera approximately 700 mm to 900 mm above the crate belt so the full 565 mm × 300 mm crate plus a slight margin is clearly visible.</w:t>
      </w:r>
    </w:p>
    <w:p>
      <w:pPr>
        <w:pStyle w:val="ListBullet"/>
        <w:spacing w:after="60"/>
      </w:pPr>
      <w:r>
        <w:rPr>
          <w:b/>
          <w:sz w:val="19"/>
        </w:rPr>
        <w:t xml:space="preserve">Image Clarity &amp; Motion: </w:t>
      </w:r>
      <w:r>
        <w:rPr>
          <w:sz w:val="19"/>
        </w:rPr>
        <w:t>Ensure crisp focus on the pouches and fin seals. If conveyor is running, use a fast shutter speed (minimum 1/250s) to avoid motion blur.</w:t>
      </w:r>
    </w:p>
    <w:p>
      <w:pPr>
        <w:pStyle w:val="ListBullet"/>
        <w:spacing w:after="60"/>
      </w:pPr>
      <w:r>
        <w:rPr>
          <w:b/>
          <w:sz w:val="19"/>
        </w:rPr>
        <w:t xml:space="preserve">Lighting &amp; Glare Diversity: </w:t>
      </w:r>
      <w:r>
        <w:rPr>
          <w:sz w:val="19"/>
        </w:rPr>
        <w:t>Capture samples under existing tube lighting, with overhead lights switched on and during natural morning shift transitions.</w:t>
      </w:r>
    </w:p>
    <w:p>
      <w:pPr>
        <w:pStyle w:val="ListBullet"/>
        <w:spacing w:after="60"/>
      </w:pPr>
      <w:r>
        <w:rPr>
          <w:b/>
          <w:sz w:val="19"/>
        </w:rPr>
        <w:t xml:space="preserve">Dataset Segregation: </w:t>
      </w:r>
      <w:r>
        <w:rPr>
          <w:sz w:val="19"/>
        </w:rPr>
        <w:t>Organize files into labeled folders: '/Orange/', '/Violet/', '/Green/', and '/Edge_Cases/' (indicating actual packet counts for validation).</w:t>
      </w:r>
    </w:p>
    <w:p>
      <w:pPr>
        <w:keepNext/>
        <w:spacing w:before="200" w:after="60"/>
      </w:pPr>
      <w:r>
        <w:rPr>
          <w:b/>
          <w:color w:val="0066B3"/>
          <w:sz w:val="22"/>
        </w:rPr>
        <w:t>3.3 Site Infrastructure &amp; Mechanical Provisions Needed from Milma</w:t>
      </w:r>
    </w:p>
    <w:p>
      <w:pPr>
        <w:pStyle w:val="ListBullet"/>
        <w:spacing w:after="60"/>
      </w:pPr>
      <w:r>
        <w:rPr>
          <w:b/>
          <w:sz w:val="19"/>
        </w:rPr>
        <w:t xml:space="preserve">Regulated Electrical Power: </w:t>
      </w:r>
      <w:r>
        <w:rPr>
          <w:sz w:val="19"/>
        </w:rPr>
        <w:t>One single-phase 230V AC (50 Hz) UPS-backed power socket (~500W load) within 3 meters of the designated conveyor inspection station.</w:t>
      </w:r>
    </w:p>
    <w:p>
      <w:pPr>
        <w:pStyle w:val="ListBullet"/>
        <w:spacing w:after="60"/>
      </w:pPr>
      <w:r>
        <w:rPr>
          <w:b/>
          <w:sz w:val="19"/>
        </w:rPr>
        <w:t xml:space="preserve">Network Connectivity: </w:t>
      </w:r>
      <w:r>
        <w:rPr>
          <w:sz w:val="19"/>
        </w:rPr>
        <w:t>One Gigabit Ethernet (RJ45) LAN port or dedicated plant Wi-Fi access near the line for edge system dashboard access and automated data backup.</w:t>
      </w:r>
    </w:p>
    <w:p>
      <w:pPr>
        <w:pStyle w:val="ListBullet"/>
        <w:spacing w:after="60"/>
      </w:pPr>
      <w:r>
        <w:rPr>
          <w:b/>
          <w:sz w:val="19"/>
        </w:rPr>
        <w:t xml:space="preserve">Overhead Mechanical Mount: </w:t>
      </w:r>
      <w:r>
        <w:rPr>
          <w:sz w:val="19"/>
        </w:rPr>
        <w:t>Permission and support to mount an overhead rigid C-arm bracket (stainless steel or heavy-duty aluminum) at 850–950 mm elevation above the conveyor, positioned before the wall hatch / manual lift-off area.</w:t>
      </w:r>
    </w:p>
    <w:p>
      <w:pPr>
        <w:pStyle w:val="ListBullet"/>
        <w:spacing w:after="60"/>
      </w:pPr>
      <w:r>
        <w:rPr>
          <w:b/>
          <w:sz w:val="19"/>
        </w:rPr>
        <w:t xml:space="preserve">Line Coordinator &amp; Access: </w:t>
      </w:r>
      <w:r>
        <w:rPr>
          <w:sz w:val="19"/>
        </w:rPr>
        <w:t>Nomination of an on-site technical point of contact (Production/Maintenance) to assist during on-site calibration, trial runs, and operator training.</w:t>
      </w:r>
    </w:p>
    <w:p>
      <w:pPr>
        <w:spacing w:after="160"/>
      </w:pPr>
    </w:p>
    <w:p>
      <w:pPr>
        <w:keepNext/>
        <w:spacing w:before="320" w:after="120"/>
        <w:pBdr>
          <w:bottom w:val="single" w:sz="6" w:space="2" w:color="CBD5E1"/>
        </w:pBdr>
      </w:pPr>
      <w:r>
        <w:rPr>
          <w:b/>
          <w:color w:val="0F2A4A"/>
          <w:sz w:val="26"/>
        </w:rPr>
        <w:t>4. Proposed Vision AI System Architecture</w:t>
      </w:r>
    </w:p>
    <w:p>
      <w:pPr>
        <w:spacing w:after="120"/>
      </w:pPr>
      <w:r>
        <w:t>The proposed architecture utilizes an edge-native design, executing all deep-learning inferences locally on high-performance hardware to ensure ultra-low latency (&lt;100 ms per crate) and uninterrupted operation even in case of external network outages.</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3360"/>
        <w:gridCol w:w="3360"/>
        <w:gridCol w:w="3360"/>
      </w:tblGrid>
      <w:tr>
        <w:tc>
          <w:tcPr>
            <w:tcW w:type="dxa" w:w="2592"/>
            <w:tcMar>
              <w:top w:w="70" w:type="dxa"/>
              <w:bottom w:w="70" w:type="dxa"/>
              <w:left w:w="100" w:type="dxa"/>
              <w:right w:w="100" w:type="dxa"/>
            </w:tcMar>
            <w:shd w:fill="0F2A4A"/>
          </w:tcPr>
          <w:p>
            <w:r>
              <w:rPr>
                <w:b/>
                <w:color w:val="FFFFFF"/>
                <w:sz w:val="19"/>
              </w:rPr>
              <w:t>Subsystem Component</w:t>
            </w:r>
          </w:p>
        </w:tc>
        <w:tc>
          <w:tcPr>
            <w:tcW w:type="dxa" w:w="3168"/>
            <w:tcMar>
              <w:top w:w="70" w:type="dxa"/>
              <w:bottom w:w="70" w:type="dxa"/>
              <w:left w:w="100" w:type="dxa"/>
              <w:right w:w="100" w:type="dxa"/>
            </w:tcMar>
            <w:shd w:fill="0F2A4A"/>
          </w:tcPr>
          <w:p>
            <w:r>
              <w:rPr>
                <w:b/>
                <w:color w:val="FFFFFF"/>
                <w:sz w:val="19"/>
              </w:rPr>
              <w:t>Proposed Specification</w:t>
            </w:r>
          </w:p>
        </w:tc>
        <w:tc>
          <w:tcPr>
            <w:tcW w:type="dxa" w:w="4320"/>
            <w:tcMar>
              <w:top w:w="70" w:type="dxa"/>
              <w:bottom w:w="70" w:type="dxa"/>
              <w:left w:w="100" w:type="dxa"/>
              <w:right w:w="100" w:type="dxa"/>
            </w:tcMar>
            <w:shd w:fill="0F2A4A"/>
          </w:tcPr>
          <w:p>
            <w:r>
              <w:rPr>
                <w:b/>
                <w:color w:val="FFFFFF"/>
                <w:sz w:val="19"/>
              </w:rPr>
              <w:t>Functional Role in Kottayam Plant</w:t>
            </w:r>
          </w:p>
        </w:tc>
      </w:tr>
      <w:tr>
        <w:tc>
          <w:tcPr>
            <w:tcW w:type="dxa" w:w="2592"/>
            <w:tcMar>
              <w:top w:w="70" w:type="dxa"/>
              <w:bottom w:w="70" w:type="dxa"/>
              <w:left w:w="100" w:type="dxa"/>
              <w:right w:w="100" w:type="dxa"/>
            </w:tcMar>
          </w:tcPr>
          <w:p>
            <w:r>
              <w:rPr>
                <w:b/>
                <w:sz w:val="18"/>
              </w:rPr>
              <w:t>Industrial Vision Camera</w:t>
            </w:r>
          </w:p>
        </w:tc>
        <w:tc>
          <w:tcPr>
            <w:tcW w:type="dxa" w:w="3168"/>
            <w:tcMar>
              <w:top w:w="70" w:type="dxa"/>
              <w:bottom w:w="70" w:type="dxa"/>
              <w:left w:w="100" w:type="dxa"/>
              <w:right w:w="100" w:type="dxa"/>
            </w:tcMar>
          </w:tcPr>
          <w:p>
            <w:r>
              <w:rPr>
                <w:sz w:val="18"/>
              </w:rPr>
              <w:t>3.2 MP – 5.0 MP Global Shutter CMOS (Sony Pregius), GigE Vision, IP67 enclosure</w:t>
            </w:r>
          </w:p>
        </w:tc>
        <w:tc>
          <w:tcPr>
            <w:tcW w:type="dxa" w:w="4320"/>
            <w:tcMar>
              <w:top w:w="70" w:type="dxa"/>
              <w:bottom w:w="70" w:type="dxa"/>
              <w:left w:w="100" w:type="dxa"/>
              <w:right w:w="100" w:type="dxa"/>
            </w:tcMar>
          </w:tcPr>
          <w:p>
            <w:r>
              <w:rPr>
                <w:sz w:val="18"/>
              </w:rPr>
              <w:t>Captures crystal-clear frames without motion blur as crates travel at 24 crates/min.</w:t>
            </w:r>
          </w:p>
        </w:tc>
      </w:tr>
      <w:tr>
        <w:tc>
          <w:tcPr>
            <w:tcW w:type="dxa" w:w="2592"/>
            <w:tcMar>
              <w:top w:w="70" w:type="dxa"/>
              <w:bottom w:w="70" w:type="dxa"/>
              <w:left w:w="100" w:type="dxa"/>
              <w:right w:w="100" w:type="dxa"/>
            </w:tcMar>
            <w:shd w:fill="F8FAFC"/>
          </w:tcPr>
          <w:p>
            <w:r>
              <w:rPr>
                <w:b/>
                <w:sz w:val="18"/>
              </w:rPr>
              <w:t>Optical Lens &amp; Filter</w:t>
            </w:r>
          </w:p>
        </w:tc>
        <w:tc>
          <w:tcPr>
            <w:tcW w:type="dxa" w:w="3168"/>
            <w:tcMar>
              <w:top w:w="70" w:type="dxa"/>
              <w:bottom w:w="70" w:type="dxa"/>
              <w:left w:w="100" w:type="dxa"/>
              <w:right w:w="100" w:type="dxa"/>
            </w:tcMar>
            <w:shd w:fill="F8FAFC"/>
          </w:tcPr>
          <w:p>
            <w:r>
              <w:rPr>
                <w:sz w:val="18"/>
              </w:rPr>
              <w:t>8mm / 12mm Low-Distortion C-Mount Lens + Linear / Circular Polarizer</w:t>
            </w:r>
          </w:p>
        </w:tc>
        <w:tc>
          <w:tcPr>
            <w:tcW w:type="dxa" w:w="4320"/>
            <w:tcMar>
              <w:top w:w="70" w:type="dxa"/>
              <w:bottom w:w="70" w:type="dxa"/>
              <w:left w:w="100" w:type="dxa"/>
              <w:right w:w="100" w:type="dxa"/>
            </w:tcMar>
            <w:shd w:fill="F8FAFC"/>
          </w:tcPr>
          <w:p>
            <w:r>
              <w:rPr>
                <w:sz w:val="18"/>
              </w:rPr>
              <w:t>Delivers full-crate field of view at ~750 mm WD and eliminates specular reflections from wet LDPE.</w:t>
            </w:r>
          </w:p>
        </w:tc>
      </w:tr>
      <w:tr>
        <w:tc>
          <w:tcPr>
            <w:tcW w:type="dxa" w:w="2592"/>
            <w:tcMar>
              <w:top w:w="70" w:type="dxa"/>
              <w:bottom w:w="70" w:type="dxa"/>
              <w:left w:w="100" w:type="dxa"/>
              <w:right w:w="100" w:type="dxa"/>
            </w:tcMar>
          </w:tcPr>
          <w:p>
            <w:r>
              <w:rPr>
                <w:b/>
                <w:sz w:val="18"/>
              </w:rPr>
              <w:t>Industrial Lighting</w:t>
            </w:r>
          </w:p>
        </w:tc>
        <w:tc>
          <w:tcPr>
            <w:tcW w:type="dxa" w:w="3168"/>
            <w:tcMar>
              <w:top w:w="70" w:type="dxa"/>
              <w:bottom w:w="70" w:type="dxa"/>
              <w:left w:w="100" w:type="dxa"/>
              <w:right w:w="100" w:type="dxa"/>
            </w:tcMar>
          </w:tcPr>
          <w:p>
            <w:r>
              <w:rPr>
                <w:sz w:val="18"/>
              </w:rPr>
              <w:t>High-Intensity Polarized LED Diffuse Bar/Dome Light (Food-grade IP67 housing)</w:t>
            </w:r>
          </w:p>
        </w:tc>
        <w:tc>
          <w:tcPr>
            <w:tcW w:type="dxa" w:w="4320"/>
            <w:tcMar>
              <w:top w:w="70" w:type="dxa"/>
              <w:bottom w:w="70" w:type="dxa"/>
              <w:left w:w="100" w:type="dxa"/>
              <w:right w:w="100" w:type="dxa"/>
            </w:tcMar>
          </w:tcPr>
          <w:p>
            <w:r>
              <w:rPr>
                <w:sz w:val="18"/>
              </w:rPr>
              <w:t>Overpowers dim ambient fluorescent tubes, creating uniform illumination across all shifts.</w:t>
            </w:r>
          </w:p>
        </w:tc>
      </w:tr>
      <w:tr>
        <w:tc>
          <w:tcPr>
            <w:tcW w:type="dxa" w:w="2592"/>
            <w:tcMar>
              <w:top w:w="70" w:type="dxa"/>
              <w:bottom w:w="70" w:type="dxa"/>
              <w:left w:w="100" w:type="dxa"/>
              <w:right w:w="100" w:type="dxa"/>
            </w:tcMar>
            <w:shd w:fill="F8FAFC"/>
          </w:tcPr>
          <w:p>
            <w:r>
              <w:rPr>
                <w:b/>
                <w:sz w:val="18"/>
              </w:rPr>
              <w:t>Edge AI Computing Unit</w:t>
            </w:r>
          </w:p>
        </w:tc>
        <w:tc>
          <w:tcPr>
            <w:tcW w:type="dxa" w:w="3168"/>
            <w:tcMar>
              <w:top w:w="70" w:type="dxa"/>
              <w:bottom w:w="70" w:type="dxa"/>
              <w:left w:w="100" w:type="dxa"/>
              <w:right w:w="100" w:type="dxa"/>
            </w:tcMar>
            <w:shd w:fill="F8FAFC"/>
          </w:tcPr>
          <w:p>
            <w:r>
              <w:rPr>
                <w:sz w:val="18"/>
              </w:rPr>
              <w:t>Industrial Embedded AI Box (NVIDIA Jetson Orin / Industrial PC, Fanless IP50/65)</w:t>
            </w:r>
          </w:p>
        </w:tc>
        <w:tc>
          <w:tcPr>
            <w:tcW w:type="dxa" w:w="4320"/>
            <w:tcMar>
              <w:top w:w="70" w:type="dxa"/>
              <w:bottom w:w="70" w:type="dxa"/>
              <w:left w:w="100" w:type="dxa"/>
              <w:right w:w="100" w:type="dxa"/>
            </w:tcMar>
            <w:shd w:fill="F8FAFC"/>
          </w:tcPr>
          <w:p>
            <w:r>
              <w:rPr>
                <w:sz w:val="18"/>
              </w:rPr>
              <w:t>Executes real-time YOLOv8/v11 instance segmentation and crate tracking in under 80 ms per frame.</w:t>
            </w:r>
          </w:p>
        </w:tc>
      </w:tr>
      <w:tr>
        <w:tc>
          <w:tcPr>
            <w:tcW w:type="dxa" w:w="2592"/>
            <w:tcMar>
              <w:top w:w="70" w:type="dxa"/>
              <w:bottom w:w="70" w:type="dxa"/>
              <w:left w:w="100" w:type="dxa"/>
              <w:right w:w="100" w:type="dxa"/>
            </w:tcMar>
          </w:tcPr>
          <w:p>
            <w:r>
              <w:rPr>
                <w:b/>
                <w:sz w:val="18"/>
              </w:rPr>
              <w:t>Operator Dashboard &amp; HMI</w:t>
            </w:r>
          </w:p>
        </w:tc>
        <w:tc>
          <w:tcPr>
            <w:tcW w:type="dxa" w:w="3168"/>
            <w:tcMar>
              <w:top w:w="70" w:type="dxa"/>
              <w:bottom w:w="70" w:type="dxa"/>
              <w:left w:w="100" w:type="dxa"/>
              <w:right w:w="100" w:type="dxa"/>
            </w:tcMar>
          </w:tcPr>
          <w:p>
            <w:r>
              <w:rPr>
                <w:sz w:val="18"/>
              </w:rPr>
              <w:t>10.1" / 15.6" Touch HMI Display with Local Web Dashboard &amp; Audio-Visual Stack Light</w:t>
            </w:r>
          </w:p>
        </w:tc>
        <w:tc>
          <w:tcPr>
            <w:tcW w:type="dxa" w:w="4320"/>
            <w:tcMar>
              <w:top w:w="70" w:type="dxa"/>
              <w:bottom w:w="70" w:type="dxa"/>
              <w:left w:w="100" w:type="dxa"/>
              <w:right w:w="100" w:type="dxa"/>
            </w:tcMar>
          </w:tcPr>
          <w:p>
            <w:r>
              <w:rPr>
                <w:sz w:val="18"/>
              </w:rPr>
              <w:t>Displays live packet counts, variant status, shift totals, and triggers immediate alarms if a crate is underfilled.</w:t>
            </w:r>
          </w:p>
        </w:tc>
      </w:tr>
    </w:tbl>
    <w:p>
      <w:pPr>
        <w:spacing w:after="160"/>
      </w:pPr>
    </w:p>
    <w:p>
      <w:pPr>
        <w:keepNext/>
        <w:spacing w:before="200" w:after="60"/>
      </w:pPr>
      <w:r>
        <w:rPr>
          <w:b/>
          <w:color w:val="0066B3"/>
          <w:sz w:val="22"/>
        </w:rPr>
        <w:t>4.1 Computer Vision &amp; Machine Learning Pipeline</w:t>
      </w:r>
    </w:p>
    <w:p>
      <w:pPr>
        <w:pStyle w:val="ListBullet"/>
        <w:spacing w:after="60"/>
      </w:pPr>
      <w:r>
        <w:rPr>
          <w:b/>
          <w:sz w:val="19"/>
        </w:rPr>
        <w:t xml:space="preserve">Step 1: Crate Entry Detection &amp; Spatial Triggering — </w:t>
      </w:r>
      <w:r>
        <w:rPr>
          <w:sz w:val="19"/>
        </w:rPr>
        <w:t>An optical retro-reflective sensor or continuous software edge-detector identifies the entry of a crate into the inspection zone, initializing a unique Crate ID.</w:t>
      </w:r>
    </w:p>
    <w:p>
      <w:pPr>
        <w:pStyle w:val="ListBullet"/>
        <w:spacing w:after="60"/>
      </w:pPr>
      <w:r>
        <w:rPr>
          <w:b/>
          <w:sz w:val="19"/>
        </w:rPr>
        <w:t xml:space="preserve">Step 2: Region of Interest (ROI) Alignment &amp; Boundary Delineation — </w:t>
      </w:r>
      <w:r>
        <w:rPr>
          <w:sz w:val="19"/>
        </w:rPr>
        <w:t>The system locks onto the crate perimeter (565 mm × 300 mm), isolating internal contents even when consecutive crates travel abutting each other.</w:t>
      </w:r>
    </w:p>
    <w:p>
      <w:pPr>
        <w:pStyle w:val="ListBullet"/>
        <w:spacing w:after="60"/>
      </w:pPr>
      <w:r>
        <w:rPr>
          <w:b/>
          <w:sz w:val="19"/>
        </w:rPr>
        <w:t xml:space="preserve">Step 3: Deep Learning Instance Segmentation — </w:t>
      </w:r>
      <w:r>
        <w:rPr>
          <w:sz w:val="19"/>
        </w:rPr>
        <w:t>A custom YOLO-based segmentation neural network isolates each individual 500 ml pillow pouch, identifying overlapping fin seals, folded corners, and lay-flat body boundaries.</w:t>
      </w:r>
    </w:p>
    <w:p>
      <w:pPr>
        <w:pStyle w:val="ListBullet"/>
        <w:spacing w:after="60"/>
      </w:pPr>
      <w:r>
        <w:rPr>
          <w:b/>
          <w:sz w:val="19"/>
        </w:rPr>
        <w:t xml:space="preserve">Step 4: Variant Classification — </w:t>
      </w:r>
      <w:r>
        <w:rPr>
          <w:sz w:val="19"/>
        </w:rPr>
        <w:t>A multi-spectral color classification algorithm categorizes the crate batch into Orange, Violet, or Green milk with 99.8%+ confidence.</w:t>
      </w:r>
    </w:p>
    <w:p>
      <w:pPr>
        <w:pStyle w:val="ListBullet"/>
        <w:spacing w:after="60"/>
      </w:pPr>
      <w:r>
        <w:rPr>
          <w:b/>
          <w:sz w:val="19"/>
        </w:rPr>
        <w:t xml:space="preserve">Step 5: Counting Logic &amp; Validation — </w:t>
      </w:r>
      <w:r>
        <w:rPr>
          <w:sz w:val="19"/>
        </w:rPr>
        <w:t>Total detected pouch instances are tallied against the nominal target (20 pouches). If count == 20, crate is marked 'PASSED'; if count &lt; 20 or &gt; 20, the crate is flagged with an immediate visual alert and timestamped audit snapshot.</w:t>
      </w:r>
    </w:p>
    <w:p>
      <w:pPr>
        <w:pStyle w:val="ListBullet"/>
        <w:spacing w:after="60"/>
      </w:pPr>
      <w:r>
        <w:rPr>
          <w:b/>
          <w:sz w:val="19"/>
        </w:rPr>
        <w:t xml:space="preserve">Step 6: Shift Aggregation &amp; Cloud / ERP Sync — </w:t>
      </w:r>
      <w:r>
        <w:rPr>
          <w:sz w:val="19"/>
        </w:rPr>
        <w:t>Counts are committed to a tamper-proof local SQLite/PostgreSQL database and forwarded to Milma's central reporting dashboard via REST API / MQTT.</w:t>
      </w:r>
    </w:p>
    <w:p>
      <w:pPr>
        <w:spacing w:after="160"/>
      </w:pPr>
    </w:p>
    <w:p>
      <w:pPr>
        <w:keepNext/>
        <w:spacing w:before="320" w:after="120"/>
        <w:pBdr>
          <w:bottom w:val="single" w:sz="6" w:space="2" w:color="CBD5E1"/>
        </w:pBdr>
      </w:pPr>
      <w:r>
        <w:rPr>
          <w:b/>
          <w:color w:val="0F2A4A"/>
          <w:sz w:val="26"/>
        </w:rPr>
        <w:t>5. Project Implementation Plan &amp; Milestone Roadmap</w:t>
      </w:r>
    </w:p>
    <w:p>
      <w:pPr>
        <w:spacing w:after="120"/>
      </w:pPr>
      <w:r>
        <w:t>Goose Industrial Solutions proposes a structured 8-week implementation timeline from dataset receipt to full production sign-off. The project is structured into five distinct phases to ensure minimal disruption to daily plant operations:</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2520"/>
        <w:gridCol w:w="2520"/>
        <w:gridCol w:w="2520"/>
        <w:gridCol w:w="2520"/>
      </w:tblGrid>
      <w:tr>
        <w:tc>
          <w:tcPr>
            <w:tcW w:type="dxa" w:w="1728"/>
            <w:tcMar>
              <w:top w:w="70" w:type="dxa"/>
              <w:bottom w:w="70" w:type="dxa"/>
              <w:left w:w="90" w:type="dxa"/>
              <w:right w:w="90" w:type="dxa"/>
            </w:tcMar>
            <w:shd w:fill="0F2A4A"/>
          </w:tcPr>
          <w:p>
            <w:r>
              <w:rPr>
                <w:b/>
                <w:color w:val="FFFFFF"/>
                <w:sz w:val="18"/>
              </w:rPr>
              <w:t>Phase</w:t>
            </w:r>
          </w:p>
        </w:tc>
        <w:tc>
          <w:tcPr>
            <w:tcW w:type="dxa" w:w="2592"/>
            <w:tcMar>
              <w:top w:w="70" w:type="dxa"/>
              <w:bottom w:w="70" w:type="dxa"/>
              <w:left w:w="90" w:type="dxa"/>
              <w:right w:w="90" w:type="dxa"/>
            </w:tcMar>
            <w:shd w:fill="0F2A4A"/>
          </w:tcPr>
          <w:p>
            <w:r>
              <w:rPr>
                <w:b/>
                <w:color w:val="FFFFFF"/>
                <w:sz w:val="18"/>
              </w:rPr>
              <w:t>Milestone Focus</w:t>
            </w:r>
          </w:p>
        </w:tc>
        <w:tc>
          <w:tcPr>
            <w:tcW w:type="dxa" w:w="4032"/>
            <w:tcMar>
              <w:top w:w="70" w:type="dxa"/>
              <w:bottom w:w="70" w:type="dxa"/>
              <w:left w:w="90" w:type="dxa"/>
              <w:right w:w="90" w:type="dxa"/>
            </w:tcMar>
            <w:shd w:fill="0F2A4A"/>
          </w:tcPr>
          <w:p>
            <w:r>
              <w:rPr>
                <w:b/>
                <w:color w:val="FFFFFF"/>
                <w:sz w:val="18"/>
              </w:rPr>
              <w:t>Key Deliverables &amp; Action Items</w:t>
            </w:r>
          </w:p>
        </w:tc>
        <w:tc>
          <w:tcPr>
            <w:tcW w:type="dxa" w:w="1728"/>
            <w:tcMar>
              <w:top w:w="70" w:type="dxa"/>
              <w:bottom w:w="70" w:type="dxa"/>
              <w:left w:w="90" w:type="dxa"/>
              <w:right w:w="90" w:type="dxa"/>
            </w:tcMar>
            <w:shd w:fill="0F2A4A"/>
          </w:tcPr>
          <w:p>
            <w:r>
              <w:rPr>
                <w:b/>
                <w:color w:val="FFFFFF"/>
                <w:sz w:val="18"/>
              </w:rPr>
              <w:t>Duration</w:t>
            </w:r>
          </w:p>
        </w:tc>
      </w:tr>
      <w:tr>
        <w:tc>
          <w:tcPr>
            <w:tcW w:type="dxa" w:w="1728"/>
            <w:tcMar>
              <w:top w:w="70" w:type="dxa"/>
              <w:bottom w:w="70" w:type="dxa"/>
              <w:left w:w="90" w:type="dxa"/>
              <w:right w:w="90" w:type="dxa"/>
            </w:tcMar>
          </w:tcPr>
          <w:p>
            <w:r>
              <w:rPr>
                <w:b/>
                <w:sz w:val="18"/>
              </w:rPr>
              <w:t>Phase 1</w:t>
            </w:r>
          </w:p>
        </w:tc>
        <w:tc>
          <w:tcPr>
            <w:tcW w:type="dxa" w:w="2592"/>
            <w:tcMar>
              <w:top w:w="70" w:type="dxa"/>
              <w:bottom w:w="70" w:type="dxa"/>
              <w:left w:w="90" w:type="dxa"/>
              <w:right w:w="90" w:type="dxa"/>
            </w:tcMar>
          </w:tcPr>
          <w:p>
            <w:r>
              <w:rPr>
                <w:b/>
                <w:color w:val="0F2A4A"/>
                <w:sz w:val="18"/>
              </w:rPr>
              <w:t>Data Acquisition &amp; Ground Truth Labelling</w:t>
            </w:r>
          </w:p>
        </w:tc>
        <w:tc>
          <w:tcPr>
            <w:tcW w:type="dxa" w:w="4032"/>
            <w:tcMar>
              <w:top w:w="70" w:type="dxa"/>
              <w:bottom w:w="70" w:type="dxa"/>
              <w:left w:w="90" w:type="dxa"/>
              <w:right w:w="90" w:type="dxa"/>
            </w:tcMar>
          </w:tcPr>
          <w:p>
            <w:r>
              <w:rPr>
                <w:sz w:val="17"/>
              </w:rPr>
              <w:t>Collect 2,000+ photos and videos across Orange, Violet, and Green runs. Image augmentation, bounding annotation, and segmentation polygon tagging.</w:t>
            </w:r>
          </w:p>
        </w:tc>
        <w:tc>
          <w:tcPr>
            <w:tcW w:type="dxa" w:w="1728"/>
            <w:tcMar>
              <w:top w:w="70" w:type="dxa"/>
              <w:bottom w:w="70" w:type="dxa"/>
              <w:left w:w="90" w:type="dxa"/>
              <w:right w:w="90" w:type="dxa"/>
            </w:tcMar>
          </w:tcPr>
          <w:p>
            <w:r>
              <w:rPr>
                <w:b/>
                <w:color w:val="0066B3"/>
                <w:sz w:val="18"/>
              </w:rPr>
              <w:t>Weeks 1 – 2</w:t>
            </w:r>
          </w:p>
        </w:tc>
      </w:tr>
      <w:tr>
        <w:tc>
          <w:tcPr>
            <w:tcW w:type="dxa" w:w="1728"/>
            <w:tcMar>
              <w:top w:w="70" w:type="dxa"/>
              <w:bottom w:w="70" w:type="dxa"/>
              <w:left w:w="90" w:type="dxa"/>
              <w:right w:w="90" w:type="dxa"/>
            </w:tcMar>
            <w:shd w:fill="F8FAFC"/>
          </w:tcPr>
          <w:p>
            <w:r>
              <w:rPr>
                <w:b/>
                <w:sz w:val="18"/>
              </w:rPr>
              <w:t>Phase 2</w:t>
            </w:r>
          </w:p>
        </w:tc>
        <w:tc>
          <w:tcPr>
            <w:tcW w:type="dxa" w:w="2592"/>
            <w:tcMar>
              <w:top w:w="70" w:type="dxa"/>
              <w:bottom w:w="70" w:type="dxa"/>
              <w:left w:w="90" w:type="dxa"/>
              <w:right w:w="90" w:type="dxa"/>
            </w:tcMar>
            <w:shd w:fill="F8FAFC"/>
          </w:tcPr>
          <w:p>
            <w:r>
              <w:rPr>
                <w:b/>
                <w:color w:val="0F2A4A"/>
                <w:sz w:val="18"/>
              </w:rPr>
              <w:t>AI Model Training &amp; Edge Optimization</w:t>
            </w:r>
          </w:p>
        </w:tc>
        <w:tc>
          <w:tcPr>
            <w:tcW w:type="dxa" w:w="4032"/>
            <w:tcMar>
              <w:top w:w="70" w:type="dxa"/>
              <w:bottom w:w="70" w:type="dxa"/>
              <w:left w:w="90" w:type="dxa"/>
              <w:right w:w="90" w:type="dxa"/>
            </w:tcMar>
            <w:shd w:fill="F8FAFC"/>
          </w:tcPr>
          <w:p>
            <w:r>
              <w:rPr>
                <w:sz w:val="17"/>
              </w:rPr>
              <w:t>Train deep learning segmentation models. Hyperparameter tuning for overlapping pouches. Model quantization (INT8/FP16 TensorRT) for high-speed edge inference.</w:t>
            </w:r>
          </w:p>
        </w:tc>
        <w:tc>
          <w:tcPr>
            <w:tcW w:type="dxa" w:w="1728"/>
            <w:tcMar>
              <w:top w:w="70" w:type="dxa"/>
              <w:bottom w:w="70" w:type="dxa"/>
              <w:left w:w="90" w:type="dxa"/>
              <w:right w:w="90" w:type="dxa"/>
            </w:tcMar>
            <w:shd w:fill="F8FAFC"/>
          </w:tcPr>
          <w:p>
            <w:r>
              <w:rPr>
                <w:b/>
                <w:color w:val="0066B3"/>
                <w:sz w:val="18"/>
              </w:rPr>
              <w:t>Weeks 3 – 4</w:t>
            </w:r>
          </w:p>
        </w:tc>
      </w:tr>
      <w:tr>
        <w:tc>
          <w:tcPr>
            <w:tcW w:type="dxa" w:w="1728"/>
            <w:tcMar>
              <w:top w:w="70" w:type="dxa"/>
              <w:bottom w:w="70" w:type="dxa"/>
              <w:left w:w="90" w:type="dxa"/>
              <w:right w:w="90" w:type="dxa"/>
            </w:tcMar>
          </w:tcPr>
          <w:p>
            <w:r>
              <w:rPr>
                <w:b/>
                <w:sz w:val="18"/>
              </w:rPr>
              <w:t>Phase 3</w:t>
            </w:r>
          </w:p>
        </w:tc>
        <w:tc>
          <w:tcPr>
            <w:tcW w:type="dxa" w:w="2592"/>
            <w:tcMar>
              <w:top w:w="70" w:type="dxa"/>
              <w:bottom w:w="70" w:type="dxa"/>
              <w:left w:w="90" w:type="dxa"/>
              <w:right w:w="90" w:type="dxa"/>
            </w:tcMar>
          </w:tcPr>
          <w:p>
            <w:r>
              <w:rPr>
                <w:b/>
                <w:color w:val="0F2A4A"/>
                <w:sz w:val="18"/>
              </w:rPr>
              <w:t>Hardware Rig Staging &amp; Pre-Commissioning</w:t>
            </w:r>
          </w:p>
        </w:tc>
        <w:tc>
          <w:tcPr>
            <w:tcW w:type="dxa" w:w="4032"/>
            <w:tcMar>
              <w:top w:w="70" w:type="dxa"/>
              <w:bottom w:w="70" w:type="dxa"/>
              <w:left w:w="90" w:type="dxa"/>
              <w:right w:w="90" w:type="dxa"/>
            </w:tcMar>
          </w:tcPr>
          <w:p>
            <w:r>
              <w:rPr>
                <w:sz w:val="17"/>
              </w:rPr>
              <w:t>Fabrication of IP65/IP67 camera enclosure, mounting bracket assembly, polarized lighting setup, and Edge AI box bench testing in lab.</w:t>
            </w:r>
          </w:p>
        </w:tc>
        <w:tc>
          <w:tcPr>
            <w:tcW w:type="dxa" w:w="1728"/>
            <w:tcMar>
              <w:top w:w="70" w:type="dxa"/>
              <w:bottom w:w="70" w:type="dxa"/>
              <w:left w:w="90" w:type="dxa"/>
              <w:right w:w="90" w:type="dxa"/>
            </w:tcMar>
          </w:tcPr>
          <w:p>
            <w:r>
              <w:rPr>
                <w:b/>
                <w:color w:val="0066B3"/>
                <w:sz w:val="18"/>
              </w:rPr>
              <w:t>Weeks 4 – 5</w:t>
            </w:r>
          </w:p>
        </w:tc>
      </w:tr>
      <w:tr>
        <w:tc>
          <w:tcPr>
            <w:tcW w:type="dxa" w:w="1728"/>
            <w:tcMar>
              <w:top w:w="70" w:type="dxa"/>
              <w:bottom w:w="70" w:type="dxa"/>
              <w:left w:w="90" w:type="dxa"/>
              <w:right w:w="90" w:type="dxa"/>
            </w:tcMar>
            <w:shd w:fill="F8FAFC"/>
          </w:tcPr>
          <w:p>
            <w:r>
              <w:rPr>
                <w:b/>
                <w:sz w:val="18"/>
              </w:rPr>
              <w:t>Phase 4</w:t>
            </w:r>
          </w:p>
        </w:tc>
        <w:tc>
          <w:tcPr>
            <w:tcW w:type="dxa" w:w="2592"/>
            <w:tcMar>
              <w:top w:w="70" w:type="dxa"/>
              <w:bottom w:w="70" w:type="dxa"/>
              <w:left w:w="90" w:type="dxa"/>
              <w:right w:w="90" w:type="dxa"/>
            </w:tcMar>
            <w:shd w:fill="F8FAFC"/>
          </w:tcPr>
          <w:p>
            <w:r>
              <w:rPr>
                <w:b/>
                <w:color w:val="0F2A4A"/>
                <w:sz w:val="18"/>
              </w:rPr>
              <w:t>On-Site Installation &amp; Calibration</w:t>
            </w:r>
          </w:p>
        </w:tc>
        <w:tc>
          <w:tcPr>
            <w:tcW w:type="dxa" w:w="4032"/>
            <w:tcMar>
              <w:top w:w="70" w:type="dxa"/>
              <w:bottom w:w="70" w:type="dxa"/>
              <w:left w:w="90" w:type="dxa"/>
              <w:right w:w="90" w:type="dxa"/>
            </w:tcMar>
            <w:shd w:fill="F8FAFC"/>
          </w:tcPr>
          <w:p>
            <w:r>
              <w:rPr>
                <w:sz w:val="17"/>
              </w:rPr>
              <w:t>Physical installation at Kottayam plant line. Optical calibration, fine-tuning under live production conveyor (24 crates/min), latency benchmarking.</w:t>
            </w:r>
          </w:p>
        </w:tc>
        <w:tc>
          <w:tcPr>
            <w:tcW w:type="dxa" w:w="1728"/>
            <w:tcMar>
              <w:top w:w="70" w:type="dxa"/>
              <w:bottom w:w="70" w:type="dxa"/>
              <w:left w:w="90" w:type="dxa"/>
              <w:right w:w="90" w:type="dxa"/>
            </w:tcMar>
            <w:shd w:fill="F8FAFC"/>
          </w:tcPr>
          <w:p>
            <w:r>
              <w:rPr>
                <w:b/>
                <w:color w:val="0066B3"/>
                <w:sz w:val="18"/>
              </w:rPr>
              <w:t>Weeks 6 – 7</w:t>
            </w:r>
          </w:p>
        </w:tc>
      </w:tr>
      <w:tr>
        <w:tc>
          <w:tcPr>
            <w:tcW w:type="dxa" w:w="1728"/>
            <w:tcMar>
              <w:top w:w="70" w:type="dxa"/>
              <w:bottom w:w="70" w:type="dxa"/>
              <w:left w:w="90" w:type="dxa"/>
              <w:right w:w="90" w:type="dxa"/>
            </w:tcMar>
          </w:tcPr>
          <w:p>
            <w:r>
              <w:rPr>
                <w:b/>
                <w:sz w:val="18"/>
              </w:rPr>
              <w:t>Phase 5</w:t>
            </w:r>
          </w:p>
        </w:tc>
        <w:tc>
          <w:tcPr>
            <w:tcW w:type="dxa" w:w="2592"/>
            <w:tcMar>
              <w:top w:w="70" w:type="dxa"/>
              <w:bottom w:w="70" w:type="dxa"/>
              <w:left w:w="90" w:type="dxa"/>
              <w:right w:w="90" w:type="dxa"/>
            </w:tcMar>
          </w:tcPr>
          <w:p>
            <w:r>
              <w:rPr>
                <w:b/>
                <w:color w:val="0F2A4A"/>
                <w:sz w:val="18"/>
              </w:rPr>
              <w:t>UAT, Shift Validation &amp; Full Handover</w:t>
            </w:r>
          </w:p>
        </w:tc>
        <w:tc>
          <w:tcPr>
            <w:tcW w:type="dxa" w:w="4032"/>
            <w:tcMar>
              <w:top w:w="70" w:type="dxa"/>
              <w:bottom w:w="70" w:type="dxa"/>
              <w:left w:w="90" w:type="dxa"/>
              <w:right w:w="90" w:type="dxa"/>
            </w:tcMar>
          </w:tcPr>
          <w:p>
            <w:r>
              <w:rPr>
                <w:sz w:val="17"/>
              </w:rPr>
              <w:t>Continuous shift testing during Shift 1 (07:30–15:30). Accuracy reconciliation against physical counts. Operator training, dashboard deployment &amp; sign-off.</w:t>
            </w:r>
          </w:p>
        </w:tc>
        <w:tc>
          <w:tcPr>
            <w:tcW w:type="dxa" w:w="1728"/>
            <w:tcMar>
              <w:top w:w="70" w:type="dxa"/>
              <w:bottom w:w="70" w:type="dxa"/>
              <w:left w:w="90" w:type="dxa"/>
              <w:right w:w="90" w:type="dxa"/>
            </w:tcMar>
          </w:tcPr>
          <w:p>
            <w:r>
              <w:rPr>
                <w:b/>
                <w:color w:val="0066B3"/>
                <w:sz w:val="18"/>
              </w:rPr>
              <w:t>Weeks 8 – 9</w:t>
            </w:r>
          </w:p>
        </w:tc>
      </w:tr>
    </w:tbl>
    <w:p>
      <w:pPr>
        <w:spacing w:after="160"/>
      </w:pPr>
    </w:p>
    <w:p>
      <w:pPr>
        <w:keepNext/>
        <w:spacing w:before="320" w:after="120"/>
        <w:pBdr>
          <w:bottom w:val="single" w:sz="6" w:space="2" w:color="CBD5E1"/>
        </w:pBdr>
      </w:pPr>
      <w:r>
        <w:rPr>
          <w:b/>
          <w:color w:val="0F2A4A"/>
          <w:sz w:val="26"/>
        </w:rPr>
        <w:t>6. Key Performance Indicators (KPIs) &amp; Acceptance Criteria</w:t>
      </w:r>
    </w:p>
    <w:p>
      <w:pPr>
        <w:spacing w:after="120"/>
      </w:pPr>
      <w:r>
        <w:t>To satisfy the client's stated objective of 'maximum accuracy', the system will be evaluated against the following benchmark criteria:</w:t>
      </w:r>
    </w:p>
    <w:tbl>
      <w:tblPr>
        <w:tblW w:type="auto" w:w="0"/>
        <w:jc w:val="center"/>
        <w:tblLayout w:type="fixed"/>
        <w:tblLook w:firstColumn="1" w:firstRow="1" w:lastColumn="0" w:lastRow="0" w:noHBand="0" w:noVBand="1" w:val="04A0"/>
        <w:tblBorders>
          <w:top w:val="single" w:sz="6" w:space="0" w:color="0F2A4A"/>
          <w:bottom w:val="single" w:sz="6" w:space="0" w:color="0F2A4A"/>
          <w:left w:val="none"/>
          <w:right w:val="none"/>
          <w:insideH w:val="single" w:sz="4" w:space="0" w:color="CBD5E1"/>
          <w:insideV w:val="none"/>
        </w:tblBorders>
      </w:tblPr>
      <w:tblGrid>
        <w:gridCol w:w="3360"/>
        <w:gridCol w:w="3360"/>
        <w:gridCol w:w="3360"/>
      </w:tblGrid>
      <w:tr>
        <w:tc>
          <w:tcPr>
            <w:tcW w:type="dxa" w:w="3168"/>
            <w:tcMar>
              <w:top w:w="70" w:type="dxa"/>
              <w:bottom w:w="70" w:type="dxa"/>
              <w:left w:w="100" w:type="dxa"/>
              <w:right w:w="100" w:type="dxa"/>
            </w:tcMar>
            <w:shd w:fill="0F2A4A"/>
          </w:tcPr>
          <w:p>
            <w:r>
              <w:rPr>
                <w:b/>
                <w:color w:val="FFFFFF"/>
                <w:sz w:val="19"/>
              </w:rPr>
              <w:t>Performance Metric</w:t>
            </w:r>
          </w:p>
        </w:tc>
        <w:tc>
          <w:tcPr>
            <w:tcW w:type="dxa" w:w="2592"/>
            <w:tcMar>
              <w:top w:w="70" w:type="dxa"/>
              <w:bottom w:w="70" w:type="dxa"/>
              <w:left w:w="100" w:type="dxa"/>
              <w:right w:w="100" w:type="dxa"/>
            </w:tcMar>
            <w:shd w:fill="0F2A4A"/>
          </w:tcPr>
          <w:p>
            <w:r>
              <w:rPr>
                <w:b/>
                <w:color w:val="FFFFFF"/>
                <w:sz w:val="19"/>
              </w:rPr>
              <w:t>Target SLA / KPI</w:t>
            </w:r>
          </w:p>
        </w:tc>
        <w:tc>
          <w:tcPr>
            <w:tcW w:type="dxa" w:w="4320"/>
            <w:tcMar>
              <w:top w:w="70" w:type="dxa"/>
              <w:bottom w:w="70" w:type="dxa"/>
              <w:left w:w="100" w:type="dxa"/>
              <w:right w:w="100" w:type="dxa"/>
            </w:tcMar>
            <w:shd w:fill="0F2A4A"/>
          </w:tcPr>
          <w:p>
            <w:r>
              <w:rPr>
                <w:b/>
                <w:color w:val="FFFFFF"/>
                <w:sz w:val="19"/>
              </w:rPr>
              <w:t>Measurement Methodology</w:t>
            </w:r>
          </w:p>
        </w:tc>
      </w:tr>
      <w:tr>
        <w:tc>
          <w:tcPr>
            <w:tcW w:type="dxa" w:w="3168"/>
            <w:tcMar>
              <w:top w:w="70" w:type="dxa"/>
              <w:bottom w:w="70" w:type="dxa"/>
              <w:left w:w="100" w:type="dxa"/>
              <w:right w:w="100" w:type="dxa"/>
            </w:tcMar>
          </w:tcPr>
          <w:p>
            <w:r>
              <w:rPr>
                <w:b/>
                <w:sz w:val="18"/>
              </w:rPr>
              <w:t>Packet Counting Accuracy</w:t>
            </w:r>
          </w:p>
        </w:tc>
        <w:tc>
          <w:tcPr>
            <w:tcW w:type="dxa" w:w="2592"/>
            <w:tcMar>
              <w:top w:w="70" w:type="dxa"/>
              <w:bottom w:w="70" w:type="dxa"/>
              <w:left w:w="100" w:type="dxa"/>
              <w:right w:w="100" w:type="dxa"/>
            </w:tcMar>
          </w:tcPr>
          <w:p>
            <w:r>
              <w:rPr>
                <w:b/>
                <w:color w:val="0066B3"/>
                <w:sz w:val="18"/>
              </w:rPr>
              <w:t>≥ 99.5%</w:t>
            </w:r>
          </w:p>
        </w:tc>
        <w:tc>
          <w:tcPr>
            <w:tcW w:type="dxa" w:w="4320"/>
            <w:tcMar>
              <w:top w:w="70" w:type="dxa"/>
              <w:bottom w:w="70" w:type="dxa"/>
              <w:left w:w="100" w:type="dxa"/>
              <w:right w:w="100" w:type="dxa"/>
            </w:tcMar>
          </w:tcPr>
          <w:p>
            <w:r>
              <w:rPr>
                <w:sz w:val="18"/>
              </w:rPr>
              <w:t>Evaluated over 10,000 continuous crates compared against physical audit count.</w:t>
            </w:r>
          </w:p>
        </w:tc>
      </w:tr>
      <w:tr>
        <w:tc>
          <w:tcPr>
            <w:tcW w:type="dxa" w:w="3168"/>
            <w:tcMar>
              <w:top w:w="70" w:type="dxa"/>
              <w:bottom w:w="70" w:type="dxa"/>
              <w:left w:w="100" w:type="dxa"/>
              <w:right w:w="100" w:type="dxa"/>
            </w:tcMar>
            <w:shd w:fill="F8FAFC"/>
          </w:tcPr>
          <w:p>
            <w:r>
              <w:rPr>
                <w:b/>
                <w:sz w:val="18"/>
              </w:rPr>
              <w:t>Variant Classification Accuracy</w:t>
            </w:r>
          </w:p>
        </w:tc>
        <w:tc>
          <w:tcPr>
            <w:tcW w:type="dxa" w:w="2592"/>
            <w:tcMar>
              <w:top w:w="70" w:type="dxa"/>
              <w:bottom w:w="70" w:type="dxa"/>
              <w:left w:w="100" w:type="dxa"/>
              <w:right w:w="100" w:type="dxa"/>
            </w:tcMar>
            <w:shd w:fill="F8FAFC"/>
          </w:tcPr>
          <w:p>
            <w:r>
              <w:rPr>
                <w:b/>
                <w:color w:val="0066B3"/>
                <w:sz w:val="18"/>
              </w:rPr>
              <w:t>≥ 99.8%</w:t>
            </w:r>
          </w:p>
        </w:tc>
        <w:tc>
          <w:tcPr>
            <w:tcW w:type="dxa" w:w="4320"/>
            <w:tcMar>
              <w:top w:w="70" w:type="dxa"/>
              <w:bottom w:w="70" w:type="dxa"/>
              <w:left w:w="100" w:type="dxa"/>
              <w:right w:w="100" w:type="dxa"/>
            </w:tcMar>
            <w:shd w:fill="F8FAFC"/>
          </w:tcPr>
          <w:p>
            <w:r>
              <w:rPr>
                <w:sz w:val="18"/>
              </w:rPr>
              <w:t>Automatic verification of Orange vs. Violet vs. Green crates.</w:t>
            </w:r>
          </w:p>
        </w:tc>
      </w:tr>
      <w:tr>
        <w:tc>
          <w:tcPr>
            <w:tcW w:type="dxa" w:w="3168"/>
            <w:tcMar>
              <w:top w:w="70" w:type="dxa"/>
              <w:bottom w:w="70" w:type="dxa"/>
              <w:left w:w="100" w:type="dxa"/>
              <w:right w:w="100" w:type="dxa"/>
            </w:tcMar>
          </w:tcPr>
          <w:p>
            <w:r>
              <w:rPr>
                <w:b/>
                <w:sz w:val="18"/>
              </w:rPr>
              <w:t>Inference Latency</w:t>
            </w:r>
          </w:p>
        </w:tc>
        <w:tc>
          <w:tcPr>
            <w:tcW w:type="dxa" w:w="2592"/>
            <w:tcMar>
              <w:top w:w="70" w:type="dxa"/>
              <w:bottom w:w="70" w:type="dxa"/>
              <w:left w:w="100" w:type="dxa"/>
              <w:right w:w="100" w:type="dxa"/>
            </w:tcMar>
          </w:tcPr>
          <w:p>
            <w:r>
              <w:rPr>
                <w:b/>
                <w:color w:val="0066B3"/>
                <w:sz w:val="18"/>
              </w:rPr>
              <w:t>&lt; 100 milliseconds</w:t>
            </w:r>
          </w:p>
        </w:tc>
        <w:tc>
          <w:tcPr>
            <w:tcW w:type="dxa" w:w="4320"/>
            <w:tcMar>
              <w:top w:w="70" w:type="dxa"/>
              <w:bottom w:w="70" w:type="dxa"/>
              <w:left w:w="100" w:type="dxa"/>
              <w:right w:w="100" w:type="dxa"/>
            </w:tcMar>
          </w:tcPr>
          <w:p>
            <w:r>
              <w:rPr>
                <w:sz w:val="18"/>
              </w:rPr>
              <w:t>Complete processing time per crate; comfortably exceeds 2.5s crate cycle.</w:t>
            </w:r>
          </w:p>
        </w:tc>
      </w:tr>
      <w:tr>
        <w:tc>
          <w:tcPr>
            <w:tcW w:type="dxa" w:w="3168"/>
            <w:tcMar>
              <w:top w:w="70" w:type="dxa"/>
              <w:bottom w:w="70" w:type="dxa"/>
              <w:left w:w="100" w:type="dxa"/>
              <w:right w:w="100" w:type="dxa"/>
            </w:tcMar>
            <w:shd w:fill="F8FAFC"/>
          </w:tcPr>
          <w:p>
            <w:r>
              <w:rPr>
                <w:b/>
                <w:sz w:val="18"/>
              </w:rPr>
              <w:t>Underfill / Anomaly Detection</w:t>
            </w:r>
          </w:p>
        </w:tc>
        <w:tc>
          <w:tcPr>
            <w:tcW w:type="dxa" w:w="2592"/>
            <w:tcMar>
              <w:top w:w="70" w:type="dxa"/>
              <w:bottom w:w="70" w:type="dxa"/>
              <w:left w:w="100" w:type="dxa"/>
              <w:right w:w="100" w:type="dxa"/>
            </w:tcMar>
            <w:shd w:fill="F8FAFC"/>
          </w:tcPr>
          <w:p>
            <w:r>
              <w:rPr>
                <w:b/>
                <w:color w:val="0066B3"/>
                <w:sz w:val="18"/>
              </w:rPr>
              <w:t>≥ 99.0%</w:t>
            </w:r>
          </w:p>
        </w:tc>
        <w:tc>
          <w:tcPr>
            <w:tcW w:type="dxa" w:w="4320"/>
            <w:tcMar>
              <w:top w:w="70" w:type="dxa"/>
              <w:bottom w:w="70" w:type="dxa"/>
              <w:left w:w="100" w:type="dxa"/>
              <w:right w:w="100" w:type="dxa"/>
            </w:tcMar>
            <w:shd w:fill="F8FAFC"/>
          </w:tcPr>
          <w:p>
            <w:r>
              <w:rPr>
                <w:sz w:val="18"/>
              </w:rPr>
              <w:t>Immediate trigger of visual/audio alert whenever a crate contains &lt; 20 packets.</w:t>
            </w:r>
          </w:p>
        </w:tc>
      </w:tr>
    </w:tbl>
    <w:p>
      <w:pPr>
        <w:spacing w:after="160"/>
      </w:pPr>
    </w:p>
    <w:p>
      <w:pPr>
        <w:keepNext/>
        <w:spacing w:before="320" w:after="120"/>
        <w:pBdr>
          <w:bottom w:val="single" w:sz="6" w:space="2" w:color="CBD5E1"/>
        </w:pBdr>
      </w:pPr>
      <w:r>
        <w:rPr>
          <w:b/>
          <w:color w:val="0F2A4A"/>
          <w:sz w:val="26"/>
        </w:rPr>
        <w:t>7. Summary of Deliverables from Goose Industrial Solutions</w:t>
      </w:r>
    </w:p>
    <w:p>
      <w:pPr>
        <w:pStyle w:val="ListBullet"/>
        <w:spacing w:after="60"/>
      </w:pPr>
      <w:r>
        <w:rPr>
          <w:b/>
          <w:sz w:val="19"/>
        </w:rPr>
        <w:t xml:space="preserve">Industrial Vision Hardware Unit: </w:t>
      </w:r>
      <w:r>
        <w:rPr>
          <w:sz w:val="19"/>
        </w:rPr>
        <w:t>Food-grade IP65/67 sealed vision camera, cross-polarized LED illuminator, custom C-mount bracket, and photoelectric trigger assembly.</w:t>
      </w:r>
    </w:p>
    <w:p>
      <w:pPr>
        <w:pStyle w:val="ListBullet"/>
        <w:spacing w:after="60"/>
      </w:pPr>
      <w:r>
        <w:rPr>
          <w:b/>
          <w:sz w:val="19"/>
        </w:rPr>
        <w:t xml:space="preserve">Edge AI Processing Station: </w:t>
      </w:r>
      <w:r>
        <w:rPr>
          <w:sz w:val="19"/>
        </w:rPr>
        <w:t>Industrial Edge Computer with pre-installed, optimized YOLO inference engine, database storage, and automated backup routines.</w:t>
      </w:r>
    </w:p>
    <w:p>
      <w:pPr>
        <w:pStyle w:val="ListBullet"/>
        <w:spacing w:after="60"/>
      </w:pPr>
      <w:r>
        <w:rPr>
          <w:b/>
          <w:sz w:val="19"/>
        </w:rPr>
        <w:t xml:space="preserve">Custom Operator HMI &amp; Web Dashboard: </w:t>
      </w:r>
      <w:r>
        <w:rPr>
          <w:sz w:val="19"/>
        </w:rPr>
        <w:t>Real-time production display showing live crate count, variant status, hourly throughput, shift totals, and discrepancy alarms. Accessible via local shopfloor touch screen or network browser.</w:t>
      </w:r>
    </w:p>
    <w:p>
      <w:pPr>
        <w:pStyle w:val="ListBullet"/>
        <w:spacing w:after="60"/>
      </w:pPr>
      <w:r>
        <w:rPr>
          <w:b/>
          <w:sz w:val="19"/>
        </w:rPr>
        <w:t xml:space="preserve">Production Reconciliation Reports: </w:t>
      </w:r>
      <w:r>
        <w:rPr>
          <w:sz w:val="19"/>
        </w:rPr>
        <w:t>Automated end-of-shift reporting with breakdown by milk variant, exportable in PDF and Excel formats, with optional ERP/SAP integration API.</w:t>
      </w:r>
    </w:p>
    <w:p>
      <w:pPr>
        <w:pStyle w:val="ListBullet"/>
        <w:spacing w:after="60"/>
      </w:pPr>
      <w:r>
        <w:rPr>
          <w:b/>
          <w:sz w:val="19"/>
        </w:rPr>
        <w:t xml:space="preserve">Comprehensive Documentation &amp; Training: </w:t>
      </w:r>
      <w:r>
        <w:rPr>
          <w:sz w:val="19"/>
        </w:rPr>
        <w:t>System User Manual, Hardware Maintenance SOP, Operator SOP, and on-site training sessions for plant operations staff.</w:t>
      </w:r>
    </w:p>
    <w:p>
      <w:pPr>
        <w:spacing w:after="160"/>
      </w:pPr>
    </w:p>
    <w:p>
      <w:pPr>
        <w:keepNext/>
        <w:spacing w:before="320" w:after="120"/>
        <w:pBdr>
          <w:bottom w:val="single" w:sz="6" w:space="2" w:color="CBD5E1"/>
        </w:pBdr>
      </w:pPr>
      <w:r>
        <w:rPr>
          <w:b/>
          <w:color w:val="0F2A4A"/>
          <w:sz w:val="26"/>
        </w:rPr>
        <w:t>8. Next Steps &amp; Immediate Action Items</w:t>
      </w:r>
    </w:p>
    <w:p>
      <w:pPr>
        <w:spacing w:after="80"/>
      </w:pPr>
      <w:r>
        <w:t>To initiate Phase 1 of the implementation plan, the following immediate steps are recommended:</w:t>
      </w:r>
    </w:p>
    <w:p>
      <w:pPr>
        <w:pStyle w:val="ListBullet"/>
        <w:spacing w:after="60"/>
      </w:pPr>
      <w:r>
        <w:rPr>
          <w:b/>
          <w:sz w:val="19"/>
        </w:rPr>
        <w:t xml:space="preserve">Step 1: Plan Sign-off &amp; Alignment Meeting: </w:t>
      </w:r>
      <w:r>
        <w:rPr>
          <w:sz w:val="19"/>
        </w:rPr>
        <w:t>Review and confirm the technical approach and infrastructure checklist with Milma plant engineering.</w:t>
      </w:r>
    </w:p>
    <w:p>
      <w:pPr>
        <w:pStyle w:val="ListBullet"/>
        <w:spacing w:after="60"/>
      </w:pPr>
      <w:r>
        <w:rPr>
          <w:b/>
          <w:sz w:val="19"/>
        </w:rPr>
        <w:t xml:space="preserve">Step 2: Dataset Collection Schedule: </w:t>
      </w:r>
      <w:r>
        <w:rPr>
          <w:sz w:val="19"/>
        </w:rPr>
        <w:t>Agree upon dates for the initial photographic dataset collection (either compiled by Milma staff as per Section 3.1 or collected during a 1-day visit by Goose engineers).</w:t>
      </w:r>
    </w:p>
    <w:p>
      <w:pPr>
        <w:pStyle w:val="ListBullet"/>
        <w:spacing w:after="60"/>
      </w:pPr>
      <w:r>
        <w:rPr>
          <w:b/>
          <w:sz w:val="19"/>
        </w:rPr>
        <w:t xml:space="preserve">Step 3: Staging &amp; Bracket Fabrication: </w:t>
      </w:r>
      <w:r>
        <w:rPr>
          <w:sz w:val="19"/>
        </w:rPr>
        <w:t>Finalize bracket mounting dimensions on the conveyor frame and initiate hardware procurement.</w:t>
      </w:r>
    </w:p>
    <w:p>
      <w:pPr>
        <w:spacing w:after="280"/>
      </w:pPr>
    </w:p>
    <w:tbl>
      <w:tblPr>
        <w:tblW w:type="auto" w:w="0"/>
        <w:jc w:val="center"/>
        <w:tblLayout w:type="fixed"/>
        <w:tblLook w:firstColumn="1" w:firstRow="1" w:lastColumn="0" w:lastRow="0" w:noHBand="0" w:noVBand="1" w:val="04A0"/>
      </w:tblPr>
      <w:tblGrid>
        <w:gridCol w:w="5040"/>
        <w:gridCol w:w="5040"/>
      </w:tblGrid>
      <w:tr>
        <w:tc>
          <w:tcPr>
            <w:tcW w:type="dxa" w:w="5040"/>
            <w:shd w:fill="EFF6FF"/>
            <w:tcMar>
              <w:top w:w="140" w:type="dxa"/>
              <w:bottom w:w="140" w:type="dxa"/>
              <w:left w:w="180" w:type="dxa"/>
              <w:right w:w="180" w:type="dxa"/>
            </w:tcMar>
          </w:tcPr>
          <w:p>
            <w:pPr>
              <w:spacing w:after="40"/>
            </w:pPr>
            <w:r>
              <w:rPr>
                <w:b/>
                <w:color w:val="0F2A4A"/>
                <w:sz w:val="19"/>
              </w:rPr>
              <w:t>SUBMITTED BY:</w:t>
              <w:br/>
            </w:r>
            <w:r>
              <w:rPr>
                <w:color w:val="1E293B"/>
                <w:sz w:val="18"/>
              </w:rPr>
              <w:t>Goose Industrial Solutions</w:t>
              <w:br/>
              <w:t>Vision AI &amp; Automation Solutions</w:t>
              <w:br/>
              <w:t>Email: contact@goosetech.ai | Web: www.goosetech.ai</w:t>
            </w:r>
          </w:p>
        </w:tc>
        <w:tc>
          <w:tcPr>
            <w:tcW w:type="dxa" w:w="5040"/>
            <w:shd w:fill="EFF6FF"/>
            <w:tcMar>
              <w:top w:w="140" w:type="dxa"/>
              <w:bottom w:w="140" w:type="dxa"/>
              <w:left w:w="180" w:type="dxa"/>
              <w:right w:w="180" w:type="dxa"/>
            </w:tcMar>
          </w:tcPr>
          <w:p>
            <w:pPr>
              <w:spacing w:after="40"/>
            </w:pPr>
            <w:r>
              <w:rPr>
                <w:b/>
                <w:color w:val="0066B3"/>
                <w:sz w:val="19"/>
              </w:rPr>
              <w:t>PREPARED FOR:</w:t>
              <w:br/>
            </w:r>
            <w:r>
              <w:rPr>
                <w:color w:val="1E293B"/>
                <w:sz w:val="18"/>
              </w:rPr>
              <w:t>Milma (E.R.C.M.P.U. Ltd.)</w:t>
              <w:br/>
              <w:t>Kottayam Dairy Plant</w:t>
              <w:br/>
              <w:t>Kerala Co-operative Milk Marketing Federation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