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5BAA2">
      <w:pPr>
        <w:jc w:val="center"/>
        <w:rPr>
          <w:rFonts w:ascii="Times New Roman" w:hAnsi="Times New Roman"/>
          <w:b/>
          <w:sz w:val="32"/>
        </w:rPr>
      </w:pPr>
    </w:p>
    <w:p w14:paraId="2283E470">
      <w:pPr>
        <w:pStyle w:val="3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42"/>
          <w:szCs w:val="42"/>
          <w:u w:val="none"/>
          <w:vertAlign w:val="baseline"/>
        </w:rPr>
        <w:t>Implement Client Script &amp; UI Policy (Incident)</w:t>
      </w:r>
    </w:p>
    <w:p w14:paraId="1C06220E">
      <w:pPr>
        <w:jc w:val="center"/>
        <w:rPr>
          <w:rFonts w:ascii="Times New Roman" w:hAnsi="Times New Roman"/>
          <w:b/>
          <w:sz w:val="32"/>
        </w:rPr>
      </w:pPr>
      <w:bookmarkStart w:id="0" w:name="_GoBack"/>
      <w:bookmarkEnd w:id="0"/>
    </w:p>
    <w:p w14:paraId="47DFCAD1">
      <w:pPr>
        <w:jc w:val="center"/>
      </w:pPr>
      <w:r>
        <w:rPr>
          <w:rFonts w:ascii="Times New Roman" w:hAnsi="Times New Roman"/>
          <w:b/>
          <w:sz w:val="32"/>
        </w:rPr>
        <w:t>Project Design Phase</w:t>
      </w:r>
    </w:p>
    <w:p w14:paraId="19D6A066">
      <w:pPr>
        <w:spacing w:after="160"/>
        <w:jc w:val="both"/>
      </w:pPr>
      <w:r>
        <w:rPr>
          <w:rFonts w:ascii="Times New Roman" w:hAnsi="Times New Roman"/>
          <w:sz w:val="28"/>
        </w:rPr>
        <w:t>The project design defines how Client Scripts and UI Policies will work together on the Incident form. The Incident table is used as the target table, and the required fields are identified before configuration begins.</w:t>
      </w:r>
    </w:p>
    <w:p w14:paraId="7D20BB9D">
      <w:pPr>
        <w:spacing w:after="160"/>
        <w:jc w:val="both"/>
      </w:pPr>
      <w:r>
        <w:rPr>
          <w:rFonts w:ascii="Times New Roman" w:hAnsi="Times New Roman"/>
          <w:sz w:val="28"/>
        </w:rPr>
        <w:t>The UI Policy design contains the condition, affected fields, and expected behavior. For example, when a particular Incident condition is satisfied, a related field can be made mandatory or read-only. The design should specify whether the UI Policy should apply when the form loads and whether it should reverse its actions when the condition becomes false.</w:t>
      </w:r>
    </w:p>
    <w:p w14:paraId="6ED55692">
      <w:pPr>
        <w:spacing w:after="160"/>
        <w:jc w:val="both"/>
      </w:pPr>
      <w:r>
        <w:rPr>
          <w:rFonts w:ascii="Times New Roman" w:hAnsi="Times New Roman"/>
          <w:sz w:val="28"/>
        </w:rPr>
        <w:t>The Client Script design identifies the script type, triggering field or event, condition, and expected result. An onLoad script can apply initial client-side behavior, an onChange script can react to a field value change, and an onSubmit script can validate information before submission.</w:t>
      </w:r>
    </w:p>
    <w:p w14:paraId="383C1128">
      <w:pPr>
        <w:spacing w:after="160"/>
        <w:jc w:val="both"/>
      </w:pPr>
      <w:r>
        <w:rPr>
          <w:rFonts w:ascii="Times New Roman" w:hAnsi="Times New Roman"/>
          <w:sz w:val="28"/>
        </w:rPr>
        <w:t>The design aims to use configuration first and scripting only where required. This keeps the Incident form maintainable and reduces unnecessary client-side code.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4D1A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E8EBEBC4BF5B43C6ADE991F4147E718A_12</vt:lpwstr>
  </property>
</Properties>
</file>