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10D2F">
      <w:pPr>
        <w:pStyle w:val="3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42"/>
          <w:szCs w:val="42"/>
          <w:u w:val="none"/>
          <w:vertAlign w:val="baseline"/>
        </w:rPr>
      </w:pPr>
    </w:p>
    <w:p w14:paraId="110AF8CA">
      <w:pPr>
        <w:pStyle w:val="3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42"/>
          <w:szCs w:val="42"/>
          <w:u w:val="none"/>
          <w:vertAlign w:val="baseline"/>
        </w:rPr>
        <w:t>Implement Client Script &amp; UI Policy (Incident)</w:t>
      </w:r>
    </w:p>
    <w:p w14:paraId="472EDCBC">
      <w:pPr>
        <w:jc w:val="center"/>
        <w:rPr>
          <w:rFonts w:ascii="Times New Roman" w:hAnsi="Times New Roman"/>
          <w:b/>
          <w:sz w:val="32"/>
        </w:rPr>
      </w:pPr>
    </w:p>
    <w:p w14:paraId="41FC9295">
      <w:pPr>
        <w:jc w:val="center"/>
      </w:pPr>
      <w:r>
        <w:rPr>
          <w:rFonts w:ascii="Times New Roman" w:hAnsi="Times New Roman"/>
          <w:b/>
          <w:sz w:val="32"/>
        </w:rPr>
        <w:t>Project Demonstration Phase</w:t>
      </w:r>
    </w:p>
    <w:p w14:paraId="6CA2B678">
      <w:pPr>
        <w:spacing w:after="160"/>
        <w:jc w:val="both"/>
        <w:rPr>
          <w:rFonts w:ascii="Times New Roman" w:hAnsi="Times New Roman"/>
          <w:sz w:val="28"/>
        </w:rPr>
      </w:pPr>
    </w:p>
    <w:p w14:paraId="777616D1">
      <w:pPr>
        <w:spacing w:after="160"/>
        <w:jc w:val="both"/>
      </w:pPr>
      <w:bookmarkStart w:id="0" w:name="_GoBack"/>
      <w:bookmarkEnd w:id="0"/>
      <w:r>
        <w:rPr>
          <w:rFonts w:ascii="Times New Roman" w:hAnsi="Times New Roman"/>
          <w:sz w:val="28"/>
        </w:rPr>
        <w:t>The demonstration will present the completed ServiceNow Incident Client Script and UI Policy implementation from start to finish. The demonstration should begin with a brief explanation of the project objective and the need for dynamic Incident form behavior.</w:t>
      </w:r>
    </w:p>
    <w:p w14:paraId="6A0418DE">
      <w:pPr>
        <w:spacing w:after="160"/>
        <w:jc w:val="both"/>
      </w:pPr>
      <w:r>
        <w:rPr>
          <w:rFonts w:ascii="Times New Roman" w:hAnsi="Times New Roman"/>
          <w:sz w:val="28"/>
        </w:rPr>
        <w:t>First, open the Incident form and show the relevant fields. Then demonstrate each UI Policy by entering or changing the required values and showing how the affected field becomes mandatory, read-only, or visible according to the configured condition.</w:t>
      </w:r>
    </w:p>
    <w:p w14:paraId="12D916B0">
      <w:pPr>
        <w:spacing w:after="160"/>
        <w:jc w:val="both"/>
      </w:pPr>
      <w:r>
        <w:rPr>
          <w:rFonts w:ascii="Times New Roman" w:hAnsi="Times New Roman"/>
          <w:sz w:val="28"/>
        </w:rPr>
        <w:t>Next, demonstrate the Client Scripts. Show the relevant form event, such as loading the form, changing a field value, or submitting the form. Explain the expected behavior and show the resulting validation or field behavior.</w:t>
      </w:r>
    </w:p>
    <w:p w14:paraId="4B7F3A44">
      <w:pPr>
        <w:spacing w:after="160"/>
        <w:jc w:val="both"/>
      </w:pPr>
      <w:r>
        <w:rPr>
          <w:rFonts w:ascii="Times New Roman" w:hAnsi="Times New Roman"/>
          <w:sz w:val="28"/>
        </w:rPr>
        <w:t>The demonstration should include both a normal successful scenario and at least one scenario where the configured validation or restriction is triggered. Finally, show the completed Incident form and summarize how Client Scripts and UI Policies improve data quality and user interaction.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553C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2026-09-26T04:47:45Z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2EE8FF961F59403FA332BBDFD2D95130_12</vt:lpwstr>
  </property>
</Properties>
</file>