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38"/>
          <w:szCs w:val="38"/>
        </w:rPr>
        <w:t xml:space="preserve">Healthcare Analytics &amp; Intelligence Platform</w:t>
      </w:r>
    </w:p>
    <w:p>
      <w:pPr>
        <w:spacing w:before="120"/>
        <w:jc w:val="center"/>
      </w:pPr>
      <w:r>
        <w:rPr>
          <w:color w:val="555555"/>
          <w:sz w:val="30"/>
          <w:szCs w:val="30"/>
        </w:rPr>
        <w:t xml:space="preserve">Tool &amp; Model Comparison Report</w:t>
      </w:r>
    </w:p>
    <w:p>
      <w:pPr>
        <w:spacing w:before="100"/>
        <w:jc w:val="center"/>
      </w:pPr>
      <w:r>
        <w:rPr>
          <w:i/>
          <w:iCs/>
          <w:color w:val="777777"/>
          <w:sz w:val="22"/>
          <w:szCs w:val="22"/>
        </w:rPr>
        <w:t xml:space="preserve">Why each tool and algorithm was chosen over the alternatives</w:t>
      </w:r>
    </w:p>
    <w:p>
      <w:pPr>
        <w:spacing w:before="1500"/>
        <w:jc w:val="center"/>
      </w:pPr>
      <w:r>
        <w:rPr>
          <w:sz w:val="22"/>
          <w:szCs w:val="22"/>
        </w:rPr>
        <w:t xml:space="preserve">Week 2 — Analytics &amp; Machine Learning</w:t>
      </w:r>
    </w:p>
    <w:p>
      <w:pPr>
        <w:spacing w:before="60"/>
        <w:jc w:val="center"/>
      </w:pPr>
      <w:r>
        <w:rPr>
          <w:color w:val="777777"/>
          <w:sz w:val="18"/>
          <w:szCs w:val="18"/>
        </w:rPr>
        <w:t xml:space="preserve">Author: Suru   |   Repo: Sooryasooru/CAPSTONE-HEALTHCARE-PROJECT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before="0"/>
      </w:pPr>
      <w:r>
        <w:rPr>
          <w:sz w:val="22"/>
          <w:szCs w:val="22"/>
        </w:rPr>
        <w:t xml:space="preserve">This report documents the technology and algorithm choices made in the Week 2 analytics and machine-learning phase of HAIP. For every tool and every model, it states what the component is, the role it plays in the platform, and — most importantly — why it was chosen over the common alternatives, including the reasoning specific to a healthcare setting.</w:t>
      </w:r>
    </w:p>
    <w:p>
      <w:pPr>
        <w:spacing w:after="160" w:before="0"/>
      </w:pPr>
      <w:r>
        <w:rPr>
          <w:sz w:val="22"/>
          <w:szCs w:val="22"/>
        </w:rPr>
        <w:t xml:space="preserve">Two predictive capabilities were built. The first is an operational forecasting model that projects future monthly admissions for hospital planning. The second is a multi-risk patient classifier that produces a panel of risk scores (mortality, acute kidney injury, heart failure) from a patient's profile. The model choices below cover both.</w:t>
      </w:r>
    </w:p>
    <w:p>
      <w:pPr>
        <w:pStyle w:val="Heading1"/>
      </w:pPr>
      <w:r>
        <w:t xml:space="preserve">2. Tools</w:t>
      </w:r>
    </w:p>
    <w:p>
      <w:pPr>
        <w:spacing w:after="80" w:before="0"/>
      </w:pPr>
      <w:r>
        <w:rPr>
          <w:sz w:val="22"/>
          <w:szCs w:val="22"/>
        </w:rPr>
        <w:t xml:space="preserve">The toolchain extends the Week 1 data foundation into analytics and modelling. Each tool was chosen for fit to the task rather than novelty.</w:t>
      </w:r>
    </w:p>
    <w:p>
      <w:pPr>
        <w:spacing w:after="60" w:before="140"/>
      </w:pPr>
      <w:r>
        <w:rPr>
          <w:b/>
          <w:bCs/>
          <w:color w:val="1F3864"/>
          <w:sz w:val="23"/>
          <w:szCs w:val="23"/>
        </w:rPr>
        <w:t xml:space="preserve">PostgreSQL</w:t>
      </w:r>
    </w:p>
    <w:p>
      <w:pPr>
        <w:spacing w:after="70"/>
      </w:pPr>
      <w:r>
        <w:rPr>
          <w:b/>
          <w:bCs/>
          <w:sz w:val="21"/>
          <w:szCs w:val="21"/>
        </w:rPr>
        <w:t xml:space="preserve">What: </w:t>
      </w:r>
      <w:r>
        <w:rPr>
          <w:sz w:val="21"/>
          <w:szCs w:val="21"/>
        </w:rPr>
        <w:t xml:space="preserve">An open-source relational database; HAIP's single source of truth, organised in Bronze → Silver → Gold layers.</w:t>
      </w:r>
    </w:p>
    <w:p>
      <w:pPr>
        <w:spacing w:after="70"/>
      </w:pPr>
      <w:r>
        <w:rPr>
          <w:b/>
          <w:bCs/>
          <w:sz w:val="21"/>
          <w:szCs w:val="21"/>
        </w:rPr>
        <w:t xml:space="preserve">Role: </w:t>
      </w:r>
      <w:r>
        <w:rPr>
          <w:sz w:val="21"/>
          <w:szCs w:val="21"/>
        </w:rPr>
        <w:t xml:space="preserve">Stores all cleaned data; the analytics engine reads the Gold views, the prediction layer reads the Silver patient table.</w:t>
      </w:r>
    </w:p>
    <w:p>
      <w:pPr>
        <w:spacing w:after="70"/>
      </w:pPr>
      <w:r>
        <w:rPr>
          <w:b/>
          <w:bCs/>
          <w:sz w:val="21"/>
          <w:szCs w:val="21"/>
        </w:rPr>
        <w:t xml:space="preserve">Why over alternatives: </w:t>
      </w:r>
      <w:r>
        <w:rPr>
          <w:sz w:val="21"/>
          <w:szCs w:val="21"/>
        </w:rPr>
        <w:t xml:space="preserve">Chosen over a NoSQL store (e.g. MongoDB) because clinical data is naturally relational and benefits from typed columns, constraints, and SQL aggregation. Chosen over a cloud warehouse (BigQuery, Snowflake) because the dataset is modest in size and a free, local, standards-based engine avoids cost and vendor lock-in. PostgreSQL also offers pgvector for the planned RAG component, which a simpler engine like SQLite would not.</w:t>
      </w:r>
    </w:p>
    <w:p>
      <w:pPr>
        <w:spacing w:after="60" w:before="140"/>
      </w:pPr>
      <w:r>
        <w:rPr>
          <w:b/>
          <w:bCs/>
          <w:color w:val="1F3864"/>
          <w:sz w:val="23"/>
          <w:szCs w:val="23"/>
        </w:rPr>
        <w:t xml:space="preserve">SQL</w:t>
      </w:r>
    </w:p>
    <w:p>
      <w:pPr>
        <w:spacing w:after="70"/>
      </w:pPr>
      <w:r>
        <w:rPr>
          <w:b/>
          <w:bCs/>
          <w:sz w:val="21"/>
          <w:szCs w:val="21"/>
        </w:rPr>
        <w:t xml:space="preserve">What: </w:t>
      </w:r>
      <w:r>
        <w:rPr>
          <w:sz w:val="21"/>
          <w:szCs w:val="21"/>
        </w:rPr>
        <w:t xml:space="preserve">The query language used to define the Gold analytics views.</w:t>
      </w:r>
    </w:p>
    <w:p>
      <w:pPr>
        <w:spacing w:after="70"/>
      </w:pPr>
      <w:r>
        <w:rPr>
          <w:b/>
          <w:bCs/>
          <w:sz w:val="21"/>
          <w:szCs w:val="21"/>
        </w:rPr>
        <w:t xml:space="preserve">Role: </w:t>
      </w:r>
      <w:r>
        <w:rPr>
          <w:sz w:val="21"/>
          <w:szCs w:val="21"/>
        </w:rPr>
        <w:t xml:space="preserve">Pre-aggregates population metrics (outcomes, comorbidity prevalence, ICU severity) at the database layer.</w:t>
      </w:r>
    </w:p>
    <w:p>
      <w:pPr>
        <w:spacing w:after="70"/>
      </w:pPr>
      <w:r>
        <w:rPr>
          <w:b/>
          <w:bCs/>
          <w:sz w:val="21"/>
          <w:szCs w:val="21"/>
        </w:rPr>
        <w:t xml:space="preserve">Why over alternatives: </w:t>
      </w:r>
      <w:r>
        <w:rPr>
          <w:sz w:val="21"/>
          <w:szCs w:val="21"/>
        </w:rPr>
        <w:t xml:space="preserve">Aggregation is done in SQL rather than in Python because the database is far more efficient at set-based aggregation over many rows, and computing it once as a view keeps every downstream consumer consistent (no two modules can disagree about a metric).</w:t>
      </w:r>
    </w:p>
    <w:p>
      <w:pPr>
        <w:spacing w:after="60" w:before="140"/>
      </w:pPr>
      <w:r>
        <w:rPr>
          <w:b/>
          <w:bCs/>
          <w:color w:val="1F3864"/>
          <w:sz w:val="23"/>
          <w:szCs w:val="23"/>
        </w:rPr>
        <w:t xml:space="preserve">Pandas</w:t>
      </w:r>
    </w:p>
    <w:p>
      <w:pPr>
        <w:spacing w:after="70"/>
      </w:pPr>
      <w:r>
        <w:rPr>
          <w:b/>
          <w:bCs/>
          <w:sz w:val="21"/>
          <w:szCs w:val="21"/>
        </w:rPr>
        <w:t xml:space="preserve">What: </w:t>
      </w:r>
      <w:r>
        <w:rPr>
          <w:sz w:val="21"/>
          <w:szCs w:val="21"/>
        </w:rPr>
        <w:t xml:space="preserve">Python's tabular data library.</w:t>
      </w:r>
    </w:p>
    <w:p>
      <w:pPr>
        <w:spacing w:after="70"/>
      </w:pPr>
      <w:r>
        <w:rPr>
          <w:b/>
          <w:bCs/>
          <w:sz w:val="21"/>
          <w:szCs w:val="21"/>
        </w:rPr>
        <w:t xml:space="preserve">Role: </w:t>
      </w:r>
      <w:r>
        <w:rPr>
          <w:sz w:val="21"/>
          <w:szCs w:val="21"/>
        </w:rPr>
        <w:t xml:space="preserve">Carries query results as DataFrames through the analytics, KPI, forecasting, and feature-engineering code.</w:t>
      </w:r>
    </w:p>
    <w:p>
      <w:pPr>
        <w:spacing w:after="70"/>
      </w:pPr>
      <w:r>
        <w:rPr>
          <w:b/>
          <w:bCs/>
          <w:sz w:val="21"/>
          <w:szCs w:val="21"/>
        </w:rPr>
        <w:t xml:space="preserve">Why over alternatives: </w:t>
      </w:r>
      <w:r>
        <w:rPr>
          <w:sz w:val="21"/>
          <w:szCs w:val="21"/>
        </w:rPr>
        <w:t xml:space="preserve">It is the de-facto standard for tabular work in Python and integrates directly with scikit-learn, statsmodels, and Plotly, removing conversion friction. Alternatives such as Polars are faster on very large data but unnecessary at this scale and less universally supported by the modelling libraries used here.</w:t>
      </w:r>
    </w:p>
    <w:p>
      <w:pPr>
        <w:spacing w:after="60" w:before="140"/>
      </w:pPr>
      <w:r>
        <w:rPr>
          <w:b/>
          <w:bCs/>
          <w:color w:val="1F3864"/>
          <w:sz w:val="23"/>
          <w:szCs w:val="23"/>
        </w:rPr>
        <w:t xml:space="preserve">Plotly Dash</w:t>
      </w:r>
    </w:p>
    <w:p>
      <w:pPr>
        <w:spacing w:after="70"/>
      </w:pPr>
      <w:r>
        <w:rPr>
          <w:b/>
          <w:bCs/>
          <w:sz w:val="21"/>
          <w:szCs w:val="21"/>
        </w:rPr>
        <w:t xml:space="preserve">What: </w:t>
      </w:r>
      <w:r>
        <w:rPr>
          <w:sz w:val="21"/>
          <w:szCs w:val="21"/>
        </w:rPr>
        <w:t xml:space="preserve">A Python framework for interactive analytical web dashboards.</w:t>
      </w:r>
    </w:p>
    <w:p>
      <w:pPr>
        <w:spacing w:after="70"/>
      </w:pPr>
      <w:r>
        <w:rPr>
          <w:b/>
          <w:bCs/>
          <w:sz w:val="21"/>
          <w:szCs w:val="21"/>
        </w:rPr>
        <w:t xml:space="preserve">Role: </w:t>
      </w:r>
      <w:r>
        <w:rPr>
          <w:sz w:val="21"/>
          <w:szCs w:val="21"/>
        </w:rPr>
        <w:t xml:space="preserve">Presents KPIs, overview charts, and the interactive drill-down panel.</w:t>
      </w:r>
    </w:p>
    <w:p>
      <w:pPr>
        <w:spacing w:after="70"/>
      </w:pPr>
      <w:r>
        <w:rPr>
          <w:b/>
          <w:bCs/>
          <w:sz w:val="21"/>
          <w:szCs w:val="21"/>
        </w:rPr>
        <w:t xml:space="preserve">Why over alternatives: </w:t>
      </w:r>
      <w:r>
        <w:rPr>
          <w:sz w:val="21"/>
          <w:szCs w:val="21"/>
        </w:rPr>
        <w:t xml:space="preserve">Chosen over Streamlit because Dash's explicit callback model gives precise control over interactivity (the drill-down dropdown), which suits a polished, presentation-grade dashboard. Chosen over Power BI because Dash keeps the whole platform in one Python codebase, version-controlled in the same repository, with no external BI licence or separate tool to maintain.</w:t>
      </w:r>
    </w:p>
    <w:p>
      <w:pPr>
        <w:spacing w:after="60" w:before="140"/>
      </w:pPr>
      <w:r>
        <w:rPr>
          <w:b/>
          <w:bCs/>
          <w:color w:val="1F3864"/>
          <w:sz w:val="23"/>
          <w:szCs w:val="23"/>
        </w:rPr>
        <w:t xml:space="preserve">scikit-learn</w:t>
      </w:r>
    </w:p>
    <w:p>
      <w:pPr>
        <w:spacing w:after="70"/>
      </w:pPr>
      <w:r>
        <w:rPr>
          <w:b/>
          <w:bCs/>
          <w:sz w:val="21"/>
          <w:szCs w:val="21"/>
        </w:rPr>
        <w:t xml:space="preserve">What: </w:t>
      </w:r>
      <w:r>
        <w:rPr>
          <w:sz w:val="21"/>
          <w:szCs w:val="21"/>
        </w:rPr>
        <w:t xml:space="preserve">Python's general-purpose machine-learning library.</w:t>
      </w:r>
    </w:p>
    <w:p>
      <w:pPr>
        <w:spacing w:after="70"/>
      </w:pPr>
      <w:r>
        <w:rPr>
          <w:b/>
          <w:bCs/>
          <w:sz w:val="21"/>
          <w:szCs w:val="21"/>
        </w:rPr>
        <w:t xml:space="preserve">Role: </w:t>
      </w:r>
      <w:r>
        <w:rPr>
          <w:sz w:val="21"/>
          <w:szCs w:val="21"/>
        </w:rPr>
        <w:t xml:space="preserve">Provides the Logistic Regression and Random Forest classifiers, the train/test split, and all evaluation metrics.</w:t>
      </w:r>
    </w:p>
    <w:p>
      <w:pPr>
        <w:spacing w:after="70"/>
      </w:pPr>
      <w:r>
        <w:rPr>
          <w:b/>
          <w:bCs/>
          <w:sz w:val="21"/>
          <w:szCs w:val="21"/>
        </w:rPr>
        <w:t xml:space="preserve">Why over alternatives: </w:t>
      </w:r>
      <w:r>
        <w:rPr>
          <w:sz w:val="21"/>
          <w:szCs w:val="21"/>
        </w:rPr>
        <w:t xml:space="preserve">It offers a consistent, well-documented API across many algorithms, making model comparison clean and reproducible. It is the natural choice for classical tabular ML, where deep-learning frameworks (TensorFlow, PyTorch) would add complexity without benefit on structured clinical data of this size.</w:t>
      </w:r>
    </w:p>
    <w:p>
      <w:pPr>
        <w:spacing w:after="60" w:before="140"/>
      </w:pPr>
      <w:r>
        <w:rPr>
          <w:b/>
          <w:bCs/>
          <w:color w:val="1F3864"/>
          <w:sz w:val="23"/>
          <w:szCs w:val="23"/>
        </w:rPr>
        <w:t xml:space="preserve">statsmodels</w:t>
      </w:r>
    </w:p>
    <w:p>
      <w:pPr>
        <w:spacing w:after="70"/>
      </w:pPr>
      <w:r>
        <w:rPr>
          <w:b/>
          <w:bCs/>
          <w:sz w:val="21"/>
          <w:szCs w:val="21"/>
        </w:rPr>
        <w:t xml:space="preserve">What: </w:t>
      </w:r>
      <w:r>
        <w:rPr>
          <w:sz w:val="21"/>
          <w:szCs w:val="21"/>
        </w:rPr>
        <w:t xml:space="preserve">A Python library for statistical models, including classical time-series methods.</w:t>
      </w:r>
    </w:p>
    <w:p>
      <w:pPr>
        <w:spacing w:after="70"/>
      </w:pPr>
      <w:r>
        <w:rPr>
          <w:b/>
          <w:bCs/>
          <w:sz w:val="21"/>
          <w:szCs w:val="21"/>
        </w:rPr>
        <w:t xml:space="preserve">Role: </w:t>
      </w:r>
      <w:r>
        <w:rPr>
          <w:sz w:val="21"/>
          <w:szCs w:val="21"/>
        </w:rPr>
        <w:t xml:space="preserve">Provides the Holt-Winters (Exponential Smoothing) forecasting model.</w:t>
      </w:r>
    </w:p>
    <w:p>
      <w:pPr>
        <w:spacing w:after="70"/>
      </w:pPr>
      <w:r>
        <w:rPr>
          <w:b/>
          <w:bCs/>
          <w:sz w:val="21"/>
          <w:szCs w:val="21"/>
        </w:rPr>
        <w:t xml:space="preserve">Why over alternatives: </w:t>
      </w:r>
      <w:r>
        <w:rPr>
          <w:sz w:val="21"/>
          <w:szCs w:val="21"/>
        </w:rPr>
        <w:t xml:space="preserve">It implements interpretable, well-understood statistical forecasting suited to short series, where heavier or deep-learning forecasters would overfit. Its decomposition into level, trend, and seasonal components is directly explainable to non-technical stakeholders.</w:t>
      </w:r>
    </w:p>
    <w:p>
      <w:pPr>
        <w:spacing w:after="60" w:before="140"/>
      </w:pPr>
      <w:r>
        <w:rPr>
          <w:b/>
          <w:bCs/>
          <w:color w:val="1F3864"/>
          <w:sz w:val="23"/>
          <w:szCs w:val="23"/>
        </w:rPr>
        <w:t xml:space="preserve">XGBoost</w:t>
      </w:r>
    </w:p>
    <w:p>
      <w:pPr>
        <w:spacing w:after="70"/>
      </w:pPr>
      <w:r>
        <w:rPr>
          <w:b/>
          <w:bCs/>
          <w:sz w:val="21"/>
          <w:szCs w:val="21"/>
        </w:rPr>
        <w:t xml:space="preserve">What: </w:t>
      </w:r>
      <w:r>
        <w:rPr>
          <w:sz w:val="21"/>
          <w:szCs w:val="21"/>
        </w:rPr>
        <w:t xml:space="preserve">A gradient-boosted decision-tree library, widely regarded as a top performer on tabular data.</w:t>
      </w:r>
    </w:p>
    <w:p>
      <w:pPr>
        <w:spacing w:after="70"/>
      </w:pPr>
      <w:r>
        <w:rPr>
          <w:b/>
          <w:bCs/>
          <w:sz w:val="21"/>
          <w:szCs w:val="21"/>
        </w:rPr>
        <w:t xml:space="preserve">Role: </w:t>
      </w:r>
      <w:r>
        <w:rPr>
          <w:sz w:val="21"/>
          <w:szCs w:val="21"/>
        </w:rPr>
        <w:t xml:space="preserve">One of the three candidate classifiers; selected as the best model for mortality risk.</w:t>
      </w:r>
    </w:p>
    <w:p>
      <w:pPr>
        <w:spacing w:after="70"/>
      </w:pPr>
      <w:r>
        <w:rPr>
          <w:b/>
          <w:bCs/>
          <w:sz w:val="21"/>
          <w:szCs w:val="21"/>
        </w:rPr>
        <w:t xml:space="preserve">Why over alternatives: </w:t>
      </w:r>
      <w:r>
        <w:rPr>
          <w:sz w:val="21"/>
          <w:szCs w:val="21"/>
        </w:rPr>
        <w:t xml:space="preserve">Chosen as a candidate because gradient boosting consistently leads on structured/tabular problems and handles class imbalance through scale_pos_weight, which matters for rare outcomes like mortality. It is compared head-to-head with Logistic Regression and Random Forest rather than assumed best (see Section 4).</w:t>
      </w:r>
    </w:p>
    <w:p>
      <w:r>
        <w:br w:type="page"/>
      </w:r>
    </w:p>
    <w:p>
      <w:pPr>
        <w:pStyle w:val="Heading1"/>
      </w:pPr>
      <w:r>
        <w:t xml:space="preserve">3. Models: the two prediction tasks</w:t>
      </w:r>
    </w:p>
    <w:p>
      <w:pPr>
        <w:spacing w:after="100" w:before="0"/>
      </w:pPr>
      <w:r>
        <w:rPr>
          <w:sz w:val="22"/>
          <w:szCs w:val="22"/>
        </w:rPr>
        <w:t xml:space="preserve">HAIP solves two different prediction problems, and the distinction drives every model choice. Forecasting predicts a quantity over time (a regression problem); risk classification predicts a category for an individual patient (a classification problem). Different problems require different algorithms and different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Aspect</w:t>
            </w:r>
          </w:p>
        </w:tc>
        <w:tc>
          <w:tcPr>
            <w:tcW w:type="dxa" w:w="358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Forecasting</w:t>
            </w:r>
          </w:p>
        </w:tc>
        <w:tc>
          <w:tcPr>
            <w:tcW w:type="dxa" w:w="358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Risk classification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Question</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How busy will the hospital be next month?</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Which risks does this patient carry?</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Output</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 number (admissions per month)</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Probabilities per risk (0–100%)</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Type</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Regression / time series</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Binary classification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Model</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Holt-Winters</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LogReg / Random Forest / XGBoost</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Metrics</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MAE, RMSE, MAPE</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Precision, Recall, F1, ROC-AUC</w:t>
            </w:r>
          </w:p>
        </w:tc>
      </w:tr>
    </w:tbl>
    <w:p>
      <w:pPr>
        <w:pStyle w:val="Heading1"/>
      </w:pPr>
      <w:r>
        <w:t xml:space="preserve">4. Forecasting model: why Holt-Winters</w:t>
      </w:r>
    </w:p>
    <w:p>
      <w:pPr>
        <w:spacing w:after="100" w:before="0"/>
      </w:pPr>
      <w:r>
        <w:rPr>
          <w:sz w:val="22"/>
          <w:szCs w:val="22"/>
        </w:rPr>
        <w:t xml:space="preserve">The admissions series has 24 monthly points (Apr 2017 – Mar 2019) with two visible patterns: a year-over-year upward trend and a yearly seasonal cycle (winter peaks). The model had to capture both, on a short series, and remain explainable.</w:t>
      </w:r>
    </w:p>
    <w:p>
      <w:pPr>
        <w:pStyle w:val="Heading2"/>
      </w:pPr>
      <w:r>
        <w:t xml:space="preserve">The alternatives considered</w:t>
      </w:r>
    </w:p>
    <w:p>
      <w:pPr>
        <w:spacing w:after="60" w:before="140"/>
      </w:pPr>
      <w:r>
        <w:rPr>
          <w:b/>
          <w:bCs/>
          <w:color w:val="1F3864"/>
          <w:sz w:val="23"/>
          <w:szCs w:val="23"/>
        </w:rPr>
        <w:t xml:space="preserve">Holt-Winters (chosen)</w:t>
      </w:r>
    </w:p>
    <w:p>
      <w:pPr>
        <w:spacing w:after="70"/>
      </w:pPr>
      <w:r>
        <w:rPr>
          <w:b/>
          <w:bCs/>
          <w:sz w:val="21"/>
          <w:szCs w:val="21"/>
        </w:rPr>
        <w:t xml:space="preserve">Why it fits: </w:t>
      </w:r>
      <w:r>
        <w:rPr>
          <w:sz w:val="21"/>
          <w:szCs w:val="21"/>
        </w:rPr>
        <w:t xml:space="preserve">Exponential smoothing decomposes the series into explicit level, trend, and seasonal components and weights recent observations more heavily — ideal for short series with one clear seasonal cycle and a steady trend. It needs little tuning and its forecasts follow the shape of the real data, which makes them easy to explain to hospital staff.</w:t>
      </w:r>
    </w:p>
    <w:p>
      <w:pPr>
        <w:spacing w:after="70"/>
      </w:pPr>
      <w:r>
        <w:rPr>
          <w:b/>
          <w:bCs/>
          <w:sz w:val="21"/>
          <w:szCs w:val="21"/>
        </w:rPr>
        <w:t xml:space="preserve">Specialty in this field: </w:t>
      </w:r>
      <w:r>
        <w:rPr>
          <w:sz w:val="21"/>
          <w:szCs w:val="21"/>
        </w:rPr>
        <w:t xml:space="preserve">Healthcare planning needs forecasts a non-specialist can trust and interpret; Holt-Winters' component structure (“this much baseline, rising this much per year, plus the winter bump”) communicates directly.</w:t>
      </w:r>
    </w:p>
    <w:p>
      <w:pPr>
        <w:spacing w:after="60" w:before="140"/>
      </w:pPr>
      <w:r>
        <w:rPr>
          <w:b/>
          <w:bCs/>
          <w:color w:val="1F3864"/>
          <w:sz w:val="23"/>
          <w:szCs w:val="23"/>
        </w:rPr>
        <w:t xml:space="preserve">ARIMA / SARIMA (not chosen)</w:t>
      </w:r>
    </w:p>
    <w:p>
      <w:pPr>
        <w:spacing w:after="70"/>
      </w:pPr>
      <w:r>
        <w:rPr>
          <w:b/>
          <w:bCs/>
          <w:sz w:val="21"/>
          <w:szCs w:val="21"/>
        </w:rPr>
        <w:t xml:space="preserve">Why not: </w:t>
      </w:r>
      <w:r>
        <w:rPr>
          <w:sz w:val="21"/>
          <w:szCs w:val="21"/>
        </w:rPr>
        <w:t xml:space="preserve">More flexible and powerful, but requires careful order selection and stationarity handling, and on short trending series it can produce flat, “boring” forecasts that under-represent momentum. The added configuration complexity is not justified when the data has one clean seasonal cycle that Holt-Winters models directly.</w:t>
      </w:r>
    </w:p>
    <w:p>
      <w:pPr>
        <w:spacing w:after="60" w:before="140"/>
      </w:pPr>
      <w:r>
        <w:rPr>
          <w:b/>
          <w:bCs/>
          <w:color w:val="1F3864"/>
          <w:sz w:val="23"/>
          <w:szCs w:val="23"/>
        </w:rPr>
        <w:t xml:space="preserve">Prophet (not chosen)</w:t>
      </w:r>
    </w:p>
    <w:p>
      <w:pPr>
        <w:spacing w:after="70"/>
      </w:pPr>
      <w:r>
        <w:rPr>
          <w:b/>
          <w:bCs/>
          <w:sz w:val="21"/>
          <w:szCs w:val="21"/>
        </w:rPr>
        <w:t xml:space="preserve">Why not: </w:t>
      </w:r>
      <w:r>
        <w:rPr>
          <w:sz w:val="21"/>
          <w:szCs w:val="21"/>
        </w:rPr>
        <w:t xml:space="preserve">Excellent for messy data with holiday effects and multiple seasonalities, but it is a heavier dependency aimed at problems more complex than this single, clean, monthly series. It would be over-engineering here.</w:t>
      </w:r>
    </w:p>
    <w:p>
      <w:pPr>
        <w:spacing w:after="60" w:before="140"/>
      </w:pPr>
      <w:r>
        <w:rPr>
          <w:b/>
          <w:bCs/>
          <w:color w:val="1F3864"/>
          <w:sz w:val="23"/>
          <w:szCs w:val="23"/>
        </w:rPr>
        <w:t xml:space="preserve">Machine learning (XGBoost / LSTM) for forecasting (not chosen)</w:t>
      </w:r>
    </w:p>
    <w:p>
      <w:pPr>
        <w:spacing w:after="70"/>
      </w:pPr>
      <w:r>
        <w:rPr>
          <w:b/>
          <w:bCs/>
          <w:sz w:val="21"/>
          <w:szCs w:val="21"/>
        </w:rPr>
        <w:t xml:space="preserve">Why not: </w:t>
      </w:r>
      <w:r>
        <w:rPr>
          <w:sz w:val="21"/>
          <w:szCs w:val="21"/>
        </w:rPr>
        <w:t xml:space="preserve">Feature-based ML and deep-learning forecasters need substantial training history. With only 24 points they would overfit badly and be hard to defend. The platform's own flowchart references XGBoost, but for the per-patient classifier — not for this short time series.</w:t>
      </w:r>
    </w:p>
    <w:p>
      <w:pPr>
        <w:pStyle w:val="Heading2"/>
      </w:pPr>
      <w:r>
        <w:t xml:space="preserve">Forecasting result (evidence)</w:t>
      </w:r>
    </w:p>
    <w:p>
      <w:pPr>
        <w:spacing w:after="80" w:before="0"/>
      </w:pPr>
      <w:r>
        <w:rPr>
          <w:sz w:val="22"/>
          <w:szCs w:val="22"/>
        </w:rPr>
        <w:t xml:space="preserve">Because seasonal Holt-Winters needs two full cycles (24 months) and the series is exactly 24 months, a true seasonal hold-out backtest is not possible; this is reported honestly rather than worked around. Two honest evaluations were run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Evaluation</w:t>
            </w:r>
          </w:p>
        </w:tc>
        <w:tc>
          <w:tcPr>
            <w:tcW w:type="dxa" w:w="23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MAPE</w:t>
            </w:r>
          </w:p>
        </w:tc>
        <w:tc>
          <w:tcPr>
            <w:tcW w:type="dxa" w:w="23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Reading</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Trend-only out-of-sample backtest (last 6 months)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8B8"/>
                <w:sz w:val="19"/>
                <w:szCs w:val="19"/>
              </w:rPr>
              <w:t xml:space="preserve">8.3%</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conservative</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Seasonal model in-sample fit (all 24 months)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D32"/>
                <w:sz w:val="19"/>
                <w:szCs w:val="19"/>
              </w:rPr>
              <w:t xml:space="preserve">4.6%</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fit quality</w:t>
            </w:r>
          </w:p>
        </w:tc>
      </w:tr>
    </w:tbl>
    <w:p>
      <w:pPr>
        <w:spacing w:after="120" w:before="100"/>
      </w:pPr>
      <w:r>
        <w:rPr>
          <w:i/>
          <w:iCs/>
          <w:sz w:val="22"/>
          <w:szCs w:val="22"/>
        </w:rPr>
        <w:t xml:space="preserve">The gap between the two (8.3% vs 4.6%) is itself evidence that adding seasonality nearly halves the error — the seasonal model's value is demonstrated, not assumed. A fuller seasonal backtest would need roughly 36+ months of history.</w:t>
      </w:r>
    </w:p>
    <w:p>
      <w:r>
        <w:br w:type="page"/>
      </w:r>
    </w:p>
    <w:p>
      <w:pPr>
        <w:pStyle w:val="Heading1"/>
      </w:pPr>
      <w:r>
        <w:t xml:space="preserve">5. Risk classifiers: why a baseline-then-ensemble comparison</w:t>
      </w:r>
    </w:p>
    <w:p>
      <w:pPr>
        <w:spacing w:after="100" w:before="0"/>
      </w:pPr>
      <w:r>
        <w:rPr>
          <w:sz w:val="22"/>
          <w:szCs w:val="22"/>
        </w:rPr>
        <w:t xml:space="preserve">Rather than assume the most powerful model, three classifiers were trained per risk and compared on the metrics that matter for imbalanced clinical data. This demonstrates the choice with evidence and follows standard practice: establish a simple baseline, then show whether added complexity earns its place.</w:t>
      </w:r>
    </w:p>
    <w:p>
      <w:pPr>
        <w:spacing w:after="60" w:before="140"/>
      </w:pPr>
      <w:r>
        <w:rPr>
          <w:b/>
          <w:bCs/>
          <w:color w:val="1F3864"/>
          <w:sz w:val="23"/>
          <w:szCs w:val="23"/>
        </w:rPr>
        <w:t xml:space="preserve">Logistic Regression (baseline)</w:t>
      </w:r>
    </w:p>
    <w:p>
      <w:pPr>
        <w:spacing w:after="70"/>
      </w:pPr>
      <w:r>
        <w:rPr>
          <w:b/>
          <w:bCs/>
          <w:sz w:val="21"/>
          <w:szCs w:val="21"/>
        </w:rPr>
        <w:t xml:space="preserve">Why included: </w:t>
      </w:r>
      <w:r>
        <w:rPr>
          <w:sz w:val="21"/>
          <w:szCs w:val="21"/>
        </w:rPr>
        <w:t xml:space="preserve">Simple, fast, and fully interpretable — the coefficients show which factors raise or lower risk. It sets the benchmark every other model must beat.</w:t>
      </w:r>
    </w:p>
    <w:p>
      <w:pPr>
        <w:spacing w:after="70"/>
      </w:pPr>
      <w:r>
        <w:rPr>
          <w:b/>
          <w:bCs/>
          <w:sz w:val="21"/>
          <w:szCs w:val="21"/>
        </w:rPr>
        <w:t xml:space="preserve">Limit: </w:t>
      </w:r>
      <w:r>
        <w:rPr>
          <w:sz w:val="21"/>
          <w:szCs w:val="21"/>
        </w:rPr>
        <w:t xml:space="preserve">Assumes broadly linear relationships, so it can miss complex feature interactions present in clinical data.</w:t>
      </w:r>
    </w:p>
    <w:p>
      <w:pPr>
        <w:spacing w:after="60" w:before="140"/>
      </w:pPr>
      <w:r>
        <w:rPr>
          <w:b/>
          <w:bCs/>
          <w:color w:val="1F3864"/>
          <w:sz w:val="23"/>
          <w:szCs w:val="23"/>
        </w:rPr>
        <w:t xml:space="preserve">Random Forest</w:t>
      </w:r>
    </w:p>
    <w:p>
      <w:pPr>
        <w:spacing w:after="70"/>
      </w:pPr>
      <w:r>
        <w:rPr>
          <w:b/>
          <w:bCs/>
          <w:sz w:val="21"/>
          <w:szCs w:val="21"/>
        </w:rPr>
        <w:t xml:space="preserve">Why included: </w:t>
      </w:r>
      <w:r>
        <w:rPr>
          <w:sz w:val="21"/>
          <w:szCs w:val="21"/>
        </w:rPr>
        <w:t xml:space="preserve">An ensemble of decision trees that captures non-linear relationships, resists overfitting, and is robust to the genuine outliers retained from the Week 1 EDA (real critical patients). It also reports feature importance.</w:t>
      </w:r>
    </w:p>
    <w:p>
      <w:pPr>
        <w:spacing w:after="70"/>
      </w:pPr>
      <w:r>
        <w:rPr>
          <w:b/>
          <w:bCs/>
          <w:sz w:val="21"/>
          <w:szCs w:val="21"/>
        </w:rPr>
        <w:t xml:space="preserve">Result: </w:t>
      </w:r>
      <w:r>
        <w:rPr>
          <w:sz w:val="21"/>
          <w:szCs w:val="21"/>
        </w:rPr>
        <w:t xml:space="preserve">Selected as the best model for AKI and heart-failure risk.</w:t>
      </w:r>
    </w:p>
    <w:p>
      <w:pPr>
        <w:spacing w:after="60" w:before="140"/>
      </w:pPr>
      <w:r>
        <w:rPr>
          <w:b/>
          <w:bCs/>
          <w:color w:val="1F3864"/>
          <w:sz w:val="23"/>
          <w:szCs w:val="23"/>
        </w:rPr>
        <w:t xml:space="preserve">XGBoost</w:t>
      </w:r>
    </w:p>
    <w:p>
      <w:pPr>
        <w:spacing w:after="70"/>
      </w:pPr>
      <w:r>
        <w:rPr>
          <w:b/>
          <w:bCs/>
          <w:sz w:val="21"/>
          <w:szCs w:val="21"/>
        </w:rPr>
        <w:t xml:space="preserve">Why included: </w:t>
      </w:r>
      <w:r>
        <w:rPr>
          <w:sz w:val="21"/>
          <w:szCs w:val="21"/>
        </w:rPr>
        <w:t xml:space="preserve">Gradient boosting builds trees sequentially, each correcting the last, and typically achieves the highest accuracy on tabular data. Its scale_pos_weight setting handles class imbalance, which is critical for the 7% mortality rate.</w:t>
      </w:r>
    </w:p>
    <w:p>
      <w:pPr>
        <w:spacing w:after="70"/>
      </w:pPr>
      <w:r>
        <w:rPr>
          <w:b/>
          <w:bCs/>
          <w:sz w:val="21"/>
          <w:szCs w:val="21"/>
        </w:rPr>
        <w:t xml:space="preserve">Result: </w:t>
      </w:r>
      <w:r>
        <w:rPr>
          <w:sz w:val="21"/>
          <w:szCs w:val="21"/>
        </w:rPr>
        <w:t xml:space="preserve">Selected as the best model for mortality risk.</w:t>
      </w:r>
    </w:p>
    <w:p>
      <w:pPr>
        <w:spacing w:after="60" w:before="140"/>
      </w:pPr>
      <w:r>
        <w:rPr>
          <w:b/>
          <w:bCs/>
          <w:color w:val="1F3864"/>
          <w:sz w:val="23"/>
          <w:szCs w:val="23"/>
        </w:rPr>
        <w:t xml:space="preserve">Why not a single tree, KNN, or deep learning</w:t>
      </w:r>
    </w:p>
    <w:p>
      <w:pPr>
        <w:spacing w:after="70"/>
      </w:pPr>
      <w:r>
        <w:rPr>
          <w:b/>
          <w:bCs/>
          <w:sz w:val="21"/>
          <w:szCs w:val="21"/>
        </w:rPr>
        <w:t xml:space="preserve">Reason: </w:t>
      </w:r>
      <w:r>
        <w:rPr>
          <w:sz w:val="21"/>
          <w:szCs w:val="21"/>
        </w:rPr>
        <w:t xml:space="preserve">A lone decision tree overfits; KNN scales poorly and is sensitive to feature scaling and irrelevant features; deep learning needs far more data than a structured clinical table of this size and sacrifices interpretability. None offers an advantage over the three chosen models here.</w:t>
      </w:r>
    </w:p>
    <w:p>
      <w:pPr>
        <w:pStyle w:val="Heading2"/>
      </w:pPr>
      <w:r>
        <w:t xml:space="preserve">Classification results (evidence)</w:t>
      </w:r>
    </w:p>
    <w:p>
      <w:pPr>
        <w:spacing w:after="90" w:before="0"/>
      </w:pPr>
      <w:r>
        <w:rPr>
          <w:sz w:val="22"/>
          <w:szCs w:val="22"/>
        </w:rPr>
        <w:t xml:space="preserve">Each model was evaluated on a stratified 20% hold-out with class-imbalance handling. ROC-AUC is the headline metric because it is robust to imbalance; recall matters clinically because missing a true high-risk patient is costlier than a false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140"/>
        <w:gridCol w:w="1140"/>
        <w:gridCol w:w="1140"/>
        <w:gridCol w:w="1140"/>
      </w:tblGrid>
      <w:tr>
        <w:trPr>
          <w:tblHeader/>
        </w:trPr>
        <w:tc>
          <w:tcPr>
            <w:tcW w:type="dxa" w:w="220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Risk</w:t>
            </w:r>
          </w:p>
        </w:tc>
        <w:tc>
          <w:tcPr>
            <w:tcW w:type="dxa" w:w="260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Best model</w:t>
            </w:r>
          </w:p>
        </w:tc>
        <w:tc>
          <w:tcPr>
            <w:tcW w:type="dxa" w:w="11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Prec.</w:t>
            </w:r>
          </w:p>
        </w:tc>
        <w:tc>
          <w:tcPr>
            <w:tcW w:type="dxa" w:w="11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Recall</w:t>
            </w:r>
          </w:p>
        </w:tc>
        <w:tc>
          <w:tcPr>
            <w:tcW w:type="dxa" w:w="11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F1</w:t>
            </w:r>
          </w:p>
        </w:tc>
        <w:tc>
          <w:tcPr>
            <w:tcW w:type="dxa" w:w="114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ROC-AUC</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Mortality</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XGBoost</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0.61</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0.86</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0.71</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D32"/>
                <w:sz w:val="19"/>
                <w:szCs w:val="19"/>
              </w:rPr>
              <w:t xml:space="preserve">0.975</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AKI</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Random Forest</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0.80</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0.65</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0.71</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D32"/>
                <w:sz w:val="19"/>
                <w:szCs w:val="19"/>
              </w:rPr>
              <w:t xml:space="preserve">0.909</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Heart failure</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Random Forest</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0.73</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0.74</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0.73</w:t>
            </w:r>
          </w:p>
        </w:tc>
        <w:tc>
          <w:tcPr>
            <w:tcW w:type="dxa" w:w="11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2E7D32"/>
                <w:sz w:val="19"/>
                <w:szCs w:val="19"/>
              </w:rPr>
              <w:t xml:space="preserve">0.894</w:t>
            </w:r>
          </w:p>
        </w:tc>
      </w:tr>
    </w:tbl>
    <w:p>
      <w:pPr>
        <w:spacing w:after="120" w:before="100"/>
      </w:pPr>
      <w:r>
        <w:rPr>
          <w:sz w:val="22"/>
          <w:szCs w:val="22"/>
        </w:rPr>
        <w:t xml:space="preserve">Mortality recall of 0.86 means the model catches 86% of patients who died — strong on a hard 7% target. The AKI and heart-failure models sit in a realistic 0.89–0.91 ROC-AUC range.</w:t>
      </w:r>
    </w:p>
    <w:p>
      <w:pPr>
        <w:pStyle w:val="Heading1"/>
      </w:pPr>
      <w:r>
        <w:t xml:space="preserve">6. Data leakage: detection and correction</w:t>
      </w:r>
    </w:p>
    <w:p>
      <w:pPr>
        <w:spacing w:after="100" w:before="0"/>
      </w:pPr>
      <w:r>
        <w:rPr>
          <w:sz w:val="22"/>
          <w:szCs w:val="22"/>
        </w:rPr>
        <w:t xml:space="preserve">The most important rigor in this phase was catching data leakage — features that secretly reveal the answer, inflating performance to an unrealistic level. Two cases were found and fixed.</w:t>
      </w:r>
    </w:p>
    <w:p>
      <w:pPr>
        <w:spacing w:after="60" w:before="140"/>
      </w:pPr>
      <w:r>
        <w:rPr>
          <w:b/>
          <w:bCs/>
          <w:color w:val="1F3864"/>
          <w:sz w:val="23"/>
          <w:szCs w:val="23"/>
        </w:rPr>
        <w:t xml:space="preserve">AKI — ROC-AUC of 1.000 (a warning sign, not a triumph)</w:t>
      </w:r>
    </w:p>
    <w:p>
      <w:pPr>
        <w:spacing w:after="70"/>
      </w:pPr>
      <w:r>
        <w:rPr>
          <w:b/>
          <w:bCs/>
          <w:sz w:val="21"/>
          <w:szCs w:val="21"/>
        </w:rPr>
        <w:t xml:space="preserve">Cause: </w:t>
      </w:r>
      <w:r>
        <w:rPr>
          <w:sz w:val="21"/>
          <w:szCs w:val="21"/>
        </w:rPr>
        <w:t xml:space="preserve">The first AKI models scored a perfect 1.000 ROC-AUC. Investigation showed AKI patients had roughly 3x higher creatinine (2.89 vs 0.89) and urea (102 vs 35) — because creatinine and urea are the lab markers used to DIAGNOSE AKI. The model was reading the answer, not predicting it.</w:t>
      </w:r>
    </w:p>
    <w:p>
      <w:pPr>
        <w:spacing w:after="70"/>
      </w:pPr>
      <w:r>
        <w:rPr>
          <w:b/>
          <w:bCs/>
          <w:sz w:val="21"/>
          <w:szCs w:val="21"/>
        </w:rPr>
        <w:t xml:space="preserve">Fix: </w:t>
      </w:r>
      <w:r>
        <w:rPr>
          <w:sz w:val="21"/>
          <w:szCs w:val="21"/>
        </w:rPr>
        <w:t xml:space="preserve">creatinine and urea (and their missingness flags) were dropped from the AKI feature set. ROC-AUC fell to a realistic 0.909, earned from age, comorbidities, and other labs.</w:t>
      </w:r>
    </w:p>
    <w:p>
      <w:pPr>
        <w:spacing w:after="60" w:before="140"/>
      </w:pPr>
      <w:r>
        <w:rPr>
          <w:b/>
          <w:bCs/>
          <w:color w:val="1F3864"/>
          <w:sz w:val="23"/>
          <w:szCs w:val="23"/>
        </w:rPr>
        <w:t xml:space="preserve">Mortality — length of stay</w:t>
      </w:r>
    </w:p>
    <w:p>
      <w:pPr>
        <w:spacing w:after="70"/>
      </w:pPr>
      <w:r>
        <w:rPr>
          <w:b/>
          <w:bCs/>
          <w:sz w:val="21"/>
          <w:szCs w:val="21"/>
        </w:rPr>
        <w:t xml:space="preserve">Cause: </w:t>
      </w:r>
      <w:r>
        <w:rPr>
          <w:sz w:val="21"/>
          <w:szCs w:val="21"/>
        </w:rPr>
        <w:t xml:space="preserve">duration_of_stay is partly an effect of the outcome (patients who die may have unusually short or long stays), so it can leak outcome information.</w:t>
      </w:r>
    </w:p>
    <w:p>
      <w:pPr>
        <w:spacing w:after="70"/>
      </w:pPr>
      <w:r>
        <w:rPr>
          <w:b/>
          <w:bCs/>
          <w:sz w:val="21"/>
          <w:szCs w:val="21"/>
        </w:rPr>
        <w:t xml:space="preserve">Fix: </w:t>
      </w:r>
      <w:r>
        <w:rPr>
          <w:sz w:val="21"/>
          <w:szCs w:val="21"/>
        </w:rPr>
        <w:t xml:space="preserve">duration_of_stay was dropped from the mortality feature set as a precaution.</w:t>
      </w:r>
    </w:p>
    <w:p>
      <w:pPr>
        <w:spacing w:after="120" w:before="0"/>
      </w:pPr>
      <w:r>
        <w:rPr>
          <w:i/>
          <w:iCs/>
          <w:sz w:val="22"/>
          <w:szCs w:val="22"/>
        </w:rPr>
        <w:t xml:space="preserve">Reframing the perfect AKI score as leakage — and correcting it — is what makes the final numbers trustworthy. A model that scores 1.000 has almost always seen the answer.</w:t>
      </w:r>
    </w:p>
    <w:p>
      <w:pPr>
        <w:pStyle w:val="Heading1"/>
      </w:pPr>
      <w:r>
        <w:t xml:space="preserve">7. Summary of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Decision</w:t>
            </w:r>
          </w:p>
        </w:tc>
        <w:tc>
          <w:tcPr>
            <w:tcW w:type="dxa" w:w="318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Chosen</w:t>
            </w:r>
          </w:p>
        </w:tc>
        <w:tc>
          <w:tcPr>
            <w:tcW w:type="dxa" w:w="3180"/>
            <w:tcBorders>
              <w:top w:val="single" w:color="CCCCCC" w:sz="1"/>
              <w:left w:val="single" w:color="CCCCCC" w:sz="1"/>
              <w:bottom w:val="single" w:color="CCCCCC" w:sz="1"/>
              <w:right w:val="single" w:color="CCCCCC" w:sz="1"/>
            </w:tcBorders>
            <w:shd w:fill="E8EEF6" w:val="clear"/>
            <w:tcMar>
              <w:top w:type="dxa" w:w="70"/>
              <w:left w:type="dxa" w:w="110"/>
              <w:bottom w:type="dxa" w:w="70"/>
              <w:right w:type="dxa" w:w="110"/>
            </w:tcMar>
          </w:tcPr>
          <w:p>
            <w:r>
              <w:rPr>
                <w:b/>
                <w:bCs/>
                <w:sz w:val="19"/>
                <w:szCs w:val="19"/>
              </w:rPr>
              <w:t xml:space="preserve">Over</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Database</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PostgreSQL</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NoSQL / cloud warehouse / SQLite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Dashboard</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Plotly Dash</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Streamlit / Power BI</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Forecasting</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Holt-Winters</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ARIMA / Prophet / ML</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Mortality risk</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XGBoost</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LogReg / Random Forest</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AKI &amp; HF risk</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Random Forest</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LogReg / XGBoost</w:t>
            </w:r>
          </w:p>
        </w:tc>
      </w:tr>
    </w:tbl>
    <w:p>
      <w:pPr>
        <w:spacing w:after="120" w:before="120"/>
      </w:pPr>
      <w:r>
        <w:rPr>
          <w:sz w:val="22"/>
          <w:szCs w:val="22"/>
        </w:rPr>
        <w:t xml:space="preserve">Every choice was made for fit to the problem and the constraints of clinical data — short history for forecasting, class imbalance and leakage risk for classification — and, where models competed, decided by measured results rather than reputation.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HAIP — Tool &amp; Model Comparison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2026-06-19T20:58:34.815Z</dcterms:created>
  <dcterms:modified xsi:type="dcterms:W3CDTF">2026-06-19T20:58:34.815Z</dcterms:modified>
</cp:coreProperties>
</file>

<file path=docProps/custom.xml><?xml version="1.0" encoding="utf-8"?>
<Properties xmlns="http://schemas.openxmlformats.org/officeDocument/2006/custom-properties" xmlns:vt="http://schemas.openxmlformats.org/officeDocument/2006/docPropsVTypes"/>
</file>