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b/>
          <w:bCs/>
          <w:color w:val="2E5C8A"/>
          <w:sz w:val="46"/>
          <w:szCs w:val="46"/>
        </w:rPr>
        <w:t xml:space="preserve">Healthcare Analytics &amp;</w:t>
      </w:r>
    </w:p>
    <w:p>
      <w:pPr>
        <w:spacing w:after="200"/>
        <w:jc w:val="center"/>
      </w:pPr>
      <w:r>
        <w:rPr>
          <w:b/>
          <w:bCs/>
          <w:color w:val="2E5C8A"/>
          <w:sz w:val="46"/>
          <w:szCs w:val="46"/>
        </w:rPr>
        <w:t xml:space="preserve">Intelligence Platform (HAIP)</w:t>
      </w:r>
    </w:p>
    <w:p>
      <w:pPr>
        <w:spacing w:after="80"/>
        <w:jc w:val="center"/>
      </w:pPr>
      <w:r>
        <w:rPr>
          <w:color w:val="1F3D5C"/>
          <w:sz w:val="30"/>
          <w:szCs w:val="30"/>
        </w:rPr>
        <w:t xml:space="preserve">Weeks 2 &amp; 3 — Technical Report</w:t>
      </w:r>
    </w:p>
    <w:p>
      <w:pPr>
        <w:spacing w:after="80"/>
        <w:jc w:val="center"/>
      </w:pPr>
      <w:r>
        <w:rPr>
          <w:sz w:val="22"/>
          <w:szCs w:val="22"/>
        </w:rPr>
        <w:t xml:space="preserve">Refinements + Knowledge Intelligence System (RAG)</w:t>
      </w:r>
    </w:p>
    <w:p>
      <w:pPr>
        <w:spacing w:after="1400"/>
        <w:jc w:val="center"/>
      </w:pPr>
      <w:r>
        <w:rPr>
          <w:i/>
          <w:iCs/>
          <w:color w:val="666666"/>
          <w:sz w:val="20"/>
          <w:szCs w:val="20"/>
        </w:rPr>
        <w:t xml:space="preserve">Full build documentation: completed work, tool &amp; method comparisons, system flowcharts, and benchmark evaluation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This report documents the work completed across Week 2 and Week 3 of the HAIP capstone. Week 2 closed outstanding refinement tasks on the analytics and machine-learning platform; Week 3 built a complete Retrieval-Augmented Generation (RAG) knowledge-intelligence system. The two weeks are reported together because the Week 2 refinements were finalised alongside the Week 3 build.</w:t>
      </w:r>
    </w:p>
    <w:p>
      <w:pPr>
        <w:spacing w:after="120"/>
      </w:pPr>
      <w:r>
        <w:t xml:space="preserve">The report covers, in order: the Week 2 tasks that were adjusted and completed; the Week 3 RAG build against its specification; a detailed comparison of every tool and method selected inside the RAG pipeline with the rationale for each choice; the full system flowcharts (module-by-module and end-to-end); and the benchmark evaluation with measured results.</w:t>
      </w:r>
    </w:p>
    <w:p>
      <w:pPr>
        <w:pStyle w:val="Heading2"/>
      </w:pPr>
      <w:r>
        <w:t xml:space="preserve">1.1 Guiding constraints</w:t>
      </w:r>
    </w:p>
    <w:p>
      <w:pPr>
        <w:spacing w:after="120"/>
      </w:pPr>
      <w:r>
        <w:t xml:space="preserve">Every technical decision in both weeks was shaped by three constraints specific to this project: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Hardware: a RAM-constrained development laptop (7.4 GB), ruling out heavyweight local models and large batch sizes.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Cost: a student capstone with no paid-API budget, favouring free and open tooling.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Honesty: every claim the system makes must be traceable to a source, and performance must be measured and reported truthfully — including weak or negative results.</w:t>
      </w:r>
    </w:p>
    <w:p>
      <w:r>
        <w:br w:type="page"/>
      </w:r>
    </w:p>
    <w:p>
      <w:pPr>
        <w:pStyle w:val="Heading1"/>
      </w:pPr>
      <w:r>
        <w:t xml:space="preserve">2. Week 2 — Completed Refinement Tasks</w:t>
      </w:r>
    </w:p>
    <w:p>
      <w:pPr>
        <w:spacing w:after="120"/>
      </w:pPr>
      <w:r>
        <w:t xml:space="preserve">Week 2 had several pending items carried forward. All were adjusted and completed. This section documents what each task was and how it was resolved.</w:t>
      </w:r>
    </w:p>
    <w:p>
      <w:pPr>
        <w:pStyle w:val="Heading2"/>
      </w:pPr>
      <w:r>
        <w:t xml:space="preserve">2.1 Dashboard consolidation</w:t>
      </w:r>
    </w:p>
    <w:p>
      <w:pPr>
        <w:spacing w:after="120"/>
      </w:pPr>
      <w:r>
        <w:t xml:space="preserve">Two separate Plotly Dash applications (clinical analytics on port 8050, data-upload on port 8051) were merged into one application with two tabs: Clinical Analytics, and Data Intake &amp; Prediction. Lazy tab loading was added so each tab's layout builds only when first opened, keeping startup light on the constrained machine.</w:t>
      </w:r>
    </w:p>
    <w:p>
      <w:pPr>
        <w:pStyle w:val="Heading2"/>
      </w:pPr>
      <w:r>
        <w:t xml:space="preserve">2.2 Feature caching (performance)</w:t>
      </w:r>
    </w:p>
    <w:p>
      <w:pPr>
        <w:spacing w:after="120"/>
      </w:pPr>
      <w:r>
        <w:t xml:space="preserve">The feature matrix was being rebuilt on every call, costing about thirteen seconds each time and making evaluation slow. An in-memory base-frame cache with an explicit clear function was added. The first call still takes about thirteen seconds; every subsequent call returns in roughly one millisecond, verified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feature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~13 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~13 s (unchanged)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Repeat feature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~13 s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 ms (cached)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Evaluation / cross-validation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seconds</w:t>
            </w:r>
          </w:p>
        </w:tc>
      </w:tr>
    </w:tbl>
    <w:p>
      <w:pPr>
        <w:pStyle w:val="Heading2"/>
      </w:pPr>
      <w:r>
        <w:t xml:space="preserve">2.3 Honest evaluation — confusion matrix</w:t>
      </w:r>
    </w:p>
    <w:p>
      <w:pPr>
        <w:spacing w:after="120"/>
      </w:pPr>
      <w:r>
        <w:t xml:space="preserve">To address the concern that the system always reported high performance, a model-evaluation panel was added to the analytics tab. A dropdown selects a prediction target and shows that target's best-model confusion matrix as a heatmap, computed live and cached. False negatives are highlighted as the costliest clinical error. The deterioration target, for example, summed to the full 20 percent holdout with roughly 54 percent recall — an honestly mediocre figure, shown deliberately rather than hidden.</w:t>
      </w:r>
    </w:p>
    <w:p>
      <w:pPr>
        <w:pStyle w:val="Heading2"/>
      </w:pPr>
      <w:r>
        <w:t xml:space="preserve">2.4 The four risk targets</w:t>
      </w:r>
    </w:p>
    <w:p>
      <w:pPr>
        <w:spacing w:after="120"/>
      </w:pPr>
      <w:r>
        <w:t xml:space="preserve">The machine-learning layer predicts four targets, each reported with imbalance-appropriate metrics (PR-AUC where classes are skewed), with time-leakage guards and cross-validation.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Headline 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PR-AUC 0.64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Moderate, realistic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PR-AUC 0.88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Deterioration / trauma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PR-AUC 0.63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Moderate; disclosed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Mortality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PR-AUC 0.42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Weak; openly disclosed</w:t>
            </w:r>
          </w:p>
        </w:tc>
      </w:tr>
    </w:tbl>
    <w:p>
      <w:pPr>
        <w:spacing w:after="120"/>
      </w:pPr>
      <w:r>
        <w:t xml:space="preserve">Disclosing the weak mortality target rather than hiding it is a deliberate honest-engineering choice.</w:t>
      </w:r>
    </w:p>
    <w:p>
      <w:pPr>
        <w:pStyle w:val="Heading2"/>
      </w:pPr>
      <w:r>
        <w:t xml:space="preserve">2.5 Visual restyle</w:t>
      </w:r>
    </w:p>
    <w:p>
      <w:pPr>
        <w:spacing w:after="120"/>
      </w:pPr>
      <w:r>
        <w:t xml:space="preserve">A shared theme module was created so all eighteen figures share consistent fonts, hairline grids, hover behaviour, and a common colour sequence. The stylesheet gained more whitespace, softer shadows, CSS variables, and section dividers. Inline SVG KPI icons were added and a donut-chart label-collision bug was fixed by moving labels inside slices and the legend to the bottom.</w:t>
      </w:r>
    </w:p>
    <w:p>
      <w:pPr>
        <w:pStyle w:val="Heading2"/>
      </w:pPr>
      <w:r>
        <w:t xml:space="preserve">2.6 Repository cleanup</w:t>
      </w:r>
    </w:p>
    <w:p>
      <w:pPr>
        <w:spacing w:after="120"/>
      </w:pPr>
      <w:r>
        <w:t xml:space="preserve">Pushes were failing because roughly three gigabytes of data (Synthea CSVs, a 596 MB Arrow dataset, a JAR) had been committed. A gitignore was added, the data untracked, and the files purged from all history with git filter-repo. The repository shrank from gigabytes to about 2.6 MB, and the clean history was force-pushed and re-linked. All four Week 2 pending items — import-and-predict, accepting external data, the confusion matrix, and honest metrics — were closed and committed.</w:t>
      </w:r>
    </w:p>
    <w:p>
      <w:r>
        <w:br w:type="page"/>
      </w:r>
    </w:p>
    <w:p>
      <w:pPr>
        <w:pStyle w:val="Heading1"/>
      </w:pPr>
      <w:r>
        <w:t xml:space="preserve">3. Week 3 — RAG System Against Specification</w:t>
      </w:r>
    </w:p>
    <w:p>
      <w:pPr>
        <w:spacing w:after="120"/>
      </w:pPr>
      <w:r>
        <w:t xml:space="preserve">Week 3 built a healthcare knowledge-retrieval and question-answering system. This section maps the official specification to what was delivered.</w:t>
      </w:r>
    </w:p>
    <w:p>
      <w:pPr>
        <w:pStyle w:val="Heading2"/>
      </w:pPr>
      <w:r>
        <w:t xml:space="preserve">3.1 Activities and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 requirement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&amp; evidence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 medical documents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— 6,832 chunks from WHO/CDC/NICE guidelines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embeddings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— Sentence Transformers, 384-dim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vector index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— FAISS IndexFlatIP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Integrate LLM for RAG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— Gemini, grounded and cited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Module flowcharts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— see Section 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Relevant context retrieved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— Hit Rate@5 93.3% (Section 6)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Questions answered from knowledge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— 15/15 answered with citations</w:t>
            </w:r>
          </w:p>
        </w:tc>
      </w:tr>
    </w:tbl>
    <w:p>
      <w:pPr>
        <w:pStyle w:val="Heading2"/>
      </w:pPr>
      <w:r>
        <w:t xml:space="preserve">3.2 Tools required for comparison</w:t>
      </w:r>
    </w:p>
    <w:p>
      <w:pPr>
        <w:spacing w:after="120"/>
      </w:pPr>
      <w:r>
        <w:t xml:space="preserve">The specification named five tools to compare: PyMuPDF, Sentence Transformers, FAISS, OpenAI GPT / Qwen, and LangChain. All five are evaluated in Section 4. Two deliberate, documented deviations: Gemini was chosen over OpenAI/Qwen for its permanent free tier; and LangChain was added as a parallel implementation rather than the primary engine, so the project has both a hand-built and a framework-based RAG engine.</w:t>
      </w:r>
    </w:p>
    <w:p>
      <w:r>
        <w:br w:type="page"/>
      </w:r>
    </w:p>
    <w:p>
      <w:pPr>
        <w:pStyle w:val="Heading1"/>
      </w:pPr>
      <w:r>
        <w:t xml:space="preserve">4. Tool &amp; Method Comparisons (RAG Internals)</w:t>
      </w:r>
    </w:p>
    <w:p>
      <w:pPr>
        <w:spacing w:after="120"/>
      </w:pPr>
      <w:r>
        <w:t xml:space="preserve">This section examines every component inside the RAG pipeline: what it is, how it works, the alternatives considered, and why the final choice was made. This is the research-then-build evidence required by the specification.</w:t>
      </w:r>
    </w:p>
    <w:p>
      <w:pPr>
        <w:pStyle w:val="Heading2"/>
      </w:pPr>
      <w:r>
        <w:t xml:space="preserve">4.1 PDF extraction — PyMuPDF</w:t>
      </w:r>
    </w:p>
    <w:p>
      <w:pPr>
        <w:spacing w:after="120"/>
      </w:pPr>
      <w:r>
        <w:t xml:space="preserve">PyMuPDF (the 'fitz' library) is a fast C-backed library that extracts text and layout from PDF files. The base corpus arrives pre-extracted as text, so live PDF parsing was not needed for the build; PyMuPDF is instead exercised by the hospital-document upload feature, where uploaded files are genuine PDFs that must be parsed.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considered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PyMuPDF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Fast, accurate, complex layouts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Selected; used in hospital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pdfplumber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 table extraction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Slower; not needed for prose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pypdf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Lightweight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Weaker on complex layouts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Unstructured.io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Many formats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Heavy dependency for the hardware</w:t>
            </w:r>
          </w:p>
        </w:tc>
      </w:tr>
    </w:tbl>
    <w:p>
      <w:pPr>
        <w:pStyle w:val="Heading2"/>
      </w:pPr>
      <w:r>
        <w:t xml:space="preserve">4.2 Chunking strategy</w:t>
      </w:r>
    </w:p>
    <w:p>
      <w:pPr>
        <w:spacing w:after="120"/>
      </w:pPr>
      <w:r>
        <w:t xml:space="preserve">Chunking is the largest single lever on retrieval quality. An advanced recursive strategy was chosen over naive fixed-size splitting.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Trade-off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Fixed-size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Cut every N characters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Simple; severs ideas mid-sentence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Recursive (chosen)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 on coarsest natural boundary that fits, with overlap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Keeps ideas together; slightly more complex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Semantic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Embed sentences, split where meaning shifts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Highest coherence; extra embedding pass, costly on RAM</w:t>
            </w:r>
          </w:p>
        </w:tc>
      </w:tr>
    </w:tbl>
    <w:p>
      <w:pPr>
        <w:spacing w:after="120"/>
      </w:pPr>
      <w:r>
        <w:t xml:space="preserve">Recursive character chunking with ~500-token chunks and a 200-character overlap was selected: a genuine step above fixed-size splitting, light enough for the hardware, with overlap so facts split across a boundary are not lost.</w:t>
      </w:r>
    </w:p>
    <w:p>
      <w:pPr>
        <w:pStyle w:val="Heading2"/>
      </w:pPr>
      <w:r>
        <w:t xml:space="preserve">4.3 Embedding model — Sentence Transformers</w:t>
      </w:r>
    </w:p>
    <w:p>
      <w:pPr>
        <w:spacing w:after="120"/>
      </w:pPr>
      <w:r>
        <w:t xml:space="preserve">Sentence Transformers is the standard open-source embedding toolkit. The specific model balances retrieval quality against memory.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00"/>
        <w:gridCol w:w="1200"/>
        <w:gridCol w:w="4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all-MiniLM-L6-v2 (chosen)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 MB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 on CPU, low RAM, strong retrieval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all-mpnet-base-v2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~420 MB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More accurate; ~2x memory/time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BGE / E5 large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~1.3 GB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State-of-the-art; too heavy for 7.4 GB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OpenAI text-embedding-3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Strong; paid and off-device</w:t>
            </w:r>
          </w:p>
        </w:tc>
      </w:tr>
    </w:tbl>
    <w:p>
      <w:pPr>
        <w:spacing w:after="120"/>
      </w:pPr>
      <w:r>
        <w:t xml:space="preserve">all-MiniLM-L6-v2 encodes the 6,832-chunk corpus in about three and a half minutes on CPU; its 384-dimensional vectors proved more than sufficient, reaching a 100 percent hit rate before re-ranking.</w:t>
      </w:r>
    </w:p>
    <w:p>
      <w:pPr>
        <w:pStyle w:val="Heading2"/>
      </w:pPr>
      <w:r>
        <w:t xml:space="preserve">4.4 Vector store — FAISS</w:t>
      </w:r>
    </w:p>
    <w:p>
      <w:pPr>
        <w:spacing w:after="120"/>
      </w:pPr>
      <w:r>
        <w:t xml:space="preserve">FAISS (Facebook AI Similarity Search) indexes the embeddings for fast similarity 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considered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FAISS (chosen)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In-memory, fast, serverless, exact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Selected — ideal for ~7k vectors on a laptop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pgvector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Inside existing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Deferred — DB round-trips; revisit at scale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Chroma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Persistent, friendly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Unnecessary abstraction at this scale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Pinecone / Weaviate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Managed, scalable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 cost; over-engineered for a capstone</w:t>
            </w:r>
          </w:p>
        </w:tc>
      </w:tr>
    </w:tbl>
    <w:p>
      <w:pPr>
        <w:spacing w:after="120"/>
      </w:pPr>
      <w:r>
        <w:t xml:space="preserve">An exact inner-product index (IndexFlatIP) on normalised vectors gives cosine similarity with no approximation error and sub-millisecond search at this scale. Approximate indexes (IVF, HNSW) only pay off at millions of vectors.</w:t>
      </w:r>
    </w:p>
    <w:p>
      <w:pPr>
        <w:pStyle w:val="Heading2"/>
      </w:pPr>
      <w:r>
        <w:t xml:space="preserve">4.5 Re-ranking — cross-encoder (advanced RAG)</w:t>
      </w:r>
    </w:p>
    <w:p>
      <w:pPr>
        <w:spacing w:after="120"/>
      </w:pPr>
      <w:r>
        <w:t xml:space="preserve">A two-stage retrieval design is the core advanced-RAG component: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1, bi-encoder retrieval: FAISS returns a wide net of 20 candidates quickly but approximately.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2, cross-encoder re-ranking: a cross-encoder (ms-marco-MiniLM-L-6-v2) jointly scores each query-passage pair, far more precisely, and keeps the best 5.</w:t>
      </w:r>
    </w:p>
    <w:p>
      <w:pPr>
        <w:spacing w:after="120"/>
      </w:pPr>
      <w:r>
        <w:t xml:space="preserve">A bi-encoder alone is fast but imprecise; a cross-encoder alone is precise but too slow at corpus scale. Together, FAISS narrows the field and the cross-encoder selects the winners. The measured effect of this stage is reported honestly in Section 6.</w:t>
      </w:r>
    </w:p>
    <w:p>
      <w:pPr>
        <w:pStyle w:val="Heading2"/>
      </w:pPr>
      <w:r>
        <w:t xml:space="preserve">4.6 LLM provider — Gemini (vs OpenAI / Qwen)</w:t>
      </w:r>
    </w:p>
    <w:p>
      <w:pPr>
        <w:spacing w:after="120"/>
      </w:pPr>
      <w:r>
        <w:t xml:space="preserve">The generation step is provider-flexible; swapping backends is a one-line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considered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Gemini 2.5 Flash (chosen)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tier, no card, strong grounding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Selected — only no-cost viable option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Anthropic Claude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Cautious, strong grounding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Swappable; requires paid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OpenAI GPT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 ecosystem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Swappable; requires paid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 (Qwen, Llama)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Free, offline, private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Rejected — 7.4 GB RAM cannot run a usable model</w:t>
            </w:r>
          </w:p>
        </w:tc>
      </w:tr>
    </w:tbl>
    <w:p>
      <w:pPr>
        <w:spacing w:after="120"/>
      </w:pPr>
      <w:r>
        <w:t xml:space="preserve">Privacy note: the corpus is public guideline text, not patient data, so sending retrieved passages to a cloud LLM raises no confidentiality concern. The grounding prompt instructs the model to answer only from retrieved context and to decline when the answer is absent, preventing invented clinical detail.</w:t>
      </w:r>
    </w:p>
    <w:p>
      <w:pPr>
        <w:pStyle w:val="Heading2"/>
      </w:pPr>
      <w:r>
        <w:t xml:space="preserve">4.7 LangChain — parallel framework implementation</w:t>
      </w:r>
    </w:p>
    <w:p>
      <w:pPr>
        <w:spacing w:after="120"/>
      </w:pPr>
      <w:r>
        <w:t xml:space="preserve">LangChain was added as a second, parallel RAG engine (rag_engine_langchain.py) alongside the hand-built one. The hand-built engine demonstrates understanding of the internals (manual FAISS search, manual re-rank, manual prompt assembly); the LangChain version demonstrates fluency with the standard industry framework, wiring the same components through an Embeddings wrapper, a FAISS vectorstore and retriever, a chat model, a prompt template, and an LCEL chain. The hand-built version keeps the cross-encoder re-ranking that LangChain does not provide out of the box. Having both is a deliberate depth-plus-breadth choice.</w:t>
      </w:r>
    </w:p>
    <w:p>
      <w:r>
        <w:br w:type="page"/>
      </w:r>
    </w:p>
    <w:p>
      <w:pPr>
        <w:pStyle w:val="Heading1"/>
      </w:pPr>
      <w:r>
        <w:t xml:space="preserve">5. System Flowcharts</w:t>
      </w:r>
    </w:p>
    <w:p>
      <w:pPr>
        <w:spacing w:after="120"/>
      </w:pPr>
      <w:r>
        <w:t xml:space="preserve">This section presents the complete system visually: first the full end-to-end RAG flow, then each module in turn, and finally the optional hospital-upload module.</w:t>
      </w:r>
    </w:p>
    <w:p>
      <w:pPr>
        <w:pStyle w:val="Heading2"/>
      </w:pPr>
      <w:r>
        <w:t xml:space="preserve">5.1 Full system flow (end to end)</w:t>
      </w:r>
    </w:p>
    <w:p>
      <w:pPr>
        <w:spacing w:after="120"/>
      </w:pPr>
      <w:r>
        <w:t xml:space="preserve">The diagram below shows the entire Week 3 system in one view: build-time indexing, query-time answering, the optional per-hospital upload, and the evaluation harness, all feeding the Streamlit demo.</w:t>
      </w:r>
    </w:p>
    <w:p>
      <w:pPr>
        <w:spacing w:after="40" w:before="120"/>
        <w:jc w:val="center"/>
      </w:pPr>
      <w:r>
        <w:drawing>
          <wp:inline distT="0" distB="0" distL="0" distR="0">
            <wp:extent cx="3686175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1 — Complete Week 3 RAG system (build, query, upload, evaluation).</w:t>
      </w:r>
    </w:p>
    <w:p>
      <w:r>
        <w:br w:type="page"/>
      </w:r>
    </w:p>
    <w:p>
      <w:pPr>
        <w:spacing w:after="40" w:before="120"/>
        <w:jc w:val="center"/>
      </w:pPr>
      <w:r>
        <w:drawing>
          <wp:inline distT="0" distB="0" distL="0" distR="0">
            <wp:extent cx="546735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2 — Simplified end-to-end pipeline overview.</w:t>
      </w:r>
    </w:p>
    <w:p>
      <w:pPr>
        <w:pStyle w:val="Heading2"/>
      </w:pPr>
      <w:r>
        <w:t xml:space="preserve">5.2 Module 1 — Document processing</w:t>
      </w:r>
    </w:p>
    <w:p>
      <w:pPr>
        <w:spacing w:after="120"/>
      </w:pPr>
      <w:r>
        <w:t xml:space="preserve">Loads the guideline dataset, filters to trusted sources, balances and caps oversized documents, cleans the text, and chunks it into the knowledge base.</w:t>
      </w:r>
    </w:p>
    <w:p>
      <w:pPr>
        <w:spacing w:after="40" w:before="120"/>
        <w:jc w:val="center"/>
      </w:pPr>
      <w:r>
        <w:drawing>
          <wp:inline distT="0" distB="0" distL="0" distR="0">
            <wp:extent cx="39243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3 — Document processing module (pdf_processor.py).</w:t>
      </w:r>
    </w:p>
    <w:p>
      <w:pPr>
        <w:pStyle w:val="Heading2"/>
      </w:pPr>
      <w:r>
        <w:t xml:space="preserve">5.3 Module 2 — Embedding</w:t>
      </w:r>
    </w:p>
    <w:p>
      <w:pPr>
        <w:spacing w:after="120"/>
      </w:pPr>
      <w:r>
        <w:t xml:space="preserve">Encodes each chunk with the embedding model, normalises the vectors, and builds the FAISS index, saving the index and metadata to disk.</w:t>
      </w:r>
    </w:p>
    <w:p>
      <w:pPr>
        <w:spacing w:after="40" w:before="120"/>
        <w:jc w:val="center"/>
      </w:pPr>
      <w:r>
        <w:drawing>
          <wp:inline distT="0" distB="0" distL="0" distR="0">
            <wp:extent cx="4162425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4 — Embedding module (embedder.py).</w:t>
      </w:r>
    </w:p>
    <w:p>
      <w:r>
        <w:br w:type="page"/>
      </w:r>
    </w:p>
    <w:p>
      <w:pPr>
        <w:pStyle w:val="Heading2"/>
      </w:pPr>
      <w:r>
        <w:t xml:space="preserve">5.4 Module 3 — Vector search</w:t>
      </w:r>
    </w:p>
    <w:p>
      <w:pPr>
        <w:spacing w:after="120"/>
      </w:pPr>
      <w:r>
        <w:t xml:space="preserve">Embeds the query, runs the two-stage retrieval (FAISS bi-encoder then cross-encoder re-rank), and returns the top five passages.</w:t>
      </w:r>
    </w:p>
    <w:p>
      <w:pPr>
        <w:spacing w:after="40" w:before="120"/>
        <w:jc w:val="center"/>
      </w:pPr>
      <w:r>
        <w:drawing>
          <wp:inline distT="0" distB="0" distL="0" distR="0">
            <wp:extent cx="39243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5 — Vector search + re-rank module (retriever.py).</w:t>
      </w:r>
    </w:p>
    <w:p>
      <w:pPr>
        <w:pStyle w:val="Heading2"/>
      </w:pPr>
      <w:r>
        <w:t xml:space="preserve">5.5 Module 4 — RAG pipeline</w:t>
      </w:r>
    </w:p>
    <w:p>
      <w:pPr>
        <w:spacing w:after="120"/>
      </w:pPr>
      <w:r>
        <w:t xml:space="preserve">The full loop: safety check, retrieval, grounded prompt assembly, LLM generation, and the cited answer.</w:t>
      </w:r>
    </w:p>
    <w:p>
      <w:pPr>
        <w:spacing w:after="40" w:before="120"/>
        <w:jc w:val="center"/>
      </w:pPr>
      <w:r>
        <w:drawing>
          <wp:inline distT="0" distB="0" distL="0" distR="0">
            <wp:extent cx="368617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6 — RAG pipeline module (rag_engine.py).</w:t>
      </w:r>
    </w:p>
    <w:p>
      <w:r>
        <w:br w:type="page"/>
      </w:r>
    </w:p>
    <w:p>
      <w:pPr>
        <w:pStyle w:val="Heading2"/>
      </w:pPr>
      <w:r>
        <w:t xml:space="preserve">5.6 Module 5 — Hospital document upload</w:t>
      </w:r>
    </w:p>
    <w:p>
      <w:pPr>
        <w:spacing w:after="120"/>
      </w:pPr>
      <w:r>
        <w:t xml:space="preserve">The optional per-institution feature: an uploaded PDF is parsed with PyMuPDF, chunked and embedded with the same pipeline, and stored in an isolated per-hospital index that is never mixed with the public guidelines or other hospitals.</w:t>
      </w:r>
    </w:p>
    <w:p>
      <w:pPr>
        <w:spacing w:after="40" w:before="120"/>
        <w:jc w:val="center"/>
      </w:pPr>
      <w:r>
        <w:drawing>
          <wp:inline distT="0" distB="0" distL="0" distR="0">
            <wp:extent cx="3800475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7 — Hospital document upload module (doc_uploader.py).</w:t>
      </w:r>
    </w:p>
    <w:p>
      <w:r>
        <w:br w:type="page"/>
      </w:r>
    </w:p>
    <w:p>
      <w:pPr>
        <w:pStyle w:val="Heading1"/>
      </w:pPr>
      <w:r>
        <w:t xml:space="preserve">6. Benchmark Evaluation</w:t>
      </w:r>
    </w:p>
    <w:p>
      <w:pPr>
        <w:spacing w:after="120"/>
      </w:pPr>
      <w:r>
        <w:t xml:space="preserve">Evaluation was treated as central. A ground-truth set of 15 questions was hand-written, each tied to a known-correct source document, so retrieval accuracy could be measured objectively. Retrieval and generation were evaluated separately, addressing the four required evaluation dimensions: retrieval accuracy, context relevance, response quality, and response latency.</w:t>
      </w:r>
    </w:p>
    <w:p>
      <w:pPr>
        <w:pStyle w:val="Heading2"/>
      </w:pPr>
      <w:r>
        <w:t xml:space="preserve">6.1 Metrics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34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Measures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Maps to spec dimension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 Rate @5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 doc in top 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Retrieval accuracy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MRR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highly the correct doc ranks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Retrieval accuracy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Re-rank lift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 rate after vs before re-rank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Context relevance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Citation 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Answers cite their sources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 quality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Latency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 to produce an answer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 latency</w:t>
            </w:r>
          </w:p>
        </w:tc>
      </w:tr>
    </w:tbl>
    <w:p>
      <w:pPr>
        <w:pStyle w:val="Heading2"/>
      </w:pPr>
      <w:r>
        <w:t xml:space="preserve">6.2 Retrieval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40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 Rate @5 (after re-rank)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93.3% (14/15)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 doc in top 5 for 14 of 15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 Rate @5 (before re-rank)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(15/15)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Bi-encoder alone found every correct doc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 doc almost always ranked first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Re-rank lift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-6.7%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Re-ranking slightly reduced top-5 hit rate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475297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8 — Retrieval performance across 15 ground-truth questions.</w:t>
      </w:r>
    </w:p>
    <w:p>
      <w:pPr>
        <w:spacing w:after="40" w:before="120"/>
        <w:jc w:val="center"/>
      </w:pPr>
      <w:r>
        <w:drawing>
          <wp:inline distT="0" distB="0" distL="0" distR="0">
            <wp:extent cx="475297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9 — The honest re-rank finding: no improvement on an already-saturated corpus.</w:t>
      </w:r>
    </w:p>
    <w:p>
      <w:pPr>
        <w:spacing w:after="120"/>
      </w:pPr>
      <w:r>
        <w:t xml:space="preserve">The negative re-rank lift is the most important honest finding. Because bi-encoder retrieval was already saturated at a 100 percent hit rate, re-ranking had no room to help and on one question demoted an already-correct hit out of the top 5. This demonstrates a real principle: advanced techniques must be measured, not assumed. Re-ranking helps most when first-stage retrieval is weak, which was not the case on this clean corpus; it is retained because it satisfies the advanced-RAG requirement and would add value on a harder or noisier corpus.</w:t>
      </w:r>
    </w:p>
    <w:p>
      <w:pPr>
        <w:spacing w:after="40" w:before="120"/>
        <w:jc w:val="center"/>
      </w:pPr>
      <w:r>
        <w:drawing>
          <wp:inline distT="0" distB="0" distL="0" distR="0">
            <wp:extent cx="54673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10 — Per-question rank of the correct document (one miss: q09).</w:t>
      </w:r>
    </w:p>
    <w:p>
      <w:pPr>
        <w:pStyle w:val="Heading2"/>
      </w:pPr>
      <w:r>
        <w:t xml:space="preserve">6.3 Generation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40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Questions answered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15/15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failures (after retry handling)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6.17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Interactive once models are warm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Citation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93.3%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Answers reference their sources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46735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Figure 11 — Generation latency per question and overall citation rate.</w:t>
      </w:r>
    </w:p>
    <w:p>
      <w:pPr>
        <w:spacing w:after="120"/>
      </w:pPr>
      <w:r>
        <w:t xml:space="preserve">Latency includes retrieval, re-ranking, and the LLM call; warm responses settle around three to four seconds. The grounding guard was verified: where the guidelines genuinely lacked a requested detail, the model said so rather than inventing content. A retry mechanism handled transient cloud 503 errors so a single server hiccup no longer aborts the evaluation.</w:t>
      </w:r>
    </w:p>
    <w:p>
      <w:pPr>
        <w:pStyle w:val="Heading2"/>
      </w:pPr>
      <w:r>
        <w:t xml:space="preserve">6.4 Evaluation tooling choice</w:t>
      </w:r>
    </w:p>
    <w:p>
      <w:pPr>
        <w:spacing w:after="120"/>
      </w:pPr>
      <w:r>
        <w:t xml:space="preserve">Off-the-shelf frameworks (Ragas, TruLens) were considered. A lightweight custom evaluation was chosen so every metric is transparent and computed from the project's own ground-truth set, avoiding extra dependencies and API cost. LLM-graded faithfulness is noted as a future enhancement.</w:t>
      </w:r>
    </w:p>
    <w:p>
      <w:r>
        <w:br w:type="page"/>
      </w:r>
    </w:p>
    <w:p>
      <w:pPr>
        <w:pStyle w:val="Heading1"/>
      </w:pPr>
      <w:r>
        <w:t xml:space="preserve">7.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80"/>
        <w:gridCol w:w="378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Interface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Merged Dash apps, lazy tabs, restyle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Two-tab Streamlit RAG demo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Feature caching (~13 s → ~1 ms)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Batched embedding, cached models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Honesty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Confusion matrix, PR-AUC, weak targets shown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Ground-truth eval, honest re-rank finding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handling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 cleanup, gitignore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Per-hospital isolated upload (PyMuPDF)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Emergency / crisis redirect guard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Hand-built + LangChain LCEL engines</w:t>
            </w:r>
          </w:p>
        </w:tc>
      </w:tr>
    </w:tbl>
    <w:p>
      <w:pPr>
        <w:spacing w:after="120"/>
      </w:pPr>
      <w:r>
        <w:rPr>
          <w:i/>
          <w:iCs/>
        </w:rPr>
        <w:t xml:space="preserve">Across both weeks the consistent theme is honest engineering: real metrics over flattering ones, disclosed limitations, leakage vigilance, and documented rationale for every tool choice. Week 3 met its full specification (including all five tool comparisons) and added re-ranking, a safety guard, per-hospital document upload, and a parallel LangChain engine. The RAG engine exposes a clean interface ready to be served via an API to the planned Week 4 React frontend.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HAIP — Weeks 2–3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1F3D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50"/>
      <w:outlineLvl w:val="2"/>
    </w:pPr>
    <w:rPr>
      <w:rFonts w:ascii="Arial" w:cs="Arial" w:eastAsia="Arial" w:hAnsi="Arial"/>
      <w:b/>
      <w:bCs/>
      <w:color w:val="33547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7b02420fc85b65e5484d65d31c22a0a11e03d89.png"/><Relationship Id="rId10" Type="http://schemas.openxmlformats.org/officeDocument/2006/relationships/image" Target="media/4ac3c865e8d24c9f91659a552c461b5ac3d9996d.png"/><Relationship Id="rId11" Type="http://schemas.openxmlformats.org/officeDocument/2006/relationships/image" Target="media/009ef0e7c1a1cfaa1e7adfaadd2da9c90a993d61.png"/><Relationship Id="rId12" Type="http://schemas.openxmlformats.org/officeDocument/2006/relationships/image" Target="media/02716302f3878683d2a146f791207b905091de65.png"/><Relationship Id="rId13" Type="http://schemas.openxmlformats.org/officeDocument/2006/relationships/image" Target="media/e369c2012716f7422c381645c82e31dd6ea5dd76.png"/><Relationship Id="rId14" Type="http://schemas.openxmlformats.org/officeDocument/2006/relationships/image" Target="media/3ae697d02b187249f7a50e3fe380e762c24f1e9f.png"/><Relationship Id="rId15" Type="http://schemas.openxmlformats.org/officeDocument/2006/relationships/image" Target="media/0f8a0d91e3dc726c6fbcc53652f2cbb913ad053d.png"/><Relationship Id="rId16" Type="http://schemas.openxmlformats.org/officeDocument/2006/relationships/image" Target="media/482b241e89124a0591b0a3c46dc40a174c4dfcff.png"/><Relationship Id="rId17" Type="http://schemas.openxmlformats.org/officeDocument/2006/relationships/image" Target="media/1769334655b2e310cfe6a840c40d681e662cfd5f.png"/><Relationship Id="rId18" Type="http://schemas.openxmlformats.org/officeDocument/2006/relationships/image" Target="media/2138298f847d8920b01d599754f99d709a9758ec.png"/><Relationship Id="rId19" Type="http://schemas.openxmlformats.org/officeDocument/2006/relationships/image" Target="media/2582316ecaf853ce912dc97dca77b84bc170b78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2026-06-29T07:20:36.873Z</dcterms:created>
  <dcterms:modified xsi:type="dcterms:W3CDTF">2026-06-29T07:20:36.885Z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