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250"/>
      </w:pPr>
      <w:r>
        <w:rPr>
          <w:rFonts w:ascii="Aptos" w:cs="Aptos" w:eastAsia="Aptos" w:hAnsi="Aptos"/>
          <w:b/>
          <w:bCs/>
          <w:color w:val="47BFA9"/>
          <w:sz w:val="24"/>
          <w:szCs w:val="24"/>
        </w:rPr>
        <w:t xml:space="preserve">SOPDISPONAL</w:t>
      </w:r>
    </w:p>
    <w:p>
      <w:pPr>
        <w:spacing w:after="220"/>
      </w:pPr>
      <w:r>
        <w:rPr>
          <w:rFonts w:ascii="Aptos Display" w:cs="Aptos Display" w:eastAsia="Aptos Display" w:hAnsi="Aptos Display"/>
          <w:b/>
          <w:bCs/>
          <w:color w:val="0C2940"/>
          <w:sz w:val="48"/>
          <w:szCs w:val="48"/>
        </w:rPr>
        <w:t xml:space="preserve">Propuesta de modernización</w:t>
      </w:r>
    </w:p>
    <w:p>
      <w:pPr>
        <w:spacing w:after="120" w:before="0" w:line="276"/>
      </w:pPr>
      <w:r>
        <w:rPr>
          <w:rFonts w:ascii="Aptos" w:cs="Aptos" w:eastAsia="Aptos" w:hAnsi="Aptos"/>
          <w:color w:val="0074BA"/>
          <w:sz w:val="29"/>
          <w:szCs w:val="29"/>
        </w:rPr>
        <w:t xml:space="preserve">Nueva plataforma administrativa interna</w:t>
      </w:r>
    </w:p>
    <w:p>
      <w:pPr>
        <w:spacing w:after="560" w:before="0" w:line="315"/>
      </w:pPr>
      <w:r>
        <w:rPr>
          <w:rFonts w:ascii="Aptos" w:cs="Aptos" w:eastAsia="Aptos" w:hAnsi="Aptos"/>
          <w:color w:val="5D7182"/>
          <w:sz w:val="23"/>
          <w:szCs w:val="23"/>
        </w:rPr>
        <w:t xml:space="preserve">Una solución segura, ordenada y preparada para acompañar la operación diaria de Sopdisponal.</w:t>
      </w:r>
    </w:p>
    <w:tbl>
      <w:tblPr>
        <w:tblW w:type="dxa" w:w="10466"/>
        <w:tblBorders>
          <w:top w:val="single" w:color="DCE6ED" w:sz="8"/>
          <w:left w:val="single" w:color="DCE6ED" w:sz="8"/>
          <w:bottom w:val="single" w:color="DCE6ED" w:sz="8"/>
          <w:right w:val="single" w:color="DCE6ED" w:sz="8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color="E8F6E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5" w:before="0" w:line="276"/>
            </w:pPr>
            <w:r>
              <w:rPr>
                <w:rFonts w:ascii="Aptos" w:cs="Aptos" w:eastAsia="Aptos" w:hAnsi="Aptos"/>
                <w:b/>
                <w:bCs/>
                <w:color w:val="0C2940"/>
                <w:sz w:val="19"/>
                <w:szCs w:val="19"/>
              </w:rPr>
              <w:t xml:space="preserve">Propósito</w:t>
            </w:r>
          </w:p>
          <w:p>
            <w:pPr>
              <w:spacing w:after="0" w:before="0" w:line="245"/>
            </w:pPr>
            <w:r>
              <w:rPr>
                <w:rFonts w:ascii="Aptos" w:cs="Aptos" w:eastAsia="Aptos" w:hAnsi="Aptos"/>
                <w:color w:val="10283B"/>
                <w:sz w:val="18"/>
                <w:szCs w:val="18"/>
              </w:rPr>
              <w:t xml:space="preserve">Reemplazar la operación administrativa heredada por una plataforma moderna. El foco es mejorar el control, la seguridad y la atención de afiliados y beneficiarios.</w:t>
            </w:r>
          </w:p>
        </w:tc>
      </w:tr>
    </w:tbl>
    <w:p>
      <w:pPr>
        <w:spacing w:before="620"/>
      </w:pPr>
      <w:r>
        <w:rPr>
          <w:rFonts w:ascii="Aptos" w:cs="Aptos" w:eastAsia="Aptos" w:hAnsi="Aptos"/>
          <w:color w:val="5D7182"/>
          <w:sz w:val="18"/>
          <w:szCs w:val="18"/>
        </w:rPr>
        <w:t xml:space="preserve">Propuesta funcional · 11 de septiembre de 2026</w:t>
      </w:r>
    </w:p>
    <w:p>
      <w:r>
        <w:br w:type="page"/>
      </w:r>
    </w:p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Contenido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1. Resumen de la propuesta</w:t>
      </w:r>
    </w:p>
    <w:p>
      <w:pPr>
        <w:spacing w:after="140" w:before="0" w:line="276"/>
      </w:pPr>
      <w:r>
        <w:rPr>
          <w:rFonts w:ascii="Aptos" w:cs="Aptos" w:eastAsia="Aptos" w:hAnsi="Aptos"/>
          <w:color w:val="10283B"/>
          <w:sz w:val="20"/>
          <w:szCs w:val="20"/>
        </w:rPr>
        <w:t xml:space="preserve">Sopdisponal necesita una única plataforma administrativa, diseñada para el uso interno del equipo. La propuesta reemplaza procesos dispersos y el módulo heredado de consulta por un sistema donde cada afiliado, beneficiario, pago, documento y novedad tenga una historia clara y controlada.</w:t>
      </w:r>
    </w:p>
    <w:p>
      <w:pPr>
        <w:spacing w:after="140" w:before="0" w:line="276"/>
      </w:pPr>
      <w:r>
        <w:rPr>
          <w:rFonts w:ascii="Aptos" w:cs="Aptos" w:eastAsia="Aptos" w:hAnsi="Aptos"/>
          <w:color w:val="10283B"/>
          <w:sz w:val="20"/>
          <w:szCs w:val="20"/>
        </w:rPr>
        <w:t xml:space="preserve">No se propone reconstruir el sitio web público en esta etapa. La prioridad es el sistema interno: allí se gestiona la información sensible, se atienden las novedades y se toman decisiones operativas.</w:t>
      </w:r>
    </w:p>
    <w:tbl>
      <w:tblPr>
        <w:tblW w:type="dxa" w:w="10466"/>
        <w:tblBorders>
          <w:top w:val="single" w:color="DCE6ED" w:sz="8"/>
          <w:left w:val="single" w:color="DCE6ED" w:sz="8"/>
          <w:bottom w:val="single" w:color="DCE6ED" w:sz="8"/>
          <w:right w:val="single" w:color="DCE6ED" w:sz="8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color="E5F3FB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5" w:before="0" w:line="276"/>
            </w:pPr>
            <w:r>
              <w:rPr>
                <w:rFonts w:ascii="Aptos" w:cs="Aptos" w:eastAsia="Aptos" w:hAnsi="Aptos"/>
                <w:b/>
                <w:bCs/>
                <w:color w:val="0C2940"/>
                <w:sz w:val="19"/>
                <w:szCs w:val="19"/>
              </w:rPr>
              <w:t xml:space="preserve">Resultado esperado</w:t>
            </w:r>
          </w:p>
          <w:p>
            <w:pPr>
              <w:spacing w:after="0" w:before="0" w:line="245"/>
            </w:pPr>
            <w:r>
              <w:rPr>
                <w:rFonts w:ascii="Aptos" w:cs="Aptos" w:eastAsia="Aptos" w:hAnsi="Aptos"/>
                <w:color w:val="10283B"/>
                <w:sz w:val="18"/>
                <w:szCs w:val="18"/>
              </w:rPr>
              <w:t xml:space="preserve">Un equipo autorizado podrá consultar y administrar la información desde un panel central: saber quién está activo, inactivo o suspendido; revisar pagos y documentos; proteger datos personales; y contar con trazabilidad de lo que se modifica.</w:t>
            </w:r>
          </w:p>
        </w:tc>
      </w:tr>
    </w:tbl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2. ¿Por qué implementar esta mejora ahora?</w:t>
      </w:r>
    </w:p>
    <w:tbl>
      <w:tblPr>
        <w:tblW w:type="dxa" w:w="10466"/>
        <w:tblBorders>
          <w:top w:val="single" w:color="DCE6ED" w:sz="6"/>
          <w:left w:val="single" w:color="DCE6ED" w:sz="6"/>
          <w:bottom w:val="single" w:color="DCE6ED" w:sz="6"/>
          <w:right w:val="single" w:color="DCE6ED" w:sz="6"/>
          <w:insideH w:val="single" w:color="DCE6ED" w:sz="4"/>
          <w:insideV w:val="single" w:color="DCE6ED" w:sz="4"/>
        </w:tblBorders>
      </w:tblPr>
      <w:tblGrid>
        <w:gridCol w:w="2900"/>
        <w:gridCol w:w="4200"/>
        <w:gridCol w:w="3366"/>
      </w:tblGrid>
      <w:tr>
        <w:trPr>
          <w:tblHeader/>
        </w:trPr>
        <w:tc>
          <w:tcPr>
            <w:tcW w:type="dxa" w:w="29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Hoy</w:t>
            </w:r>
          </w:p>
        </w:tc>
        <w:tc>
          <w:tcPr>
            <w:tcW w:type="dxa" w:w="42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Con la nueva plataforma</w:t>
            </w:r>
          </w:p>
        </w:tc>
        <w:tc>
          <w:tcPr>
            <w:tcW w:type="dxa" w:w="3366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Beneficio</w:t>
            </w:r>
          </w:p>
        </w:tc>
      </w:tr>
      <w:tr>
        <w:tc>
          <w:tcPr>
            <w:tcW w:type="dxa" w:w="29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Información y procesos heredados con alcance limitado.</w:t>
            </w:r>
          </w:p>
        </w:tc>
        <w:tc>
          <w:tcPr>
            <w:tcW w:type="dxa" w:w="42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Sistema interno creado alrededor de la operación real.</w:t>
            </w:r>
          </w:p>
        </w:tc>
        <w:tc>
          <w:tcPr>
            <w:tcW w:type="dxa" w:w="3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Menos dependencia de fuentes dispersas.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Un afiliado puede requerir varias consultas.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Ficha única para titular, beneficiarios, pagos, documentos y observaciones.</w:t>
            </w:r>
          </w:p>
        </w:tc>
        <w:tc>
          <w:tcPr>
            <w:tcW w:type="dxa" w:w="33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Atención más rápida y menor riesgo de omitir información.</w:t>
            </w:r>
          </w:p>
        </w:tc>
      </w:tr>
      <w:tr>
        <w:tc>
          <w:tcPr>
            <w:tcW w:type="dxa" w:w="29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Los estados por falta de pago se revisan manualmente.</w:t>
            </w:r>
          </w:p>
        </w:tc>
        <w:tc>
          <w:tcPr>
            <w:tcW w:type="dxa" w:w="42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Reglas automáticas a 3 y 6 meses.</w:t>
            </w:r>
          </w:p>
        </w:tc>
        <w:tc>
          <w:tcPr>
            <w:tcW w:type="dxa" w:w="3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Criterios consistentes y seguimiento oportuno.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Los documentos pueden quedar dispersos.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Expediente PDF privado por afiliado.</w:t>
            </w:r>
          </w:p>
        </w:tc>
        <w:tc>
          <w:tcPr>
            <w:tcW w:type="dxa" w:w="33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Información organizada y restringida.</w:t>
            </w:r>
          </w:p>
        </w:tc>
      </w:tr>
      <w:tr>
        <w:tc>
          <w:tcPr>
            <w:tcW w:type="dxa" w:w="29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La dirección no tiene una vista inmediata.</w:t>
            </w:r>
          </w:p>
        </w:tc>
        <w:tc>
          <w:tcPr>
            <w:tcW w:type="dxa" w:w="42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Dashboard con indicadores operativos.</w:t>
            </w:r>
          </w:p>
        </w:tc>
        <w:tc>
          <w:tcPr>
            <w:tcW w:type="dxa" w:w="3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Decisiones con información visible y actualizada.</w:t>
            </w:r>
          </w:p>
        </w:tc>
      </w:tr>
    </w:tbl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3. Objetivos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Centralizar la operación administrativa de Sopdisponal.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Proteger datos personales, documentos y pagos mediante accesos definidos por usuario.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Reducir tareas manuales y errores mediante validaciones, alertas y reglas automáticas.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Conservar el historial sin mostrar información sensible a quien no la necesita.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Entregar a la dirección indicadores claros y reportes controlados.</w:t>
      </w:r>
    </w:p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4. Alcance funcional</w:t>
      </w:r>
    </w:p>
    <w:p>
      <w:pPr>
        <w:pStyle w:val="Heading2"/>
        <w:spacing w:after="150" w:before="250"/>
        <w:rPr>
          <w:rFonts w:ascii="Aptos Display" w:cs="Aptos Display" w:eastAsia="Aptos Display" w:hAnsi="Aptos Display"/>
          <w:b/>
          <w:bCs/>
          <w:color w:val="0074BA"/>
          <w:sz w:val="24"/>
          <w:szCs w:val="24"/>
        </w:rPr>
      </w:pPr>
      <w:r>
        <w:t xml:space="preserve">4.1 Dashboard y operación diaria</w:t>
      </w:r>
    </w:p>
    <w:tbl>
      <w:tblPr>
        <w:tblW w:type="dxa" w:w="10466"/>
        <w:tblBorders>
          <w:top w:val="single" w:color="DCE6ED" w:sz="6"/>
          <w:left w:val="single" w:color="DCE6ED" w:sz="6"/>
          <w:bottom w:val="single" w:color="DCE6ED" w:sz="6"/>
          <w:right w:val="single" w:color="DCE6ED" w:sz="6"/>
          <w:insideH w:val="single" w:color="DCE6ED" w:sz="4"/>
          <w:insideV w:val="single" w:color="DCE6ED" w:sz="4"/>
        </w:tblBorders>
      </w:tblPr>
      <w:tblGrid>
        <w:gridCol w:w="2500"/>
        <w:gridCol w:w="4500"/>
        <w:gridCol w:w="3466"/>
      </w:tblGrid>
      <w:tr>
        <w:trPr>
          <w:tblHeader/>
        </w:trPr>
        <w:tc>
          <w:tcPr>
            <w:tcW w:type="dxa" w:w="25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45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Qué hará</w:t>
            </w:r>
          </w:p>
        </w:tc>
        <w:tc>
          <w:tcPr>
            <w:tcW w:type="dxa" w:w="3466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2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Dashboard</w:t>
            </w:r>
          </w:p>
        </w:tc>
        <w:tc>
          <w:tcPr>
            <w:tcW w:type="dxa" w:w="4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Página inicial con titulares y beneficiarios activos, inactivos y fallecidos.</w:t>
            </w:r>
          </w:p>
        </w:tc>
        <w:tc>
          <w:tcPr>
            <w:tcW w:type="dxa" w:w="34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Visión general inmediata de la operación.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Novedades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Alertas por actualización de datos, pagos y tareas relevantes.</w:t>
            </w:r>
          </w:p>
        </w:tc>
        <w:tc>
          <w:tcPr>
            <w:tcW w:type="dxa" w:w="34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El equipo puede priorizar su trabajo.</w:t>
            </w:r>
          </w:p>
        </w:tc>
      </w:tr>
      <w:tr>
        <w:tc>
          <w:tcPr>
            <w:tcW w:type="dxa" w:w="2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Aviso de oficina</w:t>
            </w:r>
          </w:p>
        </w:tc>
        <w:tc>
          <w:tcPr>
            <w:tcW w:type="dxa" w:w="4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Imagen o documento para vacaciones, Semana Santa u otros cierres.</w:t>
            </w:r>
          </w:p>
        </w:tc>
        <w:tc>
          <w:tcPr>
            <w:tcW w:type="dxa" w:w="34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Comunicación operativa sencilla.</w:t>
            </w:r>
          </w:p>
        </w:tc>
      </w:tr>
    </w:tbl>
    <w:p>
      <w:pPr>
        <w:pStyle w:val="Heading2"/>
        <w:spacing w:after="150" w:before="250"/>
        <w:rPr>
          <w:rFonts w:ascii="Aptos Display" w:cs="Aptos Display" w:eastAsia="Aptos Display" w:hAnsi="Aptos Display"/>
          <w:b/>
          <w:bCs/>
          <w:color w:val="0074BA"/>
          <w:sz w:val="24"/>
          <w:szCs w:val="24"/>
        </w:rPr>
      </w:pPr>
      <w:r>
        <w:t xml:space="preserve">4.2 Afiliados y beneficiarios</w:t>
      </w:r>
    </w:p>
    <w:tbl>
      <w:tblPr>
        <w:tblW w:type="dxa" w:w="10466"/>
        <w:tblBorders>
          <w:top w:val="single" w:color="DCE6ED" w:sz="6"/>
          <w:left w:val="single" w:color="DCE6ED" w:sz="6"/>
          <w:bottom w:val="single" w:color="DCE6ED" w:sz="6"/>
          <w:right w:val="single" w:color="DCE6ED" w:sz="6"/>
          <w:insideH w:val="single" w:color="DCE6ED" w:sz="4"/>
          <w:insideV w:val="single" w:color="DCE6ED" w:sz="4"/>
        </w:tblBorders>
      </w:tblPr>
      <w:tblGrid>
        <w:gridCol w:w="2500"/>
        <w:gridCol w:w="4500"/>
        <w:gridCol w:w="3466"/>
      </w:tblGrid>
      <w:tr>
        <w:trPr>
          <w:tblHeader/>
        </w:trPr>
        <w:tc>
          <w:tcPr>
            <w:tcW w:type="dxa" w:w="25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45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Alcance</w:t>
            </w:r>
          </w:p>
        </w:tc>
        <w:tc>
          <w:tcPr>
            <w:tcW w:type="dxa" w:w="3466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c>
          <w:tcPr>
            <w:tcW w:type="dxa" w:w="2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Directorio y búsqueda</w:t>
            </w:r>
          </w:p>
        </w:tc>
        <w:tc>
          <w:tcPr>
            <w:tcW w:type="dxa" w:w="4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Búsqueda por nombre, documento, organización o beneficiario.</w:t>
            </w:r>
          </w:p>
        </w:tc>
        <w:tc>
          <w:tcPr>
            <w:tcW w:type="dxa" w:w="34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Acceso rápido al registro correcto.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Ficha integral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Datos personales, fecha de expedición de cédula, contacto, pagos, documentos y notas.</w:t>
            </w:r>
          </w:p>
        </w:tc>
        <w:tc>
          <w:tcPr>
            <w:tcW w:type="dxa" w:w="34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Una sola fuente para la atención.</w:t>
            </w:r>
          </w:p>
        </w:tc>
      </w:tr>
      <w:tr>
        <w:tc>
          <w:tcPr>
            <w:tcW w:type="dxa" w:w="2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Clasificación</w:t>
            </w:r>
          </w:p>
        </w:tc>
        <w:tc>
          <w:tcPr>
            <w:tcW w:type="dxa" w:w="4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Particular, Activo, CASUR o TEGEN.</w:t>
            </w:r>
          </w:p>
        </w:tc>
        <w:tc>
          <w:tcPr>
            <w:tcW w:type="dxa" w:w="34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Segmentación clara para seguimiento.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Periodo inicial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Color diferencial hasta completar seis meses.</w:t>
            </w:r>
          </w:p>
        </w:tc>
        <w:tc>
          <w:tcPr>
            <w:tcW w:type="dxa" w:w="34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La fecha de acceso al 100 % se ve claramente.</w:t>
            </w:r>
          </w:p>
        </w:tc>
      </w:tr>
      <w:tr>
        <w:tc>
          <w:tcPr>
            <w:tcW w:type="dxa" w:w="2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Beneficiarios</w:t>
            </w:r>
          </w:p>
        </w:tc>
        <w:tc>
          <w:tcPr>
            <w:tcW w:type="dxa" w:w="4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Parentesco, datos, estado y cobertura individual.</w:t>
            </w:r>
          </w:p>
        </w:tc>
        <w:tc>
          <w:tcPr>
            <w:tcW w:type="dxa" w:w="34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Relación ordenada con el titular.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Fallecidos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Historial administrativo reservado, fuera de la vista operativa.</w:t>
            </w:r>
          </w:p>
        </w:tc>
        <w:tc>
          <w:tcPr>
            <w:tcW w:type="dxa" w:w="34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Manejo sensible y respetuoso de la información.</w:t>
            </w:r>
          </w:p>
        </w:tc>
      </w:tr>
    </w:tbl>
    <w:p>
      <w:pPr>
        <w:pStyle w:val="Heading2"/>
        <w:spacing w:after="150" w:before="250"/>
        <w:rPr>
          <w:rFonts w:ascii="Aptos Display" w:cs="Aptos Display" w:eastAsia="Aptos Display" w:hAnsi="Aptos Display"/>
          <w:b/>
          <w:bCs/>
          <w:color w:val="0074BA"/>
          <w:sz w:val="24"/>
          <w:szCs w:val="24"/>
        </w:rPr>
      </w:pPr>
      <w:r>
        <w:t xml:space="preserve">4.3 Pagos, documentos y control</w:t>
      </w:r>
    </w:p>
    <w:tbl>
      <w:tblPr>
        <w:tblW w:type="dxa" w:w="10466"/>
        <w:tblBorders>
          <w:top w:val="single" w:color="DCE6ED" w:sz="6"/>
          <w:left w:val="single" w:color="DCE6ED" w:sz="6"/>
          <w:bottom w:val="single" w:color="DCE6ED" w:sz="6"/>
          <w:right w:val="single" w:color="DCE6ED" w:sz="6"/>
          <w:insideH w:val="single" w:color="DCE6ED" w:sz="4"/>
          <w:insideV w:val="single" w:color="DCE6ED" w:sz="4"/>
        </w:tblBorders>
      </w:tblPr>
      <w:tblGrid>
        <w:gridCol w:w="2500"/>
        <w:gridCol w:w="4500"/>
        <w:gridCol w:w="3466"/>
      </w:tblGrid>
      <w:tr>
        <w:trPr>
          <w:tblHeader/>
        </w:trPr>
        <w:tc>
          <w:tcPr>
            <w:tcW w:type="dxa" w:w="25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45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Alcance</w:t>
            </w:r>
          </w:p>
        </w:tc>
        <w:tc>
          <w:tcPr>
            <w:tcW w:type="dxa" w:w="3466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</w:tr>
      <w:tr>
        <w:tc>
          <w:tcPr>
            <w:tcW w:type="dxa" w:w="2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Pagos y lotes</w:t>
            </w:r>
          </w:p>
        </w:tc>
        <w:tc>
          <w:tcPr>
            <w:tcW w:type="dxa" w:w="4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Histórico individual; lotes de Activos, CASUR, TEGEN y particulares; observaciones.</w:t>
            </w:r>
          </w:p>
        </w:tc>
        <w:tc>
          <w:tcPr>
            <w:tcW w:type="dxa" w:w="34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Trazabilidad financiera por afiliado.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Regla de mora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 3 meses sin pago: inactivo. A 6 meses: suspendido. No aplica a fallecidos.</w:t>
            </w:r>
          </w:p>
        </w:tc>
        <w:tc>
          <w:tcPr>
            <w:tcW w:type="dxa" w:w="34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Estados automáticos, auditables y consistentes.</w:t>
            </w:r>
          </w:p>
        </w:tc>
      </w:tr>
      <w:tr>
        <w:tc>
          <w:tcPr>
            <w:tcW w:type="dxa" w:w="2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Expediente PDF</w:t>
            </w:r>
          </w:p>
        </w:tc>
        <w:tc>
          <w:tcPr>
            <w:tcW w:type="dxa" w:w="4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Hoja de vida y soportes privados por afiliado.</w:t>
            </w:r>
          </w:p>
        </w:tc>
        <w:tc>
          <w:tcPr>
            <w:tcW w:type="dxa" w:w="34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Solo usuarios autorizados cargan o consultan archivos.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Reportes y notificaciones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Informes mensuales y alertas de actualizaciones relevantes.</w:t>
            </w:r>
          </w:p>
        </w:tc>
        <w:tc>
          <w:tcPr>
            <w:tcW w:type="dxa" w:w="34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Seguimiento sin depender de revisiones manuales.</w:t>
            </w:r>
          </w:p>
        </w:tc>
      </w:tr>
      <w:tr>
        <w:tc>
          <w:tcPr>
            <w:tcW w:type="dxa" w:w="2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Usuarios y exportaciones</w:t>
            </w:r>
          </w:p>
        </w:tc>
        <w:tc>
          <w:tcPr>
            <w:tcW w:type="dxa" w:w="45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Roles; permiso específico para descargar información; registro de actividad.</w:t>
            </w:r>
          </w:p>
        </w:tc>
        <w:tc>
          <w:tcPr>
            <w:tcW w:type="dxa" w:w="34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El dato se comparte solo cuando está autorizado.</w:t>
            </w:r>
          </w:p>
        </w:tc>
      </w:tr>
    </w:tbl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5. Fase posterior: asistente interno con IA</w:t>
      </w:r>
    </w:p>
    <w:tbl>
      <w:tblPr>
        <w:tblW w:type="dxa" w:w="10466"/>
        <w:tblBorders>
          <w:top w:val="single" w:color="DCE6ED" w:sz="8"/>
          <w:left w:val="single" w:color="DCE6ED" w:sz="8"/>
          <w:bottom w:val="single" w:color="DCE6ED" w:sz="8"/>
          <w:right w:val="single" w:color="DCE6ED" w:sz="8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color="FFF4D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5" w:before="0" w:line="276"/>
            </w:pPr>
            <w:r>
              <w:rPr>
                <w:rFonts w:ascii="Aptos" w:cs="Aptos" w:eastAsia="Aptos" w:hAnsi="Aptos"/>
                <w:b/>
                <w:bCs/>
                <w:color w:val="0C2940"/>
                <w:sz w:val="19"/>
                <w:szCs w:val="19"/>
              </w:rPr>
              <w:t xml:space="preserve">IA con control humano</w:t>
            </w:r>
          </w:p>
          <w:p>
            <w:pPr>
              <w:spacing w:after="0" w:before="0" w:line="245"/>
            </w:pPr>
            <w:r>
              <w:rPr>
                <w:rFonts w:ascii="Aptos" w:cs="Aptos" w:eastAsia="Aptos" w:hAnsi="Aptos"/>
                <w:color w:val="10283B"/>
                <w:sz w:val="18"/>
                <w:szCs w:val="18"/>
              </w:rPr>
              <w:t xml:space="preserve">El asistente interno se propone para una fase final. Permitirá consultar información autorizada y adjuntar archivos permitidos. No ejecutará cambios sensibles sin confirmación humana y solo trabajará con datos a los que el usuario tenga permiso.</w:t>
            </w:r>
          </w:p>
        </w:tc>
      </w:tr>
    </w:tbl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6. Riesgos y debilidades del sistema anterior</w:t>
      </w:r>
    </w:p>
    <w:p>
      <w:pPr>
        <w:spacing w:after="140" w:before="0" w:line="276"/>
      </w:pPr>
      <w:r>
        <w:rPr>
          <w:rFonts w:ascii="Aptos" w:cs="Aptos" w:eastAsia="Aptos" w:hAnsi="Aptos"/>
          <w:color w:val="10283B"/>
          <w:sz w:val="20"/>
          <w:szCs w:val="20"/>
        </w:rPr>
        <w:t xml:space="preserve">La revisión del material heredado se enfocó en riesgos de continuidad y seguridad, sin exponer información confidencial. Los hallazgos justifican tratar la modernización como prioritaria.</w:t>
      </w:r>
    </w:p>
    <w:tbl>
      <w:tblPr>
        <w:tblW w:type="dxa" w:w="10466"/>
        <w:tblBorders>
          <w:top w:val="single" w:color="DCE6ED" w:sz="6"/>
          <w:left w:val="single" w:color="DCE6ED" w:sz="6"/>
          <w:bottom w:val="single" w:color="DCE6ED" w:sz="6"/>
          <w:right w:val="single" w:color="DCE6ED" w:sz="6"/>
          <w:insideH w:val="single" w:color="DCE6ED" w:sz="4"/>
          <w:insideV w:val="single" w:color="DCE6ED" w:sz="4"/>
        </w:tblBorders>
      </w:tblPr>
      <w:tblGrid>
        <w:gridCol w:w="3100"/>
        <w:gridCol w:w="3700"/>
        <w:gridCol w:w="3666"/>
      </w:tblGrid>
      <w:tr>
        <w:trPr>
          <w:tblHeader/>
        </w:trPr>
        <w:tc>
          <w:tcPr>
            <w:tcW w:type="dxa" w:w="31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Riesgo identificado</w:t>
            </w:r>
          </w:p>
        </w:tc>
        <w:tc>
          <w:tcPr>
            <w:tcW w:type="dxa" w:w="37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Impacto posible</w:t>
            </w:r>
          </w:p>
        </w:tc>
        <w:tc>
          <w:tcPr>
            <w:tcW w:type="dxa" w:w="3666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Respuesta propuesta</w:t>
            </w:r>
          </w:p>
        </w:tc>
      </w:tr>
      <w:tr>
        <w:tc>
          <w:tcPr>
            <w:tcW w:type="dxa" w:w="31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Respaldo heredado con servidor, bases de datos y archivos de autenticación.</w:t>
            </w:r>
          </w:p>
        </w:tc>
        <w:tc>
          <w:tcPr>
            <w:tcW w:type="dxa" w:w="37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Exposición de accesos o datos personales si se copia o comparte sin controles.</w:t>
            </w:r>
          </w:p>
        </w:tc>
        <w:tc>
          <w:tcPr>
            <w:tcW w:type="dxa" w:w="36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Tratarlo como confidencial; no subirlo a GitHub; limitar acceso y renovar credenciales.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Tecnología y dependencias con mantenimiento incierto.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Dificultad para actualizar, corregir vulnerabilidades o crecer.</w:t>
            </w:r>
          </w:p>
        </w:tc>
        <w:tc>
          <w:tcPr>
            <w:tcW w:type="dxa" w:w="36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Nueva base tecnológica con actualizaciones y despliegue controlado.</w:t>
            </w:r>
          </w:p>
        </w:tc>
      </w:tr>
      <w:tr>
        <w:tc>
          <w:tcPr>
            <w:tcW w:type="dxa" w:w="31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Consulta administrativa asociada a un entorno web heredado.</w:t>
            </w:r>
          </w:p>
        </w:tc>
        <w:tc>
          <w:tcPr>
            <w:tcW w:type="dxa" w:w="37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Separación insuficiente entre operación interna e información pública.</w:t>
            </w:r>
          </w:p>
        </w:tc>
        <w:tc>
          <w:tcPr>
            <w:tcW w:type="dxa" w:w="36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Sistema administrativo independiente, con inicio de sesión y rutas protegidas.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Datos y documentos sin modelo único.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Duplicidad, errores y falta de visión completa del afiliado.</w:t>
            </w:r>
          </w:p>
        </w:tc>
        <w:tc>
          <w:tcPr>
            <w:tcW w:type="dxa" w:w="36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Modelo central de afiliado, beneficiario, pago, documento y auditoría.</w:t>
            </w:r>
          </w:p>
        </w:tc>
      </w:tr>
      <w:tr>
        <w:tc>
          <w:tcPr>
            <w:tcW w:type="dxa" w:w="31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Permisos y descargas sin matriz granular.</w:t>
            </w:r>
          </w:p>
        </w:tc>
        <w:tc>
          <w:tcPr>
            <w:tcW w:type="dxa" w:w="37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Acceso o exportación fuera de la necesidad laboral.</w:t>
            </w:r>
          </w:p>
        </w:tc>
        <w:tc>
          <w:tcPr>
            <w:tcW w:type="dxa" w:w="36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Roles, permisos específicos y registro de exportaciones.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Reglas de cartera manuales.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Estados inconsistentes y seguimiento tardío.</w:t>
            </w:r>
          </w:p>
        </w:tc>
        <w:tc>
          <w:tcPr>
            <w:tcW w:type="dxa" w:w="36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Regla automática de 3 y 6 meses, verificable.</w:t>
            </w:r>
          </w:p>
        </w:tc>
      </w:tr>
    </w:tbl>
    <w:tbl>
      <w:tblPr>
        <w:tblW w:type="dxa" w:w="10466"/>
        <w:tblBorders>
          <w:top w:val="single" w:color="DCE6ED" w:sz="8"/>
          <w:left w:val="single" w:color="DCE6ED" w:sz="8"/>
          <w:bottom w:val="single" w:color="DCE6ED" w:sz="8"/>
          <w:right w:val="single" w:color="DCE6ED" w:sz="8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color="FDECE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5" w:before="0" w:line="276"/>
            </w:pPr>
            <w:r>
              <w:rPr>
                <w:rFonts w:ascii="Aptos" w:cs="Aptos" w:eastAsia="Aptos" w:hAnsi="Aptos"/>
                <w:b/>
                <w:bCs/>
                <w:color w:val="0C2940"/>
                <w:sz w:val="19"/>
                <w:szCs w:val="19"/>
              </w:rPr>
              <w:t xml:space="preserve">Acción recomendada inmediata</w:t>
            </w:r>
          </w:p>
          <w:p>
            <w:pPr>
              <w:spacing w:after="0" w:before="0" w:line="245"/>
            </w:pPr>
            <w:r>
              <w:rPr>
                <w:rFonts w:ascii="Aptos" w:cs="Aptos" w:eastAsia="Aptos" w:hAnsi="Aptos"/>
                <w:color w:val="10283B"/>
                <w:sz w:val="18"/>
                <w:szCs w:val="18"/>
              </w:rPr>
              <w:t xml:space="preserve">El respaldo antiguo debe considerarse material restringido. No debe enviarse por correo sin protección, publicarse en repositorios ni usarse como fuente directa. Antes de cualquier migración se deben renovar accesos y preparar una copia de trabajo controlada.</w:t>
            </w:r>
          </w:p>
        </w:tc>
      </w:tr>
    </w:tbl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7. Seguridad de la nueva plataforma</w:t>
      </w:r>
    </w:p>
    <w:tbl>
      <w:tblPr>
        <w:tblW w:type="dxa" w:w="10466"/>
        <w:tblBorders>
          <w:top w:val="single" w:color="DCE6ED" w:sz="6"/>
          <w:left w:val="single" w:color="DCE6ED" w:sz="6"/>
          <w:bottom w:val="single" w:color="DCE6ED" w:sz="6"/>
          <w:right w:val="single" w:color="DCE6ED" w:sz="6"/>
          <w:insideH w:val="single" w:color="DCE6ED" w:sz="4"/>
          <w:insideV w:val="single" w:color="DCE6ED" w:sz="4"/>
        </w:tblBorders>
      </w:tblPr>
      <w:tblGrid>
        <w:gridCol w:w="3100"/>
        <w:gridCol w:w="7366"/>
      </w:tblGrid>
      <w:tr>
        <w:trPr>
          <w:tblHeader/>
        </w:trPr>
        <w:tc>
          <w:tcPr>
            <w:tcW w:type="dxa" w:w="31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type="dxa" w:w="7366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Cómo se aplica</w:t>
            </w:r>
          </w:p>
        </w:tc>
      </w:tr>
      <w:tr>
        <w:tc>
          <w:tcPr>
            <w:tcW w:type="dxa" w:w="31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Acceso identificado</w:t>
            </w:r>
          </w:p>
        </w:tc>
        <w:tc>
          <w:tcPr>
            <w:tcW w:type="dxa" w:w="7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Cada persona ingresa con su cuenta; los accesos se pueden retirar o ajustar individualmente.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Permisos por tarea</w:t>
            </w:r>
          </w:p>
        </w:tc>
        <w:tc>
          <w:tcPr>
            <w:tcW w:type="dxa" w:w="73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Se diferencian consulta, edición, documentos, pagos, exportaciones y administración.</w:t>
            </w:r>
          </w:p>
        </w:tc>
      </w:tr>
      <w:tr>
        <w:tc>
          <w:tcPr>
            <w:tcW w:type="dxa" w:w="31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Datos protegidos</w:t>
            </w:r>
          </w:p>
        </w:tc>
        <w:tc>
          <w:tcPr>
            <w:tcW w:type="dxa" w:w="7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La base de datos aplica políticas para que cada consulta obtenga solo información autorizada.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Archivos privados</w:t>
            </w:r>
          </w:p>
        </w:tc>
        <w:tc>
          <w:tcPr>
            <w:tcW w:type="dxa" w:w="73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Los PDFs no se publican en internet; cada acceso se valida.</w:t>
            </w:r>
          </w:p>
        </w:tc>
      </w:tr>
      <w:tr>
        <w:tc>
          <w:tcPr>
            <w:tcW w:type="dxa" w:w="31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Auditoría</w:t>
            </w:r>
          </w:p>
        </w:tc>
        <w:tc>
          <w:tcPr>
            <w:tcW w:type="dxa" w:w="7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Los cambios relevantes registran usuario, fecha y operación.</w:t>
            </w:r>
          </w:p>
        </w:tc>
      </w:tr>
      <w:t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Despliegue seguro</w:t>
            </w:r>
          </w:p>
        </w:tc>
        <w:tc>
          <w:tcPr>
            <w:tcW w:type="dxa" w:w="73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Las claves permanecen fuera del código y se separan entre local, pruebas y producción.</w:t>
            </w:r>
          </w:p>
        </w:tc>
      </w:tr>
    </w:tbl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8. Alcance incluido y exclusiones</w:t>
      </w:r>
    </w:p>
    <w:p>
      <w:pPr>
        <w:pStyle w:val="Heading2"/>
        <w:spacing w:after="150" w:before="250"/>
        <w:rPr>
          <w:rFonts w:ascii="Aptos Display" w:cs="Aptos Display" w:eastAsia="Aptos Display" w:hAnsi="Aptos Display"/>
          <w:b/>
          <w:bCs/>
          <w:color w:val="0074BA"/>
          <w:sz w:val="24"/>
          <w:szCs w:val="24"/>
        </w:rPr>
      </w:pPr>
      <w:r>
        <w:t xml:space="preserve">8.1 Incluido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Módulos administrativos descritos: dashboard, afiliados, beneficiarios, pagos, documentos, avisos, notificaciones, reportes, usuarios y permisos.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Historial protegido de fallecidos, auditoría y exportaciones controladas.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Base con Next.js, TypeScript y Supabase; GitHub y Vercel después de validar localmente.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Pruebas funcionales de los flujos acordados y documentación básica de operación.</w:t>
      </w:r>
    </w:p>
    <w:p>
      <w:pPr>
        <w:pStyle w:val="Heading2"/>
        <w:spacing w:after="150" w:before="250"/>
        <w:rPr>
          <w:rFonts w:ascii="Aptos Display" w:cs="Aptos Display" w:eastAsia="Aptos Display" w:hAnsi="Aptos Display"/>
          <w:b/>
          <w:bCs/>
          <w:color w:val="0074BA"/>
          <w:sz w:val="24"/>
          <w:szCs w:val="24"/>
        </w:rPr>
      </w:pPr>
      <w:r>
        <w:t xml:space="preserve">8.2 Fuera del alcance inicial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Rediseño o desarrollo del sitio web público y un portal público de titulares.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Asistente con IA; queda para la fase final.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Migración masiva sin inventario, depuración y aprobación de las fuentes heredadas.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Definición de precios, tiempos contractuales o costos de servicios externos; se acuerdan después de cerrar el alcance.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Auditoría forense o certificación legal del sistema anterior.</w:t>
      </w:r>
    </w:p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9. Estrategia de implementación</w:t>
      </w:r>
    </w:p>
    <w:tbl>
      <w:tblPr>
        <w:tblW w:type="dxa" w:w="10466"/>
        <w:tblBorders>
          <w:top w:val="single" w:color="DCE6ED" w:sz="6"/>
          <w:left w:val="single" w:color="DCE6ED" w:sz="6"/>
          <w:bottom w:val="single" w:color="DCE6ED" w:sz="6"/>
          <w:right w:val="single" w:color="DCE6ED" w:sz="6"/>
          <w:insideH w:val="single" w:color="DCE6ED" w:sz="4"/>
          <w:insideV w:val="single" w:color="DCE6ED" w:sz="4"/>
        </w:tblBorders>
      </w:tblPr>
      <w:tblGrid>
        <w:gridCol w:w="1800"/>
        <w:gridCol w:w="4300"/>
        <w:gridCol w:w="4366"/>
      </w:tblGrid>
      <w:tr>
        <w:trPr>
          <w:tblHeader/>
        </w:trPr>
        <w:tc>
          <w:tcPr>
            <w:tcW w:type="dxa" w:w="18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43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  <w:tc>
          <w:tcPr>
            <w:tcW w:type="dxa" w:w="4366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Entrega verificable</w:t>
            </w:r>
          </w:p>
        </w:tc>
      </w:tr>
      <w:tr>
        <w:tc>
          <w:tcPr>
            <w:tcW w:type="dxa" w:w="18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1. Validación</w:t>
            </w:r>
          </w:p>
        </w:tc>
        <w:tc>
          <w:tcPr>
            <w:tcW w:type="dxa" w:w="43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Confirmar reglas, usuarios y flujos reales.</w:t>
            </w:r>
          </w:p>
        </w:tc>
        <w:tc>
          <w:tcPr>
            <w:tcW w:type="dxa" w:w="4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Alcance y criterios de aceptación aprobados.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2. Base segura local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Configurar base de datos, acceso, permisos y archivos privados.</w:t>
            </w:r>
          </w:p>
        </w:tc>
        <w:tc>
          <w:tcPr>
            <w:tcW w:type="dxa" w:w="43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Entorno local con usuarios de prueba y controles validados.</w:t>
            </w:r>
          </w:p>
        </w:tc>
      </w:tr>
      <w:tr>
        <w:tc>
          <w:tcPr>
            <w:tcW w:type="dxa" w:w="18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3. Operación principal</w:t>
            </w:r>
          </w:p>
        </w:tc>
        <w:tc>
          <w:tcPr>
            <w:tcW w:type="dxa" w:w="43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Conectar afiliados, beneficiarios, pagos, documentos y estados.</w:t>
            </w:r>
          </w:p>
        </w:tc>
        <w:tc>
          <w:tcPr>
            <w:tcW w:type="dxa" w:w="4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Información persistente, regla de mora y auditoría.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4. Control administrativo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Añadir avisos, notificaciones, reportes y exportaciones.</w:t>
            </w:r>
          </w:p>
        </w:tc>
        <w:tc>
          <w:tcPr>
            <w:tcW w:type="dxa" w:w="43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Seguimiento completo y accesos por rol.</w:t>
            </w:r>
          </w:p>
        </w:tc>
      </w:tr>
      <w:tr>
        <w:tc>
          <w:tcPr>
            <w:tcW w:type="dxa" w:w="18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5. Migración y publicación</w:t>
            </w:r>
          </w:p>
        </w:tc>
        <w:tc>
          <w:tcPr>
            <w:tcW w:type="dxa" w:w="43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Depurar datos aprobados y conectar nube/despliegue.</w:t>
            </w:r>
          </w:p>
        </w:tc>
        <w:tc>
          <w:tcPr>
            <w:tcW w:type="dxa" w:w="43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Producción controlada con respaldos definidos.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6. Evolución IA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Incorporar el asistente sobre datos autorizados.</w:t>
            </w:r>
          </w:p>
        </w:tc>
        <w:tc>
          <w:tcPr>
            <w:tcW w:type="dxa" w:w="43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Asistente con fuentes, permisos y confirmación humana.</w:t>
            </w:r>
          </w:p>
        </w:tc>
      </w:tr>
    </w:tbl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10. Entregables y decisiones requeridas</w:t>
      </w:r>
    </w:p>
    <w:p>
      <w:pPr>
        <w:pStyle w:val="Heading2"/>
        <w:spacing w:after="150" w:before="250"/>
        <w:rPr>
          <w:rFonts w:ascii="Aptos Display" w:cs="Aptos Display" w:eastAsia="Aptos Display" w:hAnsi="Aptos Display"/>
          <w:b/>
          <w:bCs/>
          <w:color w:val="0074BA"/>
          <w:sz w:val="24"/>
          <w:szCs w:val="24"/>
        </w:rPr>
      </w:pPr>
      <w:r>
        <w:t xml:space="preserve">10.1 Entregables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Plataforma administrativa responsive.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Base de datos estructurada y reglas de negocio documentadas.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Matriz de roles y permisos.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Módulos aprobados, historial y auditoría.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Guía básica de operación y administración técnica.</w:t>
      </w:r>
    </w:p>
    <w:p>
      <w:pPr>
        <w:pStyle w:val="ListParagraph"/>
        <w:numPr>
          <w:ilvl w:val="0"/>
          <w:numId w:val="1"/>
        </w:numPr>
        <w:spacing w:after="70" w:before="0" w:line="276"/>
      </w:pPr>
      <w:r>
        <w:rPr>
          <w:rFonts w:ascii="Aptos" w:cs="Aptos" w:eastAsia="Aptos" w:hAnsi="Aptos"/>
          <w:color w:val="10283B"/>
          <w:sz w:val="18"/>
          <w:szCs w:val="18"/>
        </w:rPr>
        <w:t xml:space="preserve">Repositorio versionado y configuración de despliegue al aprobar producción.</w:t>
      </w:r>
    </w:p>
    <w:p>
      <w:pPr>
        <w:pStyle w:val="Heading2"/>
        <w:spacing w:after="150" w:before="250"/>
        <w:rPr>
          <w:rFonts w:ascii="Aptos Display" w:cs="Aptos Display" w:eastAsia="Aptos Display" w:hAnsi="Aptos Display"/>
          <w:b/>
          <w:bCs/>
          <w:color w:val="0074BA"/>
          <w:sz w:val="24"/>
          <w:szCs w:val="24"/>
        </w:rPr>
      </w:pPr>
      <w:r>
        <w:t xml:space="preserve">10.2 Información requerida del cliente</w:t>
      </w:r>
    </w:p>
    <w:tbl>
      <w:tblPr>
        <w:tblW w:type="dxa" w:w="10466"/>
        <w:tblBorders>
          <w:top w:val="single" w:color="DCE6ED" w:sz="6"/>
          <w:left w:val="single" w:color="DCE6ED" w:sz="6"/>
          <w:bottom w:val="single" w:color="DCE6ED" w:sz="6"/>
          <w:right w:val="single" w:color="DCE6ED" w:sz="6"/>
          <w:insideH w:val="single" w:color="DCE6ED" w:sz="4"/>
          <w:insideV w:val="single" w:color="DCE6ED" w:sz="4"/>
        </w:tblBorders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Insumo</w:t>
            </w:r>
          </w:p>
        </w:tc>
        <w:tc>
          <w:tcPr>
            <w:tcW w:type="dxa" w:w="6666"/>
            <w:shd w:color="0C29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</w:tr>
      <w:tr>
        <w:tc>
          <w:tcPr>
            <w:tcW w:type="dxa" w:w="38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Usuarios y responsabilidades</w:t>
            </w:r>
          </w:p>
        </w:tc>
        <w:tc>
          <w:tcPr>
            <w:tcW w:type="dxa" w:w="66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Definir quién consulta, edita, carga documentos, gestiona pagos y exporta.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Reglas y fuentes de pago</w:t>
            </w:r>
          </w:p>
        </w:tc>
        <w:tc>
          <w:tcPr>
            <w:tcW w:type="dxa" w:w="66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Validar periodicidad, formatos y excepciones de Activos, CASUR, TEGEN y particulares.</w:t>
            </w:r>
          </w:p>
        </w:tc>
      </w:tr>
      <w:tr>
        <w:tc>
          <w:tcPr>
            <w:tcW w:type="dxa" w:w="3800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Inventario de datos heredados</w:t>
            </w:r>
          </w:p>
        </w:tc>
        <w:tc>
          <w:tcPr>
            <w:tcW w:type="dxa" w:w="6666"/>
            <w:shd w:color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Definir qué se migra, qué se archiva y qué se depura.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Política documental e informes</w:t>
            </w:r>
          </w:p>
        </w:tc>
        <w:tc>
          <w:tcPr>
            <w:tcW w:type="dxa" w:w="666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15"/>
            </w:pPr>
            <w:r>
              <w:rPr>
                <w:rFonts w:ascii="Aptos" w:cs="Aptos" w:eastAsia="Aptos" w:hAnsi="Aptos"/>
                <w:b w:val="false"/>
                <w:bCs w:val="false"/>
                <w:color w:val="10283B"/>
                <w:sz w:val="16"/>
                <w:szCs w:val="16"/>
              </w:rPr>
              <w:t xml:space="preserve">Acordar tipos de PDF, conservación, responsables, destinatarios e indicadores mensuales.</w:t>
            </w:r>
          </w:p>
        </w:tc>
      </w:tr>
    </w:tbl>
    <w:p>
      <w:pPr>
        <w:pStyle w:val="Heading1"/>
        <w:pBdr>
          <w:bottom w:val="single" w:color="47BFA9" w:sz="12" w:space="8"/>
        </w:pBdr>
        <w:spacing w:after="150" w:before="380"/>
        <w:rPr>
          <w:rFonts w:ascii="Aptos Display" w:cs="Aptos Display" w:eastAsia="Aptos Display" w:hAnsi="Aptos Display"/>
          <w:b/>
          <w:bCs/>
          <w:color w:val="0C2940"/>
          <w:sz w:val="30"/>
          <w:szCs w:val="30"/>
        </w:rPr>
      </w:pPr>
      <w:r>
        <w:t xml:space="preserve">11. Próximo paso recomendado</w:t>
      </w:r>
    </w:p>
    <w:tbl>
      <w:tblPr>
        <w:tblW w:type="dxa" w:w="10466"/>
        <w:tblBorders>
          <w:top w:val="single" w:color="DCE6ED" w:sz="8"/>
          <w:left w:val="single" w:color="DCE6ED" w:sz="8"/>
          <w:bottom w:val="single" w:color="DCE6ED" w:sz="8"/>
          <w:right w:val="single" w:color="DCE6ED" w:sz="8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color="E8F6E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5" w:before="0" w:line="276"/>
            </w:pPr>
            <w:r>
              <w:rPr>
                <w:rFonts w:ascii="Aptos" w:cs="Aptos" w:eastAsia="Aptos" w:hAnsi="Aptos"/>
                <w:b/>
                <w:bCs/>
                <w:color w:val="0C2940"/>
                <w:sz w:val="19"/>
                <w:szCs w:val="19"/>
              </w:rPr>
              <w:t xml:space="preserve">Aprobación de alcance</w:t>
            </w:r>
          </w:p>
          <w:p>
            <w:pPr>
              <w:spacing w:after="0" w:before="0" w:line="245"/>
            </w:pPr>
            <w:r>
              <w:rPr>
                <w:rFonts w:ascii="Aptos" w:cs="Aptos" w:eastAsia="Aptos" w:hAnsi="Aptos"/>
                <w:color w:val="10283B"/>
                <w:sz w:val="18"/>
                <w:szCs w:val="18"/>
              </w:rPr>
              <w:t xml:space="preserve">Validar esta propuesta y realizar una sesión corta de levantamiento para cerrar permisos, formatos de pago e inventario de datos. Con esa aprobación se continúa la implementación local y se prepara el entorno seguro de Supabase.</w:t>
            </w:r>
          </w:p>
        </w:tc>
      </w:tr>
    </w:tbl>
    <w:p>
      <w:pPr>
        <w:spacing w:after="140" w:before="0" w:line="276"/>
      </w:pPr>
      <w:r>
        <w:rPr>
          <w:rFonts w:ascii="Aptos" w:cs="Aptos" w:eastAsia="Aptos" w:hAnsi="Aptos"/>
          <w:color w:val="10283B"/>
          <w:sz w:val="20"/>
          <w:szCs w:val="20"/>
        </w:rPr>
        <w:t xml:space="preserve">La modernización no es solo un cambio visual: es una mejora de continuidad, control y protección de la información para Sopdisponal.</w:t>
      </w:r>
    </w:p>
    <w:sectPr>
      <w:headerReference w:type="default" r:id="rId7"/>
      <w:footerReference w:type="default" r:id="rId8"/>
      <w:pgSz w:w="11906" w:h="16838" w:orient="portrait"/>
      <w:pgMar w:top="108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D7182"/>
        <w:sz w:val="16"/>
        <w:szCs w:val="16"/>
      </w:rPr>
      <w:t xml:space="preserve">Documento de propuesta · </w:t>
    </w:r>
    <w:r>
      <w:rPr>
        <w:color w:val="5D71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D7182"/>
        <w:sz w:val="16"/>
        <w:szCs w:val="16"/>
      </w:rPr>
      <w:t xml:space="preserve">Sopdisponal · Propuesta de modernización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028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modernización - Sopdisponal</dc:title>
  <dc:creator>Sopdisponal</dc:creator>
  <dc:description>Propuesta funcional y de alcance de la plataforma administrativa Sopdisponal.</dc:description>
  <cp:lastModifiedBy>Un-named</cp:lastModifiedBy>
  <cp:revision>1</cp:revision>
  <dcterms:created xsi:type="dcterms:W3CDTF">2026-09-11T17:08:56.528Z</dcterms:created>
  <dcterms:modified xsi:type="dcterms:W3CDTF">2026-09-11T17:08:56.529Z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