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HOUR SARAK</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02/2018/HP/HO/7777</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1</w:t>
      </w:r>
      <w:r>
        <w:rPr>
          <w:sz w:val="22"/>
          <w:szCs w:val="22"/>
        </w:rPr>
        <w:t xml:space="preserve">,</w:t>
      </w:r>
      <w:r>
        <w:rPr>
          <w:sz w:val="22"/>
          <w:szCs w:val="22"/>
        </w:rPr>
        <w:t xml:space="preserve"> having its registered address at </w:t>
      </w:r>
      <w:r>
        <w:rPr>
          <w:b/>
          <w:sz w:val="22"/>
          <w:szCs w:val="22"/>
        </w:rPr>
        <w:t xml:space="preserve">1</w:t>
      </w:r>
      <w:r>
        <w:rPr>
          <w:sz w:val="22"/>
          <w:szCs w:val="22"/>
        </w:rPr>
        <w:t xml:space="preserve"> and represented by</w:t>
      </w:r>
      <w:r>
        <w:rPr>
          <w:sz w:val="22"/>
          <w:szCs w:val="22"/>
          <w:lang w:val="en-GB"/>
        </w:rPr>
        <w:t xml:space="preserve"> </w:t>
      </w:r>
      <w:r>
        <w:rPr>
          <w:b/>
          <w:bCs/>
          <w:sz w:val="22"/>
          <w:szCs w:val="22"/>
        </w:rPr>
        <w:t xml:space="preserve">1</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 - Long term loan</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 USD</w:t>
      </w:r>
      <w:r>
        <w:rPr>
          <w:sz w:val="22"/>
          <w:szCs w:val="22"/>
        </w:rPr>
        <w:t xml:space="preserve"> </w:t>
      </w:r>
      <w:r>
        <w:rPr>
          <w:sz w:val="22"/>
          <w:szCs w:val="22"/>
        </w:rPr>
        <w:t xml:space="preserve">(</w:t>
      </w:r>
      <w:r>
        <w:rPr>
          <w:b/>
          <w:sz w:val="22"/>
          <w:szCs w:val="22"/>
        </w:rPr>
        <w:t xml:space="preserve">OneUnited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Mr.Hour Sarak</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0933a860-7588-486a-b6b1-76382c7a325f"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dc9e89ab-14af-4d79-ace0-040959e2710f"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3c4685ec-54ff-40ed-98e6-460da5220993"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