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bookmarkStart w:id="4" w:name="_GoBack"/>
      <w:bookmarkEnd w:id="4"/>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HOUR SARAK - HOUR SARAK - JONH</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r>
              <w:rPr>
                <w:b/>
                <w:sz w:val="28"/>
                <w:szCs w:val="28"/>
              </w:rPr>
              <w:t xml:space="preserve">Contract No: 02/2018/HP/HO/7777</w:t>
            </w:r>
          </w:p>
          <w:p>
            <w:pPr>
              <w:spacing/>
              <w:jc w:val="center"/>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ind w:left="540"/>
        <w:jc w:val="center"/>
        <w:rPr>
          <w:b/>
          <w:sz w:val="22"/>
          <w:szCs w:val="22"/>
        </w:rPr>
      </w:pP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1</w:t>
      </w:r>
      <w:r>
        <w:rPr>
          <w:sz w:val="22"/>
          <w:szCs w:val="22"/>
        </w:rPr>
        <w:t xml:space="preserve">,</w:t>
      </w:r>
      <w:r>
        <w:rPr>
          <w:b/>
          <w:bCs/>
          <w:sz w:val="22"/>
          <w:szCs w:val="22"/>
        </w:rPr>
        <w:t xml:space="preserve"> </w:t>
      </w:r>
      <w:r>
        <w:rPr>
          <w:sz w:val="22"/>
          <w:szCs w:val="22"/>
        </w:rPr>
        <w:t xml:space="preserve">a </w:t>
      </w:r>
      <w:r>
        <w:rPr>
          <w:sz w:val="22"/>
          <w:szCs w:val="22"/>
        </w:rPr>
        <w:t xml:space="preserve">General Partnership</w:t>
      </w:r>
      <w:r>
        <w:rPr>
          <w:sz w:val="22"/>
          <w:szCs w:val="22"/>
        </w:rPr>
        <w:t xml:space="preserve"> </w:t>
      </w:r>
      <w:r>
        <w:rPr>
          <w:sz w:val="22"/>
          <w:szCs w:val="22"/>
        </w:rPr>
        <w:t xml:space="preserve">duly incorporated under the laws of Kingdom of Cambodia with registration </w:t>
      </w:r>
      <w:r>
        <w:rPr>
          <w:sz w:val="22"/>
          <w:szCs w:val="22"/>
        </w:rPr>
        <w:t xml:space="preserve">No</w:t>
      </w:r>
      <w:r>
        <w:rPr>
          <w:sz w:val="22"/>
          <w:szCs w:val="22"/>
        </w:rPr>
        <w:t xml:space="preserve"> </w:t>
      </w:r>
      <w:r>
        <w:rPr>
          <w:b/>
          <w:sz w:val="22"/>
          <w:szCs w:val="22"/>
        </w:rPr>
        <w:t xml:space="preserve">1</w:t>
      </w:r>
      <w:r>
        <w:rPr>
          <w:sz w:val="22"/>
          <w:szCs w:val="22"/>
        </w:rPr>
        <w:t xml:space="preserve">,</w:t>
      </w:r>
      <w:r>
        <w:rPr>
          <w:sz w:val="22"/>
          <w:szCs w:val="22"/>
        </w:rPr>
        <w:t xml:space="preserve"> having its registered address at </w:t>
      </w:r>
      <w:r>
        <w:rPr>
          <w:b/>
          <w:sz w:val="22"/>
          <w:szCs w:val="22"/>
        </w:rPr>
        <w:t xml:space="preserve">1</w:t>
      </w:r>
      <w:r>
        <w:rPr>
          <w:sz w:val="22"/>
          <w:szCs w:val="22"/>
        </w:rPr>
        <w:t xml:space="preserve"> and represented by</w:t>
      </w:r>
      <w:r>
        <w:rPr>
          <w:sz w:val="22"/>
          <w:szCs w:val="22"/>
          <w:lang w:val="en-GB"/>
        </w:rPr>
        <w:t xml:space="preserve"> </w:t>
      </w:r>
      <w:r>
        <w:rPr>
          <w:b/>
          <w:bCs/>
          <w:sz w:val="22"/>
          <w:szCs w:val="22"/>
        </w:rPr>
        <w:t xml:space="preserve">1</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rPr>
        <w:t xml:space="preserve">01/01/1950</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w:t>
            </w:r>
            <w:r>
              <w:rPr>
                <w:sz w:val="22"/>
                <w:szCs w:val="22"/>
              </w:rPr>
              <w:t xml:space="preserve">Hypothee</w:t>
            </w:r>
            <w:r>
              <w:rPr>
                <w:sz w:val="22"/>
                <w:szCs w:val="22"/>
              </w:rPr>
              <w:t xml:space="preserv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Party(</w:t>
            </w:r>
            <w:r>
              <w:rPr>
                <w:sz w:val="22"/>
                <w:szCs w:val="22"/>
              </w:rPr>
              <w:t xml:space="preserve">ies</w:t>
            </w:r>
            <w:r>
              <w:rPr>
                <w:sz w:val="22"/>
                <w:szCs w:val="22"/>
              </w:rPr>
              <w:t xml:space="preserve">)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w:t>
            </w:r>
            <w:r>
              <w:rPr>
                <w:sz w:val="22"/>
                <w:szCs w:val="22"/>
              </w:rPr>
              <w:t xml:space="preserve">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w:t>
      </w:r>
      <w:r>
        <w:rPr>
          <w:sz w:val="22"/>
          <w:szCs w:val="22"/>
          <w:lang w:eastAsia="fr-FR" w:bidi="ar-SA"/>
        </w:rPr>
        <w:t xml:space="preserve">ies</w:t>
      </w:r>
      <w:r>
        <w:rPr>
          <w:sz w:val="22"/>
          <w:szCs w:val="22"/>
          <w:lang w:eastAsia="fr-FR" w:bidi="ar-SA"/>
        </w:rPr>
        <w:t xml:space="preserve">)</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pp</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Hour 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b/>
          <w:sz w:val="22"/>
          <w:szCs w:val="22"/>
          <w:lang w:eastAsia="fr-FR" w:bidi="ar-SA"/>
        </w:rPr>
        <w:t xml:space="preserve">Medium - Long term loan</w:t>
      </w:r>
      <w:r>
        <w:rPr>
          <w:sz w:val="22"/>
          <w:szCs w:val="22"/>
          <w:lang w:eastAsia="fr-FR" w:bidi="ar-SA"/>
        </w:rPr>
        <w:t xml:space="preserve"> </w:t>
      </w:r>
      <w:r>
        <w:rPr>
          <w:sz w:val="22"/>
          <w:szCs w:val="22"/>
          <w:lang w:eastAsia="fr-FR" w:bidi="ar-SA"/>
        </w:rPr>
        <w:t xml:space="preserve">in the amount of</w:t>
      </w:r>
      <w:r>
        <w:rPr>
          <w:sz w:val="22"/>
          <w:szCs w:val="22"/>
        </w:rPr>
        <w:t xml:space="preserve"> </w:t>
      </w:r>
      <w:r>
        <w:rPr>
          <w:b/>
          <w:sz w:val="22"/>
          <w:szCs w:val="22"/>
        </w:rPr>
        <w:t xml:space="preserve">1.00 USD</w:t>
      </w:r>
      <w:r>
        <w:rPr>
          <w:sz w:val="22"/>
          <w:szCs w:val="22"/>
        </w:rPr>
        <w:t xml:space="preserve"> </w:t>
      </w:r>
      <w:r>
        <w:rPr>
          <w:sz w:val="22"/>
          <w:szCs w:val="22"/>
        </w:rPr>
        <w:t xml:space="preserve">(</w:t>
      </w:r>
      <w:r>
        <w:rPr>
          <w:b/>
          <w:sz w:val="22"/>
          <w:szCs w:val="22"/>
        </w:rPr>
        <w:t xml:space="preserve">OneUnited States Dollar</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w:t>
      </w:r>
      <w:r>
        <w:rPr>
          <w:rFonts w:cstheme="minorBidi"/>
          <w:sz w:val="22"/>
          <w:szCs w:val="36"/>
          <w:lang w:val="vi-VN" w:eastAsia="en-US" w:bidi="km-KH"/>
        </w:rPr>
        <w:t xml:space="preserve"> , penalty interest , demage and</w:t>
      </w:r>
      <w:r>
        <w:rPr>
          <w:sz w:val="22"/>
          <w:szCs w:val="22"/>
        </w:rPr>
        <w:t xml:space="preserve"> </w:t>
      </w:r>
      <w:r>
        <w:rPr>
          <w:sz w:val="22"/>
          <w:szCs w:val="22"/>
        </w:rPr>
        <w:t xml:space="preserve">any </w:t>
      </w:r>
      <w:r>
        <w:rPr>
          <w:sz w:val="22"/>
          <w:szCs w:val="22"/>
        </w:rPr>
        <w:t xml:space="preserve">other amount owing by the Borrower to the </w:t>
      </w:r>
      <w:r>
        <w:rPr>
          <w:sz w:val="22"/>
          <w:szCs w:val="22"/>
        </w:rPr>
        <w:t xml:space="preserve">Hypothee</w:t>
      </w:r>
      <w:r>
        <w:rPr>
          <w:sz w:val="22"/>
          <w:szCs w:val="22"/>
        </w:rPr>
        <w:t xml:space="preserv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w:t>
      </w:r>
      <w:r>
        <w:rPr>
          <w:sz w:val="22"/>
          <w:szCs w:val="22"/>
        </w:rPr>
        <w:t xml:space="preserv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w:t>
      </w:r>
      <w:r>
        <w:rPr>
          <w:sz w:val="22"/>
          <w:szCs w:val="22"/>
          <w:lang w:val="en-AU"/>
        </w:rPr>
        <w:t xml:space="preserve">favo</w:t>
      </w:r>
      <w:r>
        <w:rPr>
          <w:sz w:val="22"/>
          <w:szCs w:val="22"/>
          <w:lang w:val="en-AU"/>
        </w:rPr>
        <w:t xml:space="preserve">r</w:t>
      </w:r>
      <w:r>
        <w:rPr>
          <w:sz w:val="22"/>
          <w:szCs w:val="22"/>
          <w:lang w:val="en-AU"/>
        </w:rPr>
        <w:t xml:space="preserve">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5"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5"/>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w:t>
      </w:r>
      <w:r>
        <w:rPr>
          <w:sz w:val="22"/>
          <w:szCs w:val="22"/>
          <w:lang w:eastAsia="fr-FR" w:bidi="ar-SA"/>
        </w:rPr>
        <w:t xml:space="preserve">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w:t>
      </w:r>
      <w:r>
        <w:rPr>
          <w:sz w:val="22"/>
          <w:szCs w:val="22"/>
        </w:rPr>
        <w:t xml:space="preserve">Hypothee</w:t>
      </w:r>
      <w:r>
        <w:rPr>
          <w:sz w:val="22"/>
          <w:szCs w:val="22"/>
        </w:rPr>
        <w:t xml:space="preserve"> may require up to the full insurable value thereof by any insurance company</w:t>
      </w:r>
      <w:r>
        <w:rPr>
          <w:sz w:val="22"/>
          <w:szCs w:val="22"/>
        </w:rPr>
        <w:t xml:space="preserve"> </w:t>
      </w:r>
      <w:r>
        <w:rPr>
          <w:sz w:val="22"/>
          <w:szCs w:val="22"/>
        </w:rPr>
        <w:t xml:space="preserve">designated</w:t>
      </w:r>
      <w:r>
        <w:rPr>
          <w:sz w:val="22"/>
          <w:szCs w:val="22"/>
        </w:rPr>
        <w:t xml:space="preserve"> by </w:t>
      </w:r>
      <w:r>
        <w:rPr>
          <w:sz w:val="22"/>
          <w:szCs w:val="22"/>
        </w:rPr>
        <w:t xml:space="preserve">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w:t>
      </w:r>
      <w:r>
        <w:rPr>
          <w:sz w:val="22"/>
          <w:szCs w:val="22"/>
        </w:rPr>
        <w:t xml:space="preserve">Hypothee</w:t>
      </w:r>
      <w:r>
        <w:rPr>
          <w:sz w:val="22"/>
          <w:szCs w:val="22"/>
        </w:rPr>
        <w:t xml:space="preserve"> may at any time require the Hypothecator to increase the amount insured. The Hypothecator shall ensure that the Bank has been duly endorsed as </w:t>
      </w:r>
      <w:r>
        <w:rPr>
          <w:sz w:val="22"/>
          <w:szCs w:val="22"/>
        </w:rPr>
        <w:t xml:space="preserve">Hypothee</w:t>
      </w:r>
      <w:r>
        <w:rPr>
          <w:sz w:val="22"/>
          <w:szCs w:val="22"/>
        </w:rPr>
        <w:t xml:space="preserve"> or beneficiary by the insurance policy and that such policy may </w:t>
      </w:r>
      <w:r>
        <w:rPr>
          <w:sz w:val="22"/>
          <w:szCs w:val="22"/>
        </w:rPr>
        <w:t xml:space="preserve">not </w:t>
      </w:r>
      <w:r>
        <w:rPr>
          <w:sz w:val="22"/>
          <w:szCs w:val="22"/>
        </w:rPr>
        <w:t xml:space="preserve">be cancelled without prior written consent of the </w:t>
      </w:r>
      <w:r>
        <w:rPr>
          <w:sz w:val="22"/>
          <w:szCs w:val="22"/>
        </w:rPr>
        <w:t xml:space="preserve">Hypothee</w:t>
      </w:r>
      <w:r>
        <w:rPr>
          <w:sz w:val="22"/>
          <w:szCs w:val="22"/>
        </w:rPr>
        <w:t xml:space="preserv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2"/>
        <w:gridCol w:w="3141"/>
        <w:gridCol w:w="2692"/>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rPr>
            </w:pPr>
            <w:r>
              <w:rPr>
                <w: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val="vi-VN"/>
              </w:rPr>
            </w:pPr>
            <w:r>
              <w:rPr>
                <w:b/>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lang w:val="vi-VN"/>
              </w:rPr>
            </w:pPr>
            <w:r>
              <w:rPr>
                <w:spacing w:val="-6"/>
              </w:rPr>
              <w:t xml:space="preserve">(Thumb print and full name )</w:t>
            </w: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rFonts w:eastAsia="Batang"/>
                <w:b/>
                <w:bCs/>
                <w:sz w:val="20"/>
                <w:lang w:eastAsia="ko-KR"/>
              </w:rPr>
            </w:pPr>
            <w:r>
              <w:rPr>
                <w:rFonts w:eastAsia="Batang"/>
                <w:b/>
                <w:bCs/>
                <w:sz w:val="20"/>
                <w:lang w:eastAsia="ko-KR"/>
              </w:rPr>
              <w:t xml:space="preserve">HOUR SARAK</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t xml:space="preserve">HOUR SARAK</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t xml:space="preserve">JONH</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spacing w:after="0"/>
              <w:jc w:val="center"/>
              <w:rPr>
                <w:rFonts w:eastAsia="Batang"/>
                <w:b/>
                <w:bCs/>
                <w:sz w:val="20"/>
                <w:lang w:eastAsia="ko-KR"/>
              </w:rPr>
            </w:pPr>
          </w:p>
          <w:p>
            <w:pPr>
              <w:pStyle w:val="BodyTextIndent3"/>
              <w:spacing w:after="0"/>
              <w:rPr>
                <w:rFonts w:eastAsia="Batang"/>
                <w:b/>
                <w:lang w:eastAsia="ko-KR"/>
              </w:rPr>
            </w:pPr>
          </w:p>
          <w:p>
            <w:pPr>
              <w:pStyle w:val="BodyTextIndent3"/>
              <w:spacing w:after="0"/>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and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lang w:eastAsia="ko-KR"/>
              </w:rPr>
            </w:pPr>
            <w:r>
              <w:rPr>
                <w:rFonts w:eastAsia="Batang"/>
                <w:b/>
                <w:lang w:eastAsia="ko-KR"/>
              </w:rPr>
              <w:t xml:space="preserve">1</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rPr>
            </w:pPr>
            <w:r>
              <w:rPr>
                <w:b/>
              </w:rPr>
              <w:t xml:space="preserve">Mr.Hour Sarak</w:t>
            </w:r>
          </w:p>
        </w:tc>
      </w:tr>
    </w:tbl>
    <w:p>
      <w:pPr>
        <w:tabs>
          <w:tab w:pos="7068" w:val="left"/>
        </w:tabs>
        <w:spacing/>
        <w:rPr>
          <w:b/>
          <w:bCs/>
          <w:caps/>
        </w:rPr>
      </w:pPr>
    </w:p>
    <w:p>
      <w:pPr>
        <w:tabs>
          <w:tab w:pos="7068" w:val="left"/>
        </w:tabs>
        <w:spacing/>
        <w:jc w:val="center"/>
        <w:rPr>
          <w:b/>
          <w:bCs/>
          <w:caps/>
        </w:rPr>
      </w:pPr>
    </w:p>
    <w:p>
      <w:pPr>
        <w:spacing/>
        <w:rPr>
          <w:bCs/>
          <w:sz w:val="22"/>
          <w:szCs w:val="22"/>
        </w:rPr>
      </w:pPr>
    </w:p>
    <w:sectPr>
      <w:headerReference w:type="first" r:id="rId3"/>
      <w:headerReference w:type="even" r:id="rId4"/>
      <w:headerReference w:type="default" r:id="rId5"/>
      <w:footerReference w:type="default" r:id="rId6"/>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bff1621d-a33f-4bd1-8ed3-f39445399057"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ddc167f2-927b-4433-ab52-b6fa40291978"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f561e44e-3259-40c7-ba19-dc1c4f785da9"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5"/>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4" Type="http://schemas.openxmlformats.org/officeDocument/2006/relationships/header" Target="header4.xml" /><Relationship Id="rId3" Type="http://schemas.openxmlformats.org/officeDocument/2006/relationships/header" Target="header3.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7" Type="http://schemas.openxmlformats.org/officeDocument/2006/relationships/image" Target="media/image7.jpeg" /></Relationships>
</file>

<file path=word/_rels/header4.xml.rels>&#65279;<?xml version="1.0" encoding="utf-8" standalone="yes"?><Relationships xmlns="http://schemas.openxmlformats.org/package/2006/relationships"><Relationship Id="rId7" Type="http://schemas.openxmlformats.org/officeDocument/2006/relationships/image" Target="media/image7.jpeg" /></Relationships>
</file>

<file path=word/_rels/header5.xml.rels>&#65279;<?xml version="1.0" encoding="utf-8" standalone="yes"?><Relationships xmlns="http://schemas.openxmlformats.org/package/2006/relationships"><Relationship Id="rId7"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62</TotalTime>
  <Pages>7</Pages>
  <Words>2055</Words>
  <Characters>11720</Characters>
  <CharactersWithSpaces>13748</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19</cp:revision>
  <dcterms:created xsi:type="dcterms:W3CDTF">2017-10-12T10:20:00Z</dcterms:created>
  <dcterms:modified xsi:type="dcterms:W3CDTF">2018-01-29T02:23:00Z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