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noProof/>
        </w:rPr>
        <w:drawing>
          <wp:anchor distT="0" distB="0" distL="0" distR="0" simplePos="0" relativeHeight="251657728" behindDoc="0" locked="0" layoutInCell="1" allowOverlap="1">
            <wp:simplePos x="0" y="0"/>
            <wp:positionH relativeFrom="column">
              <wp:posOffset>0</wp:posOffset>
            </wp:positionH>
            <wp:positionV relativeFrom="paragraph">
              <wp:posOffset>-114300</wp:posOffset>
            </wp:positionV>
            <wp:extent cx="1724025" cy="783590"/>
            <wp:effectExtent xmlns:wp="http://schemas.openxmlformats.org/drawingml/2006/wordprocessingDrawing" l="0" t="0" r="9525"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590"/>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Relegion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jc w:val="center"/>
              <w:rPr>
                <w:b/>
                <w:bCs/>
                <w:caps/>
                <w:sz w:val="40"/>
                <w:szCs w:val="40"/>
              </w:rPr>
            </w:pPr>
          </w:p>
          <w:p>
            <w:pPr>
              <w:spacing w:after="0" w:line="240" w:lineRule="auto"/>
              <w:jc w:val="center"/>
              <w:rPr>
                <w:b/>
                <w:bCs/>
                <w:caps/>
                <w:sz w:val="40"/>
                <w:szCs w:val="40"/>
              </w:rPr>
            </w:pPr>
            <w:r>
              <w:rPr>
                <w:b/>
                <w:bCs/>
                <w:caps/>
                <w:sz w:val="40"/>
                <w:szCs w:val="40"/>
              </w:rPr>
              <w:t xml:space="preserve">LOAN CONTRACT</w:t>
            </w:r>
          </w:p>
          <w:p>
            <w:pPr>
              <w:autoSpaceDE w:val="0"/>
              <w:autoSpaceDN w:val="0"/>
              <w:adjustRightInd w:val="0"/>
              <w:spacing w:after="0" w:line="240" w:lineRule="auto"/>
              <w:jc w:val="center"/>
              <w:rPr>
                <w:rFonts w:eastAsia="Times New Roman"/>
                <w:b/>
                <w:bCs/>
                <w:sz w:val="24"/>
                <w:szCs w:val="24"/>
              </w:rPr>
            </w:pPr>
            <w:r>
              <w:rPr>
                <w:rFonts w:eastAsia="Times New Roman"/>
                <w:b/>
                <w:bCs/>
                <w:sz w:val="24"/>
                <w:szCs w:val="24"/>
              </w:rPr>
              <w:t xml:space="preserve">(Overdraft)</w:t>
            </w:r>
          </w:p>
          <w:p>
            <w:pPr>
              <w:spacing w:after="0" w:line="240" w:lineRule="auto"/>
              <w:jc w:val="center"/>
              <w:rPr>
                <w:b/>
                <w:bCs/>
                <w:caps/>
                <w:sz w:val="20"/>
                <w:szCs w:val="20"/>
              </w:rPr>
            </w:pPr>
          </w:p>
          <w:p>
            <w:pPr>
              <w:spacing w:after="0" w:line="240" w:lineRule="auto"/>
              <w:jc w:val="center"/>
              <w:rPr>
                <w:sz w:val="32"/>
                <w:szCs w:val="32"/>
              </w:rPr>
            </w:pPr>
            <w:r>
              <w:rPr>
                <w:sz w:val="32"/>
                <w:szCs w:val="32"/>
              </w:rPr>
              <w:t xml:space="preserve">Between</w:t>
            </w:r>
          </w:p>
          <w:p>
            <w:pPr>
              <w:spacing w:after="0" w:line="240" w:lineRule="auto"/>
              <w:jc w:val="center"/>
              <w:rPr>
                <w:rFonts w:eastAsia="Times New Roman"/>
                <w:b/>
                <w:bCs/>
                <w:sz w:val="32"/>
                <w:szCs w:val="32"/>
              </w:rPr>
            </w:pPr>
            <w:r>
              <w:rPr>
                <w:rFonts w:eastAsia="Times New Roman"/>
                <w:b/>
                <w:bCs/>
                <w:sz w:val="32"/>
                <w:szCs w:val="32"/>
              </w:rPr>
              <w:t xml:space="preserve">BANK FOR INVESTMENT AND DEVELOPMENT OF </w:t>
            </w:r>
          </w:p>
          <w:p>
            <w:pPr>
              <w:spacing w:after="0" w:line="240" w:lineRule="auto"/>
              <w:jc w:val="center"/>
              <w:rPr>
                <w:sz w:val="32"/>
                <w:szCs w:val="32"/>
              </w:rPr>
            </w:pPr>
            <w:r>
              <w:rPr>
                <w:rFonts w:eastAsia="Times New Roman"/>
                <w:b/>
                <w:bCs/>
                <w:sz w:val="32"/>
                <w:szCs w:val="32"/>
              </w:rPr>
              <w:t xml:space="preserve">CAMBODIA PLC – HEAD OFFICE.</w:t>
            </w:r>
            <w:r>
              <w:rPr>
                <w:sz w:val="32"/>
                <w:szCs w:val="32"/>
              </w:rPr>
              <w:t xml:space="preserve"> </w:t>
            </w:r>
          </w:p>
          <w:p>
            <w:pPr>
              <w:spacing w:after="0" w:line="240" w:lineRule="auto"/>
              <w:jc w:val="center"/>
              <w:rPr>
                <w:sz w:val="28"/>
                <w:szCs w:val="28"/>
              </w:rPr>
            </w:pPr>
            <w:r>
              <w:rPr>
                <w:sz w:val="28"/>
                <w:szCs w:val="28"/>
              </w:rPr>
              <w:t xml:space="preserve">(“</w:t>
            </w:r>
            <w:r>
              <w:rPr>
                <w:b/>
                <w:bCs/>
                <w:sz w:val="28"/>
                <w:szCs w:val="28"/>
              </w:rPr>
              <w:t xml:space="preserve">Bank</w:t>
            </w:r>
            <w:r>
              <w:rPr>
                <w:sz w:val="28"/>
                <w:szCs w:val="28"/>
              </w:rPr>
              <w:t xml:space="preserve">”)</w:t>
            </w:r>
          </w:p>
          <w:p>
            <w:pPr>
              <w:spacing w:after="0" w:line="240" w:lineRule="auto"/>
              <w:jc w:val="center"/>
              <w:rPr>
                <w:sz w:val="20"/>
                <w:szCs w:val="20"/>
              </w:rPr>
            </w:pPr>
          </w:p>
          <w:p>
            <w:pPr>
              <w:spacing w:after="0" w:line="240" w:lineRule="auto"/>
              <w:jc w:val="center"/>
              <w:rPr>
                <w:sz w:val="28"/>
                <w:szCs w:val="28"/>
              </w:rPr>
            </w:pPr>
            <w:r>
              <w:rPr>
                <w:sz w:val="28"/>
                <w:szCs w:val="28"/>
              </w:rPr>
              <w:t xml:space="preserve">And</w:t>
            </w:r>
          </w:p>
          <w:p>
            <w:pPr>
              <w:spacing w:after="0" w:line="240" w:lineRule="auto"/>
              <w:jc w:val="center"/>
              <w:rPr>
                <w:sz w:val="28"/>
                <w:szCs w:val="28"/>
              </w:rPr>
            </w:pPr>
          </w:p>
          <w:p>
            <w:pPr>
              <w:spacing w:after="0" w:line="240" w:lineRule="auto"/>
              <w:jc w:val="center"/>
              <w:rPr>
                <w:b/>
                <w:bCs/>
                <w:sz w:val="32"/>
                <w:szCs w:val="32"/>
                <w:lang w:eastAsia="en-US" w:bidi="km-KH"/>
              </w:rPr>
            </w:pPr>
            <w:r>
              <w:rPr>
                <w:b/>
                <w:bCs/>
                <w:sz w:val="32"/>
                <w:szCs w:val="32"/>
                <w:lang w:eastAsia="en-US" w:bidi="km-KH"/>
              </w:rPr>
              <w:t xml:space="preserve">B.P.C Trading Co., Ltd</w:t>
            </w:r>
          </w:p>
          <w:p>
            <w:pPr>
              <w:spacing w:after="0" w:line="240" w:lineRule="auto"/>
              <w:jc w:val="center"/>
              <w:rPr>
                <w:sz w:val="28"/>
                <w:szCs w:val="28"/>
              </w:rPr>
            </w:pPr>
            <w:r>
              <w:rPr>
                <w:sz w:val="28"/>
                <w:szCs w:val="28"/>
              </w:rPr>
              <w:t xml:space="preserve">(“</w:t>
            </w:r>
            <w:r>
              <w:rPr>
                <w:b/>
                <w:bCs/>
                <w:sz w:val="28"/>
                <w:szCs w:val="28"/>
              </w:rPr>
              <w:t xml:space="preserve">Borrower</w:t>
            </w:r>
            <w:r>
              <w:rPr>
                <w:sz w:val="28"/>
                <w:szCs w:val="28"/>
              </w:rPr>
              <w:t xml:space="preserve">”)</w:t>
            </w:r>
          </w:p>
          <w:p>
            <w:pPr>
              <w:spacing w:after="0" w:line="240" w:lineRule="auto"/>
              <w:jc w:val="center"/>
              <w:rPr>
                <w:sz w:val="28"/>
                <w:szCs w:val="28"/>
              </w:rPr>
            </w:pPr>
          </w:p>
          <w:p>
            <w:pPr>
              <w:autoSpaceDE w:val="0"/>
              <w:autoSpaceDN w:val="0"/>
              <w:adjustRightInd w:val="0"/>
              <w:spacing w:after="0" w:line="360" w:lineRule="auto"/>
              <w:ind w:left="-87" w:firstLine="360"/>
              <w:jc w:val="center"/>
              <w:rPr>
                <w:rFonts w:eastAsia="Times New Roman"/>
                <w:sz w:val="24"/>
                <w:szCs w:val="24"/>
              </w:rPr>
            </w:pPr>
            <w:r>
              <w:rPr>
                <w:sz w:val="24"/>
                <w:szCs w:val="24"/>
                <w:lang w:val="ca-ES"/>
              </w:rPr>
              <w:t xml:space="preserve">No.: 01/2018/OD/HO/102644</w:t>
            </w:r>
          </w:p>
          <w:p>
            <w:pPr>
              <w:spacing w:after="0" w:line="240" w:lineRule="auto"/>
              <w:rPr>
                <w:sz w:val="28"/>
                <w:szCs w:val="28"/>
              </w:rPr>
            </w:pPr>
          </w:p>
          <w:p>
            <w:pPr>
              <w:spacing w:after="0" w:line="240" w:lineRule="auto"/>
              <w:jc w:val="center"/>
              <w:rPr>
                <w:sz w:val="20"/>
                <w:szCs w:val="20"/>
              </w:rPr>
            </w:pPr>
          </w:p>
          <w:p>
            <w:pPr>
              <w:tabs>
                <w:tab w:pos="7938" w:val="center"/>
              </w:tabs>
              <w:spacing w:after="0" w:line="240" w:lineRule="auto"/>
              <w:jc w:val="center"/>
              <w:rPr>
                <w:b/>
                <w:bCs/>
                <w:sz w:val="32"/>
                <w:szCs w:val="32"/>
                <w:lang w:eastAsia="en-US" w:bidi="km-KH"/>
              </w:rPr>
            </w:pPr>
            <w:r>
              <w:rPr>
                <w:b/>
                <w:bCs/>
                <w:sz w:val="32"/>
                <w:szCs w:val="32"/>
              </w:rPr>
              <w:t xml:space="preserve">Date: </w:t>
            </w:r>
            <w:r>
              <w:rPr>
                <w:b/>
                <w:bCs/>
                <w:sz w:val="32"/>
                <w:szCs w:val="32"/>
                <w:lang w:eastAsia="en-US" w:bidi="km-KH"/>
              </w:rPr>
              <w:t xml:space="preserve">09/01/2018</w:t>
            </w:r>
          </w:p>
          <w:p>
            <w:pPr>
              <w:tabs>
                <w:tab w:pos="7938" w:val="center"/>
              </w:tabs>
              <w:spacing w:after="0" w:line="240" w:lineRule="auto"/>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09/01/2018</w:t>
      </w:r>
      <w:r>
        <w:rPr>
          <w:rFonts w:ascii="Times New Roman" w:eastAsia="Times New Roman" w:hAnsi="Times New Roman" w:cs="Times New Roman"/>
          <w:szCs w:val="24"/>
        </w:rPr>
        <w:t xml:space="preserve"> at the HEAD OFFICE of Bank for Investment and Development of Cambodia Plc, we are:</w:t>
      </w: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Mr.MEY PHY</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line="276" w:lineRule="auto"/>
        <w:ind w:left="288"/>
        <w:jc w:val="both"/>
        <w:rPr>
          <w:rFonts w:ascii="Times New Roman" w:eastAsia="Times New Roman" w:hAnsi="Times New Roman" w:cs="Times New Roman"/>
          <w:sz w:val="24"/>
          <w:szCs w:val="24"/>
        </w:rPr>
      </w:pP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B.P.C Trading Co., Ltd, Limited Partnership, </w:t>
      </w:r>
      <w:r>
        <w:rPr>
          <w:rFonts w:ascii="Times New Roman" w:eastAsia="Times New Roman" w:hAnsi="Times New Roman" w:cs="Times New Roman"/>
          <w:sz w:val="24"/>
          <w:szCs w:val="24"/>
        </w:rPr>
        <w:t xml:space="preserve">duly registered under the laws of the Kingdom of Cambodia, with commercial registration No. CO.5508KH/2015</w:t>
      </w:r>
      <w:r>
        <w:rPr>
          <w:rFonts w:ascii="Times New Roman" w:eastAsia="Times New Roman" w:hAnsi="Times New Roman" w:cs="Times New Roman"/>
          <w:sz w:val="24"/>
          <w:szCs w:val="24"/>
        </w:rPr>
        <w:t xml:space="preserve"> dated 21/03/2001</w:t>
      </w:r>
      <w:r>
        <w:rPr>
          <w:rFonts w:ascii="Times New Roman" w:eastAsia="Times New Roman" w:hAnsi="Times New Roman" w:cs="Times New Roman"/>
          <w:sz w:val="24"/>
          <w:szCs w:val="24"/>
        </w:rPr>
        <w:t xml:space="preserve"> and having its registered address at Stung Meanchey Stree, Domnak Thom Village, Stung Meanchey Commune, Meanchey District, Phnom Penh,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011995599/0979797255</w:t>
      </w:r>
      <w:r>
        <w:rPr>
          <w:rFonts w:ascii="Times New Roman" w:eastAsia="Times New Roman" w:hAnsi="Times New Roman" w:cs="Times New Roman"/>
          <w:sz w:val="24"/>
          <w:szCs w:val="24"/>
        </w:rPr>
        <w:t xml:space="preserve">, email: bpc.accountdept@yahoo.com</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OKNHA PHAT BUN,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line="276" w:lineRule="auto"/>
        <w:jc w:val="both"/>
        <w:rPr>
          <w:rFonts w:eastAsia="Times New Roman"/>
          <w:b/>
          <w:bCs/>
          <w:i/>
          <w:iCs/>
          <w:sz w:val="24"/>
          <w:szCs w:val="24"/>
        </w:rPr>
      </w:pPr>
    </w:p>
    <w:p>
      <w:pPr>
        <w:autoSpaceDE w:val="0"/>
        <w:autoSpaceDN w:val="0"/>
        <w:adjustRightInd w:val="0"/>
        <w:spacing w:after="0" w:line="276" w:lineRule="auto"/>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line="276" w:lineRule="auto"/>
        <w:jc w:val="both"/>
        <w:rPr>
          <w:sz w:val="24"/>
          <w:szCs w:val="24"/>
        </w:rPr>
      </w:pPr>
    </w:p>
    <w:p>
      <w:pPr>
        <w:tabs>
          <w:tab w:pos="720" w:val="left"/>
        </w:tabs>
        <w:spacing w:after="0" w:line="276" w:lineRule="auto"/>
        <w:jc w:val="center"/>
        <w:rPr>
          <w:b/>
          <w:bCs/>
          <w:sz w:val="24"/>
          <w:szCs w:val="24"/>
          <w:lang w:eastAsia="km-KH" w:bidi="km-KH"/>
        </w:rPr>
      </w:pPr>
      <w:r>
        <w:rPr>
          <w:b/>
          <w:bCs/>
          <w:sz w:val="24"/>
          <w:szCs w:val="24"/>
          <w:lang w:eastAsia="km-KH" w:bidi="km-KH"/>
        </w:rPr>
        <w:t xml:space="preserve">RECITAL:</w:t>
      </w:r>
    </w:p>
    <w:p>
      <w:pPr>
        <w:tabs>
          <w:tab w:pos="720" w:val="left"/>
        </w:tabs>
        <w:spacing w:after="0" w:line="276" w:lineRule="auto"/>
        <w:jc w:val="center"/>
        <w:rPr>
          <w:b/>
          <w:bCs/>
          <w:sz w:val="24"/>
          <w:szCs w:val="24"/>
          <w:lang w:eastAsia="km-KH" w:bidi="km-KH"/>
        </w:rPr>
      </w:pPr>
    </w:p>
    <w:p>
      <w:pPr>
        <w:spacing w:line="276" w:lineRule="auto"/>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bookmarkStart w:id="2" w:name="_GoBack"/>
      <w:bookmarkEnd w:id="2"/>
      <w:r>
        <w:rPr>
          <w:sz w:val="24"/>
          <w:szCs w:val="24"/>
        </w:rPr>
        <w:t xml:space="preserve"> and the Bank has agreed to grant credit to customer;</w:t>
      </w:r>
    </w:p>
    <w:p>
      <w:pPr>
        <w:spacing w:line="276" w:lineRule="auto"/>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line="276" w:lineRule="auto"/>
        <w:jc w:val="center"/>
        <w:rPr>
          <w:b/>
          <w:bCs/>
          <w:caps/>
          <w:sz w:val="24"/>
          <w:szCs w:val="24"/>
        </w:rPr>
      </w:pPr>
    </w:p>
    <w:p>
      <w:pPr>
        <w:spacing w:after="0" w:line="276" w:lineRule="auto"/>
        <w:rPr>
          <w:b/>
          <w:bCs/>
          <w:caps/>
          <w:sz w:val="24"/>
          <w:szCs w:val="24"/>
        </w:rPr>
      </w:pPr>
      <w:r>
        <w:rPr>
          <w:b/>
          <w:bCs/>
          <w:caps/>
          <w:sz w:val="24"/>
          <w:szCs w:val="24"/>
        </w:rPr>
        <w:t xml:space="preserve">Now it is hereby agreed as follows:</w:t>
      </w:r>
    </w:p>
    <w:p>
      <w:pPr>
        <w:spacing w:after="0" w:line="276" w:lineRule="auto"/>
        <w:rPr>
          <w:b/>
          <w:bCs/>
          <w:caps/>
          <w:sz w:val="24"/>
          <w:szCs w:val="24"/>
        </w:rPr>
      </w:pPr>
    </w:p>
    <w:p>
      <w:pPr>
        <w:spacing w:after="0" w:line="276" w:lineRule="auto"/>
        <w:jc w:val="both"/>
        <w:rPr>
          <w:sz w:val="24"/>
          <w:szCs w:val="24"/>
        </w:rPr>
      </w:pPr>
      <w:r>
        <w:rPr>
          <w:sz w:val="24"/>
          <w:szCs w:val="24"/>
        </w:rPr>
        <w:t xml:space="preserve">In addition to General Terms and Conditions of Loan Contract applied </w:t>
      </w:r>
      <w:r>
        <w:rPr>
          <w:sz w:val="24"/>
          <w:szCs w:val="24"/>
        </w:rPr>
        <w:t xml:space="preserve">by the Bank as attached in </w:t>
      </w:r>
      <w:r>
        <w:rPr>
          <w:sz w:val="24"/>
          <w:szCs w:val="24"/>
        </w:rPr>
        <w:t xml:space="preserve">Annex (A), the Parties agree on the the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15" w:type="dxa"/>
          <w:bottom w:w="0" w:type="dxa"/>
          <w:right w:w="115" w:type="dxa"/>
        </w:tblCellMar>
      </w:tblPr>
      <w:tblGrid>
        <w:gridCol w:w="1850"/>
        <w:gridCol w:w="7960"/>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line="276" w:lineRule="auto"/>
              <w:ind w:right="-108"/>
              <w:jc w:val="center"/>
              <w:rPr>
                <w:rFonts w:eastAsia="Times New Roman"/>
                <w:b/>
                <w:bCs/>
              </w:rPr>
            </w:pPr>
            <w:r>
              <w:rPr>
                <w:rFonts w:eastAsia="Times New Roman"/>
                <w:b/>
                <w:bCs/>
              </w:rPr>
              <w:t xml:space="preserve">DESCRIPTIONS</w:t>
            </w:r>
          </w:p>
        </w:tc>
      </w:tr>
      <w:tr>
        <w:trPr>
          <w:trHeight w:val="546"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i/>
                <w:iCs/>
                <w:sz w:val="24"/>
                <w:szCs w:val="24"/>
              </w:rPr>
              <w:t xml:space="preserve">Overdraft </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limit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5,000,000.00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 Five Million </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LC and Bank Guarantee limit: 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United States Dollar Zero</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7 % per year</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12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date of signing loan contract.</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0% on limit</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cs/>
                <w:sz w:val="24"/>
                <w:szCs w:val="24"/>
                <w:lang w:eastAsia="en-US" w:bidi="km-KH"/>
              </w:rPr>
              <w:tab/>
            </w:r>
            <w:r>
              <w:rPr>
                <w:rFonts w:ascii="Times New Roman" w:eastAsia="Times New Roman" w:hAnsi="Times New Roman" w:cs="Times New Roman"/>
                <w:sz w:val="24"/>
                <w:szCs w:val="24"/>
              </w:rPr>
              <w:t xml:space="preserve">:</w:t>
            </w:r>
          </w:p>
          <w:p>
            <w:pPr>
              <w:pStyle w:val="ListParagraph"/>
              <w:tabs>
                <w:tab w:pos="310" w:val="left"/>
                <w:tab w:pos="2496" w:val="left"/>
              </w:tabs>
              <w:spacing w:after="0" w:line="276" w:lineRule="auto"/>
              <w:ind w:left="2508" w:hanging="2226"/>
              <w:rPr>
                <w:rFonts w:ascii="Times New Roman" w:eastAsia="Times New Roman" w:hAnsi="Times New Roman" w:cs="Times New Roman"/>
                <w:bCs/>
                <w:sz w:val="24"/>
                <w:szCs w:val="24"/>
              </w:rPr>
            </w:pPr>
            <w:r>
              <w:rPr>
                <w:rFonts w:ascii="Times New Roman" w:eastAsia="Times New Roman" w:hAnsi="Times New Roman" w:cs="Times New Roman"/>
                <w:sz w:val="24"/>
                <w:szCs w:val="24"/>
                <w:lang w:eastAsia="en-US" w:bidi="km-KH"/>
              </w:rPr>
              <w:t xml:space="preserve">+ Principle                  : - </w:t>
            </w:r>
            <w:r>
              <w:rPr>
                <w:rFonts w:ascii="Times New Roman" w:eastAsia="Times New Roman" w:hAnsi="Times New Roman" w:cs="Times New Roman"/>
                <w:sz w:val="24"/>
                <w:szCs w:val="24"/>
              </w:rPr>
              <w:t xml:space="preserve">The Priciple shall be paid automatically when arising the credited transaction on the OD account of the borrower</w:t>
            </w:r>
          </w:p>
          <w:p>
            <w:pPr>
              <w:pStyle w:val="ListParagraph"/>
              <w:tabs>
                <w:tab w:pos="310" w:val="left"/>
                <w:tab w:pos="2496" w:val="left"/>
              </w:tabs>
              <w:spacing w:after="0" w:line="276" w:lineRule="auto"/>
              <w:ind w:left="2508" w:firstLine="42"/>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rPr>
              <w:t xml:space="preserve">- Th</w:t>
            </w:r>
            <w:r>
              <w:rPr>
                <w:rFonts w:ascii="Times New Roman" w:eastAsia="Times New Roman" w:hAnsi="Times New Roman" w:cs="Times New Roman"/>
                <w:bCs/>
                <w:sz w:val="24"/>
                <w:szCs w:val="24"/>
              </w:rPr>
              <w:t xml:space="preserve">e Borrower shall repay the amount outstanding under the Loan at the maturity date of this Loan Contract.</w:t>
            </w:r>
          </w:p>
          <w:p>
            <w:pPr>
              <w:pStyle w:val="ListParagraph"/>
              <w:tabs>
                <w:tab w:pos="310" w:val="left"/>
                <w:tab w:pos="2496" w:val="left"/>
              </w:tabs>
              <w:spacing w:after="0" w:line="276" w:lineRule="auto"/>
              <w:ind w:left="2508" w:hanging="2226"/>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Interest                    : </w:t>
            </w:r>
            <w:r>
              <w:rPr>
                <w:rFonts w:ascii="Times New Roman" w:eastAsia="Times New Roman" w:hAnsi="Times New Roman" w:cs="Times New Roman"/>
                <w:sz w:val="24"/>
                <w:szCs w:val="24"/>
              </w:rPr>
              <w:t xml:space="preserve">The Borrower shall pay interest on outstanding amount of the Loan at the Prevailing Interest Rate compounded on a daily rest, payable by direct debit to the Loan Account at the end of each month.</w:t>
            </w:r>
          </w:p>
          <w:p>
            <w:pPr>
              <w:pStyle w:val="ListParagraph"/>
              <w:tabs>
                <w:tab w:pos="310" w:val="left"/>
                <w:tab w:pos="2267" w:val="left"/>
              </w:tabs>
              <w:spacing w:after="0" w:line="276" w:lineRule="auto"/>
              <w:ind w:left="2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repayment principle and interest as detail in Article 7 of General and Condition contract . </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line="276" w:lineRule="auto"/>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76"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numPr>
                <w:ilvl w:val="1"/>
                <w:numId w:val="5"/>
              </w:numPr>
              <w:spacing w:after="0" w:line="276" w:lineRule="auto"/>
              <w:ind w:left="28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76" w:lineRule="auto"/>
              <w:ind w:left="2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Oknha. Phat Bun and Chumteav. Meng Sophea</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13</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12060103-0013</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18436</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Trea Village, Stung Meanchey Commune, Meanchey District, Phnom Penh City, Kingdom of Cambodia</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Oknha. Phat Bun and Chumteav. Meng Sophea</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ឆI 0007</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ភព 16050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35680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Morl Village, Dangkor Commune, Dangkor District, Phnom Penh City, Kingdom of Cambodia.</w:t>
                  </w:r>
                </w:p>
              </w:tc>
            </w:tr>
          </w:tbl>
          <w:p>
            <w:pPr>
              <w:pStyle w:val="ListParagraph"/>
              <w:numPr>
                <w:ilvl w:val="1"/>
                <w:numId w:val="5"/>
              </w:numPr>
              <w:spacing w:after="0" w:line="276" w:lineRule="auto"/>
              <w:ind w:left="282"/>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Personal/Corperate Guaranty:</w:t>
            </w:r>
          </w:p>
          <w:p>
            <w:pPr>
              <w:spacing w:after="0" w:line="276" w:lineRule="auto"/>
              <w:ind w:left="-78"/>
              <w:rPr>
                <w:rFonts w:eastAsia="Times New Roman"/>
                <w:bCs/>
                <w:sz w:val="24"/>
                <w:szCs w:val="24"/>
              </w:rPr>
            </w:pPr>
            <w:r>
              <w:rPr>
                <w:rFonts w:eastAsia="Times New Roman"/>
                <w:bCs/>
                <w:sz w:val="24"/>
                <w:szCs w:val="24"/>
              </w:rPr>
              <w:t xml:space="preserve"> N/A</w:t>
            </w:r>
          </w:p>
          <w:p>
            <w:pPr>
              <w:pStyle w:val="ListParagraph"/>
              <w:numPr>
                <w:ilvl w:val="1"/>
                <w:numId w:val="5"/>
              </w:numPr>
              <w:spacing w:after="0" w:line="276" w:lineRule="auto"/>
              <w:ind w:left="282"/>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p>
            <w:pPr>
              <w:pStyle w:val="ListParagraph"/>
              <w:tabs>
                <w:tab w:pos="454" w:val="left"/>
              </w:tabs>
              <w:spacing w:after="0" w:line="276" w:lineRule="auto"/>
              <w:ind w:left="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N/A</w:t>
            </w:r>
          </w:p>
          <w:p>
            <w:pPr>
              <w:pStyle w:val="ListParagraph"/>
              <w:numPr>
                <w:ilvl w:val="1"/>
                <w:numId w:val="5"/>
              </w:numPr>
              <w:spacing w:after="0" w:line="276" w:lineRule="auto"/>
              <w:ind w:left="282"/>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p>
          <w:p>
            <w:pPr>
              <w:pStyle w:val="ListParagraph"/>
              <w:tabs>
                <w:tab w:pos="454" w:val="left"/>
              </w:tabs>
              <w:spacing w:after="0" w:line="276" w:lineRule="auto"/>
              <w:ind w:left="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N/A</w:t>
            </w:r>
          </w:p>
        </w:tc>
      </w:tr>
      <w:tr>
        <w:trPr>
          <w:trHeight w:val="449"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40" w:lineRule="auto"/>
              <w:rPr>
                <w:rFonts w:eastAsia="Times New Roman"/>
                <w:i/>
                <w:iCs/>
                <w:sz w:val="24"/>
                <w:szCs w:val="24"/>
              </w:rPr>
            </w:pPr>
            <w:r>
              <w:rPr>
                <w:rFonts w:eastAsia="Times New Roman"/>
                <w:iCs/>
                <w:sz w:val="24"/>
                <w:szCs w:val="24"/>
              </w:rPr>
              <w:t xml:space="preserve">- Customer Relation Department is responsible to collect all document of customer (legal document, loan document, asset document, and etc.) to ensure that the business of customer is correct to the regulation of BIDC and law of Kingdom of Cambodia.</w:t>
            </w:r>
          </w:p>
          <w:p>
            <w:pPr>
              <w:pageBreakBefore w:val="0"/>
              <w:spacing w:after="0" w:line="240" w:lineRule="auto"/>
              <w:rPr>
                <w:rFonts w:eastAsia="Times New Roman"/>
                <w:i/>
                <w:iCs/>
                <w:sz w:val="24"/>
                <w:szCs w:val="24"/>
              </w:rPr>
            </w:pPr>
            <w:r>
              <w:rPr>
                <w:rFonts w:eastAsia="Times New Roman"/>
                <w:iCs/>
                <w:sz w:val="24"/>
                <w:szCs w:val="24"/>
              </w:rPr>
              <w:t xml:space="preserve">- Customer Relation Department requests customer to transfer revenue to customer account which is opened at BIDC at least 200% of OD limit and continue to use more banking service at BIDC.</w:t>
            </w:r>
          </w:p>
          <w:p>
            <w:pPr>
              <w:pageBreakBefore w:val="0"/>
              <w:spacing w:after="0" w:line="240" w:lineRule="auto"/>
              <w:rPr>
                <w:rFonts w:eastAsia="Times New Roman"/>
                <w:i/>
                <w:iCs/>
                <w:sz w:val="24"/>
                <w:szCs w:val="24"/>
              </w:rPr>
            </w:pPr>
            <w:r>
              <w:rPr>
                <w:rFonts w:eastAsia="Times New Roman"/>
                <w:iCs/>
                <w:sz w:val="24"/>
                <w:szCs w:val="24"/>
              </w:rPr>
              <w:t xml:space="preserve">- Customer Relation Department is responsible to specify the owner capital participating in the business plan to have suitable disbursement plan.</w:t>
            </w:r>
          </w:p>
          <w:p>
            <w:pPr>
              <w:pageBreakBefore w:val="0"/>
              <w:spacing w:after="0" w:line="240" w:lineRule="auto"/>
              <w:rPr>
                <w:rFonts w:eastAsia="Times New Roman"/>
                <w:i/>
                <w:iCs/>
                <w:sz w:val="24"/>
                <w:szCs w:val="24"/>
              </w:rPr>
            </w:pPr>
            <w:r>
              <w:rPr>
                <w:rFonts w:eastAsia="Times New Roman"/>
                <w:iCs/>
                <w:sz w:val="24"/>
                <w:szCs w:val="24"/>
              </w:rPr>
              <w:t xml:space="preserve">- Customer Relation Department periodically check the purposes of using loan from customer, implementing credit conditions, ensuring customer use the loan for right purpose, control risk and debt recovering</w:t>
            </w:r>
          </w:p>
          <w:p>
            <w:pPr>
              <w:spacing w:after="0" w:line="240" w:lineRule="auto"/>
              <w:rPr>
                <w:rFonts w:eastAsia="Times New Roman"/>
                <w:i/>
                <w:iCs/>
                <w:sz w:val="24"/>
                <w:szCs w:val="24"/>
              </w:rPr>
            </w:pPr>
          </w:p>
        </w:tc>
      </w:tr>
      <w:tr>
        <w:trPr>
          <w:trHeight w:val="2712"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rate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numPr>
                <w:ilvl w:val="1"/>
                <w:numId w:val="3"/>
              </w:numPr>
              <w:spacing w:after="100" w:afterAutospacing="1" w:line="276" w:lineRule="auto"/>
              <w:ind w:left="2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Condtions of Loan Contract including but not limited to the failure by the Borrower and/or Security Party to pay the due and payable amount to the Bank. </w:t>
            </w:r>
          </w:p>
          <w:p>
            <w:pPr>
              <w:pStyle w:val="ListParagraph"/>
              <w:numPr>
                <w:ilvl w:val="1"/>
                <w:numId w:val="3"/>
              </w:numPr>
              <w:spacing w:after="100" w:afterAutospacing="1" w:line="276" w:lineRule="auto"/>
              <w:ind w:left="2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oustanding loan will become overdue loan the Borrower shall to pay the overdue principal(s), interest on overdue principal(s), default interest and damage as detailed in Article 3, point 3.1 of General Terms and Condtions of Loan Contract.</w:t>
            </w:r>
          </w:p>
          <w:p>
            <w:pPr>
              <w:pStyle w:val="ListParagraph"/>
              <w:spacing w:after="100" w:afterAutospacing="1" w:line="276" w:lineRule="auto"/>
              <w:ind w:left="0"/>
              <w:rPr>
                <w:rFonts w:ascii="Times New Roman" w:eastAsia="Times New Roman" w:hAnsi="Times New Roman" w:cs="Times New Roman"/>
                <w:sz w:val="24"/>
                <w:szCs w:val="24"/>
              </w:rPr>
            </w:pPr>
          </w:p>
          <w:p>
            <w:pPr>
              <w:pStyle w:val="ListParagraph"/>
              <w:spacing w:after="100" w:afterAutospacing="1" w:line="276" w:lineRule="auto"/>
              <w:ind w:left="-78" w:firstLine="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is the formula for calculating the amount to be paid by the Borrower, in case of an Event of Default:</w:t>
            </w:r>
          </w:p>
          <w:p>
            <w:pPr>
              <w:autoSpaceDE w:val="0"/>
              <w:autoSpaceDN w:val="0"/>
              <w:adjustRightInd w:val="0"/>
              <w:spacing w:after="100" w:afterAutospacing="1" w:line="276" w:lineRule="auto"/>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00" w:afterAutospacing="1"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00" w:afterAutospacing="1"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360; </w:t>
            </w:r>
          </w:p>
          <w:p>
            <w:pPr>
              <w:pStyle w:val="ListParagraph"/>
              <w:autoSpaceDE w:val="0"/>
              <w:autoSpaceDN w:val="0"/>
              <w:adjustRightInd w:val="0"/>
              <w:numPr>
                <w:ilvl w:val="0"/>
                <w:numId w:val="8"/>
              </w:numPr>
              <w:spacing w:before="120" w:after="100" w:afterAutospacing="1"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00" w:afterAutospacing="1"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Overdue principle amount.</w:t>
            </w:r>
          </w:p>
          <w:p>
            <w:pPr>
              <w:spacing w:after="100" w:afterAutospacing="1" w:line="276" w:lineRule="auto"/>
              <w:rPr/>
            </w:pPr>
            <w:r>
              <w:rPr>
                <w:bCs/>
                <w:sz w:val="24"/>
                <w:szCs w:val="24"/>
              </w:rPr>
              <w:t xml:space="preserve">In any case, the aggregate amount of default interest and the damages shall not exceed 25% per annum of </w:t>
            </w:r>
            <w:r>
              <w:rPr>
                <w:sz w:val="24"/>
                <w:szCs w:val="24"/>
              </w:rPr>
              <w:t xml:space="preserve">the due and payable amount by the Borrower.</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line="276"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evalution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6.1. </w:t>
            </w:r>
            <w:r>
              <w:rPr>
                <w:rFonts w:ascii="Times New Roman" w:eastAsia="Times New Roman" w:hAnsi="Times New Roman" w:cs="Times New Roman"/>
                <w:sz w:val="24"/>
                <w:szCs w:val="24"/>
              </w:rPr>
              <w:t xml:space="preserve">Loan restructure fee: [LoanFee] % ([LoanFeeWord] percent) per annum on outstanding restructured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BUT CHANNARA</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SUPERVISOR CRD</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023210044</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info@bidc.com.kh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OKNHA PHAT BUN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CHAIRMAN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011995599</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bpc.accountdept@yahoo.com</w:t>
            </w:r>
          </w:p>
        </w:tc>
      </w:tr>
      <w:tr>
        <w:trPr>
          <w:trHeight w:val="2287"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252"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iCs/>
                <w:sz w:val="24"/>
                <w:szCs w:val="24"/>
              </w:rPr>
            </w:pPr>
            <w:r>
              <w:rPr>
                <w:iCs/>
                <w:sz w:val="24"/>
                <w:szCs w:val="24"/>
              </w:rPr>
              <w:t xml:space="preserve">This Loan Contract is made in Khmer in 4 (Four) and in English in 4 (Four) counterparts and all counterparts taken together shall be deemed to constitute one and the same value. The Bank shall keep 2 (Two) counterparts of original Loan Contract in Khmer and English; the Borrower, lawyer shall keep 1 (One) counterpart in each language and 1 (One) counterpart of original Loan Contract in Khmer shall be filed at relevant authorities.</w:t>
            </w:r>
          </w:p>
        </w:tc>
      </w:tr>
    </w:tbl>
    <w:p>
      <w:pPr>
        <w:spacing w:after="120" w:line="276" w:lineRule="auto"/>
        <w:jc w:val="both"/>
        <w:rPr/>
      </w:pPr>
    </w:p>
    <w:p>
      <w:pPr>
        <w:spacing w:after="120" w:line="276" w:lineRule="auto"/>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lang w:eastAsia="en-US" w:bidi="km-KH"/>
        </w:rPr>
        <w:t xml:space="preserve">….</w:t>
      </w:r>
      <w:r>
        <w:rPr>
          <w:sz w:val="24"/>
          <w:szCs w:val="24"/>
          <w:lang w:eastAsia="en-US" w:bidi="km-KH"/>
        </w:rPr>
        <w:t xml:space="preserve"> </w:t>
      </w:r>
      <w:r>
        <w:rPr>
          <w:sz w:val="24"/>
          <w:szCs w:val="24"/>
        </w:rPr>
        <w:t xml:space="preserve">pages.</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ind w:left="-118"/>
              <w:rPr>
                <w:b/>
                <w:bCs/>
                <w:lang w:eastAsia="en-US" w:bidi="km-KH"/>
              </w:rPr>
            </w:pPr>
            <w:r>
              <w:rPr>
                <w:rFonts w:eastAsia="Times New Roman"/>
                <w:b/>
                <w:bCs/>
                <w:iCs/>
                <w:lang w:val="nl-NL"/>
              </w:rPr>
              <w:t xml:space="preserve">Mr.MEY PHY</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B.P.C Trading Co., Ltd</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OKNHA PHAT BUN</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spacing w:line="276" w:lineRule="auto"/>
        <w:rPr/>
      </w:pPr>
    </w:p>
    <w:sectPr>
      <w:headerReference w:type="first" r:id="rId4"/>
      <w:footerReference w:type="first" r:id="rId5"/>
      <w:headerReference w:type="even" r:id="rId6"/>
      <w:footerReference w:type="even" r:id="rId7"/>
      <w:headerReference w:type="default" r:id="rId8"/>
      <w:footerReference w:type="default" r:id="rId9"/>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imes">
    <w:panose1 w:val="0202060306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2FF" w:usb1="400004FF" w:usb2="00000000" w:usb3="00000000" w:csb0="E00002FF" w:csb1="400004FF"/>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rPr>
      <w:pict xmlns:w="http://schemas.openxmlformats.org/wordprocessingml/2006/main">
        <v:line xmlns:o="urn:schemas-microsoft-com:office:office" xmlns:v="urn:schemas-microsoft-com:vml"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" strokecolor="windowText">
          <o:lock v:ext="edit" shapetype="f"/>
        </v:line>
      </w:pict>
    </w:r>
    <w:r>
      <w:rPr>
        <w:sz w:val="16"/>
        <w:szCs w:val="16"/>
      </w:rPr>
      <w:t xml:space="preserve">Inputter: molika.c</w:t>
    </w:r>
    <w:r>
      <w:rPr>
        <w:sz w:val="16"/>
        <w:szCs w:val="16"/>
      </w:rPr>
      <w:tab/>
    </w:r>
    <w:r>
      <w:rPr>
        <w:sz w:val="16"/>
        <w:szCs w:val="16"/>
      </w:rPr>
      <w:tab/>
    </w:r>
    <w:r>
      <w:rPr>
        <w:sz w:val="16"/>
        <w:szCs w:val="16"/>
      </w:rPr>
      <w:t xml:space="preserve">Borrower: B.P.C Trading Co., Ltd</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69720cd4-ebe2-4186-8496-3a8723ae435f"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8a39ce06-ef95-404a-8d44-a77659fd5e7f"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bCs/>
        <w:sz w:val="18"/>
        <w:szCs w:val="24"/>
      </w:rPr>
    </w:pPr>
    <w:r>
      <w:pict>
        <v:shape id="PowerPlusWaterMarkObject31cc95b16b-d1a9-4552-bb0b-ac3222745125"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sz w:val="20"/>
      </w:rPr>
      <w:t xml:space="preserve">LOAN CONTRACT</w:t>
    </w:r>
    <w:r>
      <w:rPr>
        <w:sz w:val="20"/>
      </w:rPr>
      <w:t xml:space="preserve"> (OverDraft</w:t>
    </w:r>
    <w:r>
      <w:rPr>
        <w:sz w:val="20"/>
      </w:rPr>
      <w:t xml:space="preserve">)</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2</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p>
    <w:pPr>
      <w:pStyle w:val="Header"/>
      <w:tabs>
        <w:tab w:pos="4680" w:val="center"/>
        <w:tab w:pos="9360" w:val="right"/>
      </w:tabs>
      <w:spacing w:line="240" w:lineRule="auto"/>
      <w:rPr/>
    </w:pPr>
    <w:r>
      <w:rPr>
        <w:noProof/>
      </w:rPr>
      <w:pict xmlns:w="http://schemas.openxmlformats.org/wordprocessingml/2006/main">
        <v:line xmlns:o="urn:schemas-microsoft-com:office:office" xmlns:v="urn:schemas-microsoft-com:vml"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after="200" w:line="276" w:lineRule="auto"/>
    </w:pPr>
    <w:rPr>
      <w:sz w:val="26"/>
      <w:szCs w:val="2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numbering" Target="numbering.xml" /><Relationship Id="rId7" Type="http://schemas.openxmlformats.org/officeDocument/2006/relationships/footer" Target="footer7.xml" /><Relationship Id="rId6" Type="http://schemas.openxmlformats.org/officeDocument/2006/relationships/header" Target="header6.xml" /><Relationship Id="rId5" Type="http://schemas.openxmlformats.org/officeDocument/2006/relationships/footer" Target="footer5.xml" /><Relationship Id="rId4" Type="http://schemas.openxmlformats.org/officeDocument/2006/relationships/header" Target="header4.xml" /><Relationship Id="rId9" Type="http://schemas.openxmlformats.org/officeDocument/2006/relationships/footer" Target="footer9.xml" /><Relationship Id="rId8" Type="http://schemas.openxmlformats.org/officeDocument/2006/relationships/header" Target="header8.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47</TotalTime>
  <Pages>5</Pages>
  <Words>1023</Words>
  <Characters>5835</Characters>
  <CharactersWithSpaces>6845</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DragonAtula</cp:lastModifiedBy>
  <cp:revision>12</cp:revision>
  <dcterms:created xsi:type="dcterms:W3CDTF">2018-01-18T01:43:00Z</dcterms:created>
  <dcterms:modified xsi:type="dcterms:W3CDTF">2018-06-28T08:09:00Z</dcterms:modified>
</cp:coreProperties>
</file>