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" w:eastAsia="Khmer OS Muol" w:hAnsi="Khmer OS Muol" w:cs="Khmer OS Muol"/>
          <w:sz w:val="20"/>
        </w:rPr>
      </w:pPr>
      <w:r>
        <w:rPr/>
        <w:pict>
          <v:shape type="#_x0000_t202" style="position:absolute;margin-left:-7.55pt;margin-top:-12.6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OS Battambang" w:eastAsia="Khmer OS Battambang" w:hAnsi="Khmer OS Battambang" w:cs="Khmer OS Battambang"/>
          <w:cs/>
          <w:sz w:val="20"/>
        </w:rPr>
        <w:t xml:space="preserve"> </w:t>
      </w:r>
      <w:r>
        <w:rPr>
          <w:rFonts w:ascii="Khmer OS Muol" w:eastAsia="Khmer OS Muol" w:hAnsi="Khmer OS Muol" w:cs="Khmer OS Muol"/>
          <w:cs/>
          <w:sz w:val="20"/>
        </w:rPr>
        <w:t xml:space="preserve">ព្រះរាជាណាចក្រកម្ពុជា</w:t>
      </w:r>
      <w:r>
        <w:rPr>
          <w:rFonts w:ascii="Khmer OS Muol" w:eastAsia="Khmer OS Muol" w:hAnsi="Khmer OS Muol" w:cs="Khmer OS Muol"/>
          <w:sz w:val="20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Khmer OS Battambang" w:eastAsia="Khmer OS Battambang" w:hAnsi="Khmer OS Battambang" w:cs="Khmer OS Battambang"/>
          <w:b/>
          <w:sz w:val="20"/>
          <w:szCs w:val="20"/>
        </w:rPr>
      </w:pP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    </w:t>
      </w:r>
      <w:r>
        <w:rPr>
          <w:rFonts w:ascii="Khmer OS Muol" w:eastAsia="Khmer OS Muol" w:hAnsi="Khmer OS Muol" w:cs="Khmer OS Muol"/>
          <w:b/>
          <w:sz w:val="20"/>
          <w:szCs w:val="20"/>
          <w:lang w:eastAsia="en-US" w:bidi="km-KH"/>
        </w:rPr>
        <w:t xml:space="preserve">      </w:t>
      </w:r>
      <w:r>
        <w:rPr>
          <w:rFonts w:ascii="Khmer OS Muol" w:eastAsia="Khmer OS Muol" w:hAnsi="Khmer OS Muol" w:cs="Khmer OS Muol"/>
          <w:cs/>
          <w:b/>
          <w:sz w:val="20"/>
          <w:szCs w:val="20"/>
          <w:lang w:eastAsia="en-US" w:bidi="km-KH"/>
        </w:rPr>
        <w:t xml:space="preserve"> ជាតិ   សាសនា ព្រះមហាក្សត្រ</w:t>
      </w:r>
      <w:r>
        <w:rPr>
          <w:rFonts w:ascii="Khmer OS Muol" w:eastAsia="Khmer OS Muol" w:hAnsi="Khmer OS Muol" w:cs="Khmer OS Muol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ab/>
      </w:r>
      <w:r>
        <w:rPr>
          <w:rFonts w:ascii="Khmer OS Battambang" w:eastAsia="Khmer OS Battambang" w:hAnsi="Khmer OS Battambang" w:cs="Khmer OS Battambang"/>
          <w:b/>
          <w:sz w:val="20"/>
          <w:szCs w:val="20"/>
        </w:rPr>
        <w:t xml:space="preserve">               </w:t>
      </w: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     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z w:val="20"/>
                <w:szCs w:val="20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(</w:t>
            </w:r>
            <w:r>
              <w:rPr>
                <w:rFonts w:ascii="Khmer OS Muol" w:eastAsia="Times New Roman" w:hAnsi="Khmer OS Muol" w:cs="Khmer OS Muol"/>
                <w:cs/>
                <w:sz w:val="24"/>
                <w:szCs w:val="24"/>
                <w:lang w:eastAsia="en-US" w:bidi="km-KH"/>
              </w:rPr>
              <w:t xml:space="preserve">ឥណទានរយៈពេលខ្លី</w:t>
            </w:r>
            <w:r>
              <w:rPr>
                <w:rFonts w:ascii="Khmer OS Muol" w:eastAsia="Times New Roman" w:hAnsi="Khmer OS Muol" w:cs="Khmer OS Muol"/>
                <w:cs/>
                <w:b/>
                <w:bCs/>
                <w:sz w:val="24"/>
                <w:szCs w:val="24"/>
                <w:lang w:eastAsia="en-US" w:bidi="km-KH"/>
              </w:rPr>
              <w:t xml:space="preserve"> 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  <w:t xml:space="preserve">Credit Line</w:t>
            </w:r>
            <w:r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" w:eastAsia="Times New Roman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" w:eastAsia="Khmer OS Muol" w:hAnsi="Khmer OS Muol" w:cs="Khmer OS Muol"/>
                <w:cs/>
                <w:b/>
                <w:sz w:val="24"/>
                <w:szCs w:val="24"/>
                <w:lang w:eastAsia="en-US" w:bidi="km-KH"/>
              </w:rPr>
              <w:t xml:space="preserve"> - ការិយាល័យកណ្ដាល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ធនាគារ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cap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caps/>
                <w:sz w:val="24"/>
                <w:szCs w:val="24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b/>
                <w:bCs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ក្រុមហ៊ុន រតនា ខូអបភើរេសិន</w:t>
            </w: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</w:rPr>
            </w:pP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(“</w:t>
            </w: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អ្នកខ្ចី</w:t>
            </w:r>
            <w:r>
              <w:rPr>
                <w:rFonts w:ascii="Khmer OS Muol" w:eastAsia="Khmer OS Muol" w:hAnsi="Khmer OS Muol" w:cs="Khmer OS Muol"/>
                <w:sz w:val="24"/>
                <w:szCs w:val="24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Battambang" w:eastAsia="Times New Roman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val="ca-ES" w:eastAsia="en-US" w:bidi="km-KH"/>
              </w:rPr>
              <w:t xml:space="preserve">លេខ</w:t>
            </w:r>
            <w:r>
              <w:rPr>
                <w:rFonts w:ascii="Khmer OS Battambang" w:eastAsia="Khmer OS Battambang" w:hAnsi="Khmer OS Battambang" w:cs="Khmer OS Battambang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13/2018/CL/HO/110728</w:t>
            </w: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Muol" w:eastAsia="Khmer OS Muol" w:hAnsi="Khmer OS Muol" w:cs="Khmer OS Muol"/>
                <w:sz w:val="24"/>
                <w:szCs w:val="24"/>
              </w:rPr>
            </w:pPr>
          </w:p>
          <w:p>
            <w:pPr>
              <w:spacing w:after="0" w:line="216" w:lineRule="auto"/>
              <w:jc w:val="center"/>
              <w:rPr>
                <w:rFonts w:ascii="Khmer OS Muol" w:eastAsia="Khmer OS Muol" w:hAnsi="Khmer OS Muol" w:cs="Khmer OS Muol"/>
                <w:sz w:val="24"/>
                <w:szCs w:val="24"/>
                <w:lang w:eastAsia="en-US" w:bidi="km-KH"/>
              </w:rPr>
            </w:pPr>
            <w:r>
              <w:rPr>
                <w:rFonts w:ascii="Khmer OS Muol" w:eastAsia="Khmer OS Muol" w:hAnsi="Khmer OS Muol" w:cs="Khmer OS Muol"/>
                <w:cs/>
                <w:sz w:val="24"/>
                <w:szCs w:val="24"/>
                <w:lang w:eastAsia="en-US" w:bidi="km-KH"/>
              </w:rPr>
              <w:t xml:space="preserve">កាលបរិច្ឆេទ៖ 13/07/2018</w:t>
            </w: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sz w:val="20"/>
                <w:szCs w:val="20"/>
              </w:rPr>
            </w:pPr>
          </w:p>
        </w:tc>
      </w:tr>
    </w:tbl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spacing w:after="0" w:line="216" w:lineRule="auto"/>
        <w:rPr>
          <w:rFonts w:ascii="Khmer OS Battambang" w:eastAsia="Times New Roman" w:hAnsi="Khmer OS Battambang" w:cs="Khmer OS Battambang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 w:line="216" w:lineRule="auto"/>
        <w:jc w:val="both"/>
        <w:rPr>
          <w:rFonts w:ascii="Khmer OS Battambang" w:eastAsia="Times New Roman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Times New Roman" w:hAnsi="Khmer OS Battambang" w:cs="Khmer OS Battambang"/>
          <w:b/>
          <w:bCs/>
          <w:sz w:val="24"/>
          <w:szCs w:val="24"/>
        </w:rPr>
        <w:t xml:space="preserve">    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13/07/2018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ការិយាល័យកណ្ដាល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ធនាគារវិនិយោគ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4"/>
          <w:szCs w:val="24"/>
          <w:lang w:val="ca-ES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Muol" w:eastAsia="Khmer OS Muol" w:hAnsi="Khmer OS Muol" w:cs="Khmer OS Muol"/>
          <w:cs/>
          <w:b/>
          <w:sz w:val="24"/>
          <w:szCs w:val="24"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b/>
          <w:sz w:val="24"/>
          <w:szCs w:val="24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-</w:t>
      </w:r>
      <w:r>
        <w:rPr>
          <w:rFonts w:ascii="Khmer OS Battambang" w:eastAsia="Khmer OS Battambang" w:hAnsi="Khmer OS Battambang" w:cs="Khmer OS Battambang"/>
          <w:b/>
          <w:sz w:val="24"/>
          <w:szCs w:val="24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</w:rPr>
        <w:t xml:space="preserve">ការិយាល័យកណ្ដាល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sz w:val="24"/>
          <w:szCs w:val="2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sz w:val="24"/>
          <w:szCs w:val="24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sz w:val="24"/>
          <w:szCs w:val="24"/>
          <w:lang w:eastAsia="en-US" w:bidi="km-KH"/>
        </w:rPr>
        <w:t xml:space="preserve">19</w:t>
      </w:r>
      <w:r>
        <w:rPr>
          <w:rFonts w:ascii="Khmer OS Battambang" w:eastAsia="Khmer OS Battambang" w:hAnsi="Khmer OS Battambang" w:cs="Khmer OS Battambang"/>
          <w:cs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18/07/2012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sz w:val="24"/>
          <w:szCs w:val="24"/>
          <w:lang w:eastAsia="en-US" w:bidi="km-KH"/>
        </w:rPr>
        <w:t xml:space="preserve">អាគារលេខ ៣៧០ មហាវិថីព្រះមុនីវង្ស សង្កាត់បឹងកេងកង ១ ខណ្ឌចំការមន រាជធានីភ្នំពេញ។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  <w:t xml:space="preserve">លោក ម៉ី ភី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</w:pPr>
    </w:p>
    <w:p>
      <w:pPr>
        <w:pStyle w:val="ListParagraph"/>
        <w:numPr>
          <w:ilvl w:val="0"/>
          <w:numId w:val="10"/>
        </w:numPr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  <w:sz w:val="24"/>
          <w:szCs w:val="24"/>
        </w:rPr>
      </w:pPr>
      <w:r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  <w:t xml:space="preserve">ក្រុមហ៊ុន រតនា ខូអបភើរេសិន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/>
          <w:sz w:val="24"/>
          <w:szCs w:val="24"/>
          <w:lang w:eastAsia="en-US" w:bidi="km-KH"/>
        </w:rPr>
        <w:t xml:space="preserve">សហគ្រាសឯកបុគ្គលទទួលខុសត្រូវមានកម្រិត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 ចុះបញ្ជីស្របតាមច្បាប់នៃព្រះរាជាណាចក្រកម្ពុជា ដែលមានលេខចុះបញ្ជី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Co.8038KH/2005</w:t>
      </w:r>
      <w:r>
        <w:rPr>
          <w:rFonts w:ascii="Khmer OS Battambang" w:eastAsia="Khmer OS Battambang" w:hAnsi="Khmer OS Battambang" w:cs="Khmer OS Battambang"/>
          <w:cs/>
          <w:b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23/01/2015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sz w:val="24"/>
          <w:szCs w:val="2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#២៨៨អឺ០, ផ្លូវម៉ៅសេទុង, សង្កាត់បឹងសាឡាង, ខ័ណ្ឌទួលគោក, ភ្នំពេញ</w:t>
      </w:r>
      <w:r>
        <w:rPr>
          <w:rFonts w:ascii="Khmer OS Battambang" w:eastAsia="Khmer OS Battambang" w:hAnsi="Khmer OS Battambang" w:cs="Khmer OS Battambang"/>
          <w:cs/>
          <w:bCs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sz w:val="24"/>
          <w:szCs w:val="2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(+៨៥៥) ១៧ ៧៥៦ ៧៨៩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sz w:val="24"/>
          <w:szCs w:val="24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  <w:t xml:space="preserve">លោកស្រី ប៉ុណ្ណា ដារី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អភិបាល ​ (តទៅនេះហៅថា 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</w:p>
    <w:p>
      <w:pPr>
        <w:spacing w:before="120" w:after="0" w:line="216" w:lineRule="auto"/>
        <w:ind w:firstLine="426"/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sz w:val="24"/>
          <w:szCs w:val="24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sz w:val="24"/>
          <w:szCs w:val="24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Muol" w:eastAsia="Khmer OS Muol" w:hAnsi="Khmer OS Muol" w:cs="Khmer OS Muol"/>
          <w:sz w:val="24"/>
          <w:szCs w:val="24"/>
          <w:lang w:eastAsia="en-US" w:bidi="km-KH"/>
        </w:rPr>
      </w:pPr>
      <w:r>
        <w:rPr>
          <w:rFonts w:ascii="Khmer OS Muol" w:eastAsia="Khmer OS Muol" w:hAnsi="Khmer OS Muol" w:cs="Khmer OS Muol"/>
          <w:cs/>
          <w:sz w:val="24"/>
          <w:szCs w:val="24"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អ្នកខ្ចីបានដាក់ពាក្យស្នើសុំឥណទានពីធនាគារ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z w:val="24"/>
          <w:szCs w:val="24"/>
          <w:lang w:eastAsia="en-US" w:bidi="km-KH"/>
        </w:rPr>
        <w:t xml:space="preserve">..../..../.........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ហើយធនាគារ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យល់ព្រមក្នុងការផ្តល់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ឥណទានដល់អ្នកខ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្ចី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 w:hint="cs"/>
          <w:cs/>
          <w:sz w:val="24"/>
          <w:szCs w:val="24"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នេះ ស្របតាមបញ្ញត្តិ និងលក្ខខណ្ឌដែលមានចែងនៅក្នុង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កិច្ចសន្យាខ្ចីបរិភោគនេះ។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rPr>
          <w:rFonts w:ascii="Khmer OS Battambang" w:eastAsia="Khmer OS Battambang" w:hAnsi="Khmer OS Battambang" w:cs="Khmer OS Battambang"/>
          <w:spacing w:val="-5"/>
          <w:sz w:val="24"/>
          <w:szCs w:val="24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4"/>
          <w:szCs w:val="24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របស់ធនាគារដែលមានភ្ជាប់ជាឧបសម្ព័ន្ធ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sz w:val="24"/>
          <w:szCs w:val="24"/>
          <w:lang w:eastAsia="en-US" w:bidi="km-KH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ក)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គូភាគី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ព្រមព្រៀងលើបញ្ញត្តិ និងលក្ខខណ្ឌ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សំខាន់ៗ 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នៃឥណទាន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ដូចខាងក្រោមនេះ</w:t>
      </w:r>
      <w:r>
        <w:rPr>
          <w:rFonts w:ascii="Khmer OS Battambang" w:eastAsia="Khmer OS Battambang" w:hAnsi="Khmer OS Battambang" w:cs="Khmer OS Battambang"/>
          <w:cs/>
          <w:sz w:val="24"/>
          <w:szCs w:val="24"/>
          <w:lang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9756" w:type="dxa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2430"/>
        <w:gridCol w:w="287"/>
        <w:gridCol w:w="4969"/>
      </w:tblGrid>
      <w:tr>
        <w:trPr/>
        <w:tc>
          <w:tcPr>
            <w:tcW w:type="dxa" w:w="2070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eastAsia="en-US" w:bidi="km-KH"/>
              </w:rPr>
              <w:t xml:space="preserve">ប្រភេទ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4"/>
                <w:szCs w:val="24"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430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ឥណទានរយៈពេលខ្លី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Credit line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  <w:t xml:space="preserve">2,000,000.00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ពីរលាន)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8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រយៈពេលកម្រិតឥណទាន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12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  ខែ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  <w:t xml:space="preserve">គិតចាប់ពីកាលបរិច្ឆេទនៃការចុះហត្ថលេខាលើកិច្ចសន្យាខ្ចីបរិភោគនេះ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0.5%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សម្រាប់បំពេញទុនបង្វិលអាជីវកម្ម</w:t>
            </w:r>
          </w:p>
        </w:tc>
      </w:tr>
      <w:tr>
        <w:trPr>
          <w:trHeight w:val="503" w:hRule="atLeast"/>
        </w:trPr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430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+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ind w:left="-29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: 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អ្នកខ្ចីត្រូវទូទាត់សងប្រាក់ដើមទៅធនាគារ 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លិខិតដកឥណទានប្រើប្រាស់នីមួយៗ។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នៅរៀងរាល់ថ្ងៃទី </w:t>
            </w:r>
            <w:r>
              <w:rPr>
                <w:rFonts w:ascii="Khmer OS Battambang" w:eastAsia="Khmer OS Battambang" w:hAnsi="Khmer OS Battambang" w:cs="Khmer OS Battambang"/>
              </w:rPr>
              <w:t xml:space="preserve">25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(ម្ភៃប្រាំ) នៃខែនីមួយ</w:t>
            </w:r>
            <w:r>
              <w:rPr>
                <w:rFonts w:ascii="Khmer OS Battambang" w:eastAsia="Khmer OS Battambang" w:hAnsi="Khmer OS Battambang" w:cs="Khmer OS Battambang"/>
                <w:cs/>
                <w:rtl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និងការបង់ការប្រាក់ត្រូវចាប់ផ្តើមនៅកាលបរិច្ឆេទនៃការបញ្ចេញឥណទានលើកដំបូង។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  <w:t xml:space="preserve">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ផ្សេងទៀតទាក់ទង់ការទូទាត់ប្រាក់ដើម និង ការប្រាក់មានចែងក្នុងប្រការ ៧ នៃ​បទបញ្ញត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ិ និង លក្ខខណ្ឌទូទៅ </w:t>
            </w:r>
          </w:p>
        </w:tc>
      </w:tr>
      <w:tr>
        <w:trPr/>
        <w:tc>
          <w:tcPr>
            <w:tcW w:type="dxa" w:w="2070"/>
            <w:vMerge w:val="restart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686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</w:tc>
      </w:tr>
      <w:tr>
        <w:trPr/>
        <w:tc>
          <w:tcPr>
            <w:tcW w:type="dxa" w:w="2070"/>
            <w:vMerge w:val="continue"/>
            <w:tcBorders>
              <w:top w:val="single" w:sz="4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</w:p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លោក​ ជួន សុវណ្ណ​ និងលោកស្រី អឿន វុត្ថា 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 ៣៩៤ 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១២០៥១០០៩-០៣៩៤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២០,១៦៩​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ភូមិពាម, សង្កាត់ព្រៃស,​ខ័ណ្ឌដង្កោ, ភ្នំពេញ 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2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លោក​ ជួន សុវណ្ណ​ និងលោកស្រី អឿន វុត្ថា  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GII០៤៩៣ 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កណ០០៩៦៩៣ 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៧៧៧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 ភូមិក្បាលជ្រោយ, ឃុំ​ព្រែកឯង, ស្រុកកៀនស្វាយ (ច្បារអំពៅ),​ កណ្តាល (ភ្នំពេញ)</w:t>
                  </w:r>
                </w:p>
              </w:tc>
            </w:tr>
          </w:tbl>
          <w:p/>
        </w:tc>
      </w:tr>
      <w:tr>
        <w:trPr/>
        <w:tc>
          <w:tcPr>
            <w:tcW w:type="dxa" w:w="2070"/>
            <w:vMerge w:val="continue"/>
            <w:tcBorders>
              <w:top w:val="none" w:sz="0" w:space="0" w:color="auto"/>
              <w:left w:val="single" w:sz="4" w:space="0" w:color="auto"/>
              <w:bottom w:val="nil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2000"/>
              <w:gridCol w:w="2000"/>
              <w:gridCol w:w="200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ឈ្មោះ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អត្តសញ្ញាណប័ណ្ឌ/លិខិតឆ្លងដែន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ចេញនៅលើ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លោក​ ជួន សុវណ្ណ​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០២០៧៦៩៩៩៩(០១)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30/06/2015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លោកស្រី អឿន វុត្ថា 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០២០៧៥៧៧៧៧(០១)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30/06/2015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3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លោកស្រី ប៉ុណ្ណា ដារី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០១១២៧៦៧៩០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11/11/2016</w:t>
                  </w:r>
                </w:p>
              </w:tc>
            </w:tr>
          </w:tbl>
          <w:p/>
        </w:tc>
      </w:tr>
      <w:tr>
        <w:trPr>
          <w:trHeight w:val="776" w:hRule="atLeast"/>
        </w:trPr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spacing w:line="216" w:lineRule="auto"/>
              <w:ind w:left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</w:p>
        </w:tc>
        <w:tc>
          <w:tcPr>
            <w:tcW w:type="dxa" w:w="7686"/>
            <w:gridSpan w:val="3"/>
            <w:tcBorders>
              <w:top w:val="nil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p>
            <w:pPr>
              <w:spacing/>
              <w:ind w:left="-78"/>
              <w:jc w:val="both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b/>
                <w:bCs/>
                <w:lang w:eastAsia="en-US" w:bidi="km-KH"/>
              </w:rPr>
              <w:t xml:space="preserve">ប្រាក់បញ្ញើមានកាលកំណត</w:t>
            </w:r>
            <w:r>
              <w:rPr>
                <w:rFonts w:ascii="Khmer OS Battambang" w:eastAsia="Khmer OS Battambang" w:hAnsi="Khmer OS Battambang" w:cs="Khmer OS Battambang" w:hint="cs"/>
                <w:b/>
                <w:bCs/>
                <w:lang w:eastAsia="en-US" w:bidi="km-KH"/>
              </w:rPr>
              <w:t xml:space="preserve">់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600"/>
              <w:gridCol w:w="1328"/>
              <w:gridCol w:w="672"/>
              <w:gridCol w:w="1256"/>
              <w:gridCol w:w="744"/>
              <w:gridCol w:w="1184"/>
              <w:gridCol w:w="416"/>
              <w:gridCol w:w="1512"/>
              <w:gridCol w:w="88"/>
              <w:gridCol w:w="1840"/>
            </w:tblGrid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លរ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ម្ចាស់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គណនីបញ្ញើមានកាលកំណត់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បើកកាលបរិច្ឆេទ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2"/>
                    </w:rPr>
                    <w:t xml:space="preserve">កាលបរិច្ឆេទ​ផុតកំណត់</w:t>
                  </w:r>
                </w:p>
              </w:tc>
            </w:tr>
            <w:tr>
              <w:trPr/>
              <w:tc>
                <w:tcPr>
                  <w:tcW w:type="dxa" w:w="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1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ជួន​ សុវណ្ណ</w:t>
                  </w:r>
                </w:p>
              </w:tc>
              <w:tc>
                <w:tcPr>
                  <w:tcW w:type="dxa" w:w="20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KHAA007507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26/06/2017</w:t>
                  </w:r>
                </w:p>
              </w:tc>
              <w:tc>
                <w:tcPr>
                  <w:tcW w:type="dxa" w:w="16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2"/>
                    </w:rPr>
                    <w:t xml:space="preserve">26/06/2018</w:t>
                  </w:r>
                </w:p>
              </w:tc>
            </w:tr>
            <w:tr>
              <w:trPr/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</w:tr>
            <w:tr>
              <w:trPr/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W w:type="dxa" w:w="1928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pStyle w:val="Normal"/>
                    <w:rPr/>
                  </w:pPr>
                </w:p>
              </w:tc>
            </w:tr>
          </w:tbl>
          <w:p/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342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-ក្រុមហ៊ុនត្រូវបំពេញបែបបទ បង្កើតហ៊ីប៉ូតែកលើអចលនវត្ថុ និងទ្រព្យផ្សេងៗទៀតដែលនៅជាប់និងអចលនវត្ថុ ដើម្បីធានាជាមួយធនាគារទៅលើកម្ចីឥណទានអ្នកខ្ចី។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-អ្នកខ្ចី (លោក ជួន សុវណ្ណ និង អ្នកស្រី អឿន វុត្ថា និង អ្នកស្រី ប៉ុណ្ណា ដារី) ត្រូវចុះហត្ថលេខា​លើលិខិតធានាជាបុគ្គលដើម្បីទទួលបានប្រាក់កម្ចី។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-អ្នកខ្ចីត្រូវផ្ទេរប្រាក់ចំណូលទៅគណនីដែលបានបើកនៅធនាគារ BIDC និងប្រើប្រាស់សេវាកម្មផ្សេងៗទៀតជាមួយធនាគារ BIDC 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-អ្នកខ្ចីត្រូវបំពេញបែបបទចុះបញ្ជី លើទ្រព្យបញ្ចាំស្របតាមបទកំណត់ទៅលើ វិញ្ញាបនប័ត្រសំគាល ម្ចាស់អចលនវត្ថុលេខ ១២០៥១០០៩-០៣៩៤ និងបញ្ចាំគណនីប្រាក់បញ្ញើមានកំណត់ជាមួយ នឹងទឹកប្រាក់សរុបចំនួន ៥០០,០០០.០០ ដុល្លារអាមេរិក ដែលបើកនៅធនាគារ BIDC និងប័ណ្ណសំគាល់ម្ចាស់អចលនវត្ថុលេខ ក.ណ ០០៩៦៩៣ ដែលបានចុះក្នុងកិច្ចសន្យាបង្កើតហ៊ីប៉ូតែក និងត្រូវតំកល់ច្បាប់ដើមនៅធនាគារ BIDC (មិនបានចុះបញ្ជីនៅ មន្ទីដែនដីនគររូបកម្ម សំណង់ និងសុរិយោដី ទេ)។</w:t>
            </w:r>
          </w:p>
          <w:p>
            <w:pPr>
              <w:pageBreakBefore w:val="0"/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-អ្នកខ្ចីត្រូវបានលើកទឹកចិត្តក្នុងការ ទិញធានារ៉ាប់រងសំរាប់ទ្រព្យ និងទ្រព្យសកម្ម ដែលពាក់ព័ន្ធផ្សេងៗនៅក្រុមហ៊ុនធានារ៉ាប់រង កម្ពុជា-វៀតណាម (CVI) អ្នកទទួលគឺជាធនាគារ BIDC ។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iCs/>
              </w:rPr>
              <w:t xml:space="preserve">-លក្ខខណ្ឌផ្សេងៗទៀត ត្រូវបានអនុវត្តតាមបទប្បញ្ញត្តិនៃធនាគារ BIDC និងបទប្បញ្ញត្តិនៃធនាគារជាតិ និងស្របតាមច្បាប់នៃព្រះរាជាណាចក្រកម្ពុជា។</w:t>
            </w:r>
          </w:p>
        </w:tc>
      </w:tr>
      <w:tr>
        <w:trPr/>
        <w:tc>
          <w:tcPr>
            <w:tcW w:type="dxa" w:w="2070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342" w:hanging="459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    អត្រាការប្រាក់ក្នុងករណីបំពានលក្ខខណ្ឌ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ឬខកខានមិនអ​នុវត្តនូវកាតព្វកិច្ចណាមួយដោយអ្នកខ្ចី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ាតិភោគ ដូចដែលមានចែងនៅក្នុងប្រការ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បញ្ញត្តិ និងលក្ខខណ្ឌទូទៅនៃកិច្ចសន្យាខ្ចីបរិភោគ រួមមានជាអាទិ៍ការខកខានមិនមានបង់ចំនួនទឹកប្រាក់ដែលដល់កាលកំណត់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សង និងត្រូវទូទាត់សងជូនធនាគារ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បំណុលទាំងអស់ត្រូវចាត់ទុកជាបំណុលហួសកាលកំណត់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អ្នកខ្ចីត្រូវធ្វើការទូទាត់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ការប្រាក់ក្នុងករណីបំពានលក្ខខណ្ឌ និង សំណងនៃការខូចខាត 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និងលក្ខខណ្ឌទូទៅនៃកិច្ចសន្យាខ្ចីបរិភោគ។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តារាងខាងក្រោមនេះ ជារូបមន្តសម្រាប់គណនាចំនួនទឹកប្រាក់ដែលអ្នកខ្ចីត្រូវបង់ ក្នុងករណីមានករណីបំពានលក្ខខណ្ឌកើតមានឡើង៖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50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rtl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í 360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162" w:val="left"/>
              </w:tabs>
              <w:spacing w:line="216" w:lineRule="auto"/>
              <w:ind w:left="2412" w:hanging="2412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rtl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 គិតចាប់ពេលដែលធានាគារដាក់ពាក្យបណ្តឹងទៅតុលាការ</w:t>
            </w:r>
          </w:p>
        </w:tc>
      </w:tr>
      <w:tr>
        <w:trPr/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និងសំណុំឯកសារប្រាតិភោគ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ជា​បន្ទុក និងត្រូវបង់ដោយអ្នកខ្ចី។ ក្នុងករណីដែលសោហ៊ុយ និងចំណាយ​ទាំងអស់ ឬផ្នែក​ណា​មួយ​របស់វា មិនត្រូវបានទូទាត់សង ឬបង់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ឲ្យបានគ្រប់​ចំនួន​​ដោយអ្នកខ្ចី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លបាន​បង់ដោយ​ធនាគារនោះ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នឹងត្រូវកាត់ពី​គណនី​ណាមួយរបស់​អ្នកខ្ចី​ដែល​រក្សា​ទុក​នៅ​ធនាគារ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 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11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សោហ៊ុយនៃការរៀបចំឥណទានឡើងវិញៈ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4"/>
                <w:lang w:eastAsia="en-US" w:bidi="km-KH"/>
              </w:rPr>
              <w:t xml:space="preserve">% (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ពីរ 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ភាគរយ) ក្នុងមួយឆ្នាំ លើចំនួនដែលនៅជំពាក់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ដែលត្រូវរៀបចំឡើងវិញ។</w:t>
            </w:r>
          </w:p>
        </w:tc>
      </w:tr>
      <w:tr>
        <w:trPr>
          <w:trHeight w:val="620" w:hRule="atLeast"/>
        </w:trPr>
        <w:tc>
          <w:tcPr>
            <w:tcW w:type="dxa" w:w="2070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ការទំនាក់ទំនង</w:t>
            </w:r>
          </w:p>
        </w:tc>
        <w:tc>
          <w:tcPr>
            <w:tcW w:type="dxa" w:w="7686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លោក ង៉ូវ គីមណៃ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នាយករងទទួលបន្ទុក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០៩២ ១៥៥ ៥៥១</w:t>
            </w:r>
          </w:p>
          <w:p>
            <w:pPr>
              <w:tabs>
                <w:tab w:pos="2267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kimnay.n@bidc.com.kh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  </w:t>
            </w:r>
            <w:r>
              <w:rPr>
                <w:rFonts w:ascii="Khmer OS Battambang" w:eastAsia="Times New Roman" w:hAnsi="Khmer OS Battambang" w:cs="Khmer OS Battambang"/>
              </w:rPr>
              <w:t xml:space="preserve">លោកស្រី ប៉ុណ្ណា ដារី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នាយកក្រុមហ៊ុន</w:t>
            </w:r>
          </w:p>
          <w:p>
            <w:pPr>
              <w:tabs>
                <w:tab w:pos="2279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Times New Roman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(+៨៥៥) ១៧ ៧៥៦ ៧៨៩</w:t>
            </w:r>
          </w:p>
          <w:p>
            <w:pPr>
              <w:tabs>
                <w:tab w:pos="2291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</w:p>
        </w:tc>
      </w:tr>
      <w:tr>
        <w:trPr/>
        <w:tc>
          <w:tcPr>
            <w:tcW w:type="dxa" w:w="9756"/>
            <w:gridSpan w:val="4"/>
            <w:tcBorders>
              <w:top w:val="none" w:sz="0" w:space="0" w:color="auto"/>
              <w:left w:val="single" w:sz="4" w:space="0" w:color="auto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</w:tr>
      <w:tr>
        <w:trPr/>
        <w:tc>
          <w:tcPr>
            <w:tcW w:type="dxa" w:w="9756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9"/>
              <w:jc w:val="both"/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សន្យាខ្ចីបរិភោគនេះត្រ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ូវធ្វើឡើងជាភាសាខ្មែរ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ហើយគ្រប់ច្បាប់ទាំងនេះត្រូវចាត់ទុកជាលិខិតូបករណ៍តែមួយ និងមានតម្លៃដូចគ្នា​។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(ពីរ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ច្បាប់សម្រាប់ភាសាខ្មែរ និងភាសាអង់គ្លេស។ អ្នកខ្ចី មេធាវី ឬសា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រការី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ត្រូវរក្សាទុកជាមួយអាជ្ញាធរមានសមត្ថកិច្ចដែលពាក់ព័ន្ធ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...........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ភាគីទាំងពីរយល់ព្រមចុះហត្ថលេខាលើកិច្ចសន្យាខ្ចីបរិភោគនេះនៅចំពោះមុខ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មេធាវី។</w:t>
      </w:r>
    </w:p>
    <w:tbl>
      <w:tblPr>
        <w:tblLook w:val="0000" w:firstRow="0" w:lastRow="0" w:firstColumn="0" w:lastColumn="0" w:noHBand="0" w:noVBand="0"/>
        <w:tblDescription w:val=""/>
        <w:tblW w:w="9581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2"/>
        <w:gridCol w:w="283"/>
        <w:gridCol w:w="1883"/>
        <w:gridCol w:w="243"/>
        <w:gridCol w:w="2410"/>
        <w:gridCol w:w="283"/>
        <w:gridCol w:w="236"/>
        <w:gridCol w:w="1607"/>
        <w:gridCol w:w="94"/>
      </w:tblGrid>
      <w:tr>
        <w:trPr>
          <w:trHeight w:val="358" w:hRule="atLeast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  <w:tc>
          <w:tcPr>
            <w:tcW w:type="dxa" w:w="519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</w:rPr>
            </w:pPr>
          </w:p>
        </w:tc>
      </w:tr>
      <w:tr>
        <w:trPr>
          <w:trHeight w:val="358" w:hRule="atLeast"/>
          <w:gridAfter w:val="1"/>
          <w:wAfter w:type="dxa" w:w="94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 ការិយាល័យកណ្ដាល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ក្រុមហ៊ុន រតនា ខូអបភើរេសិន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  <w:gridAfter w:val="1"/>
          <w:wAfter w:type="dxa" w:w="94"/>
        </w:trPr>
        <w:tc>
          <w:tcPr>
            <w:tcW w:type="dxa" w:w="254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 ម៉ី ភី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410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លោកស្រី ប៉ុណ្ណា ដារី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4"/>
          <w:szCs w:val="24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</w:p>
    <w:p>
      <w:pPr>
        <w:tabs>
          <w:tab w:pos="8181" w:val="left"/>
        </w:tabs>
        <w:spacing/>
        <w:rPr>
          <w:rFonts w:ascii="Khmer OS Muol" w:eastAsia="Khmer OS Muol" w:hAnsi="Khmer OS Muol" w:cs="Khmer OS Muol"/>
          <w:cs/>
          <w:sz w:val="20"/>
          <w:szCs w:val="20"/>
          <w:lang w:eastAsia="en-US" w:bidi="km-KH"/>
        </w:rPr>
      </w:pPr>
      <w:r>
        <w:rPr>
          <w:rFonts w:ascii="Khmer OS Muol" w:eastAsia="Khmer OS Muol" w:hAnsi="Khmer OS Muol" w:cs="Khmer OS Muol"/>
          <w:sz w:val="20"/>
          <w:szCs w:val="20"/>
          <w:lang w:eastAsia="en-US" w:bidi="km-KH"/>
        </w:rPr>
        <w:tab/>
      </w: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3" w:right="1325" w:bottom="851" w:left="1276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Meiryo"/>
    <w:charset w:val="00"/>
    <w:family w:val="Auto"/>
    <w:pitch w:val="variable"/>
    <w:sig w:usb0="00000001" w:usb1="00002000" w:usb2="00010000" w:usb3="00000000" w:csb0="00000001" w:csb1="00002000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F">
    <w:altName w:val="Times New Roman"/>
    <w:charset w:val="00"/>
    <w:family w:val="Auto"/>
    <w:pitch w:val="variable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altName w:val="Times New Roman"/>
    <w:panose1 w:val="020B0100010101010101"/>
    <w:charset w:val="00"/>
    <w:family w:val="Auto"/>
    <w:pitch w:val="variable"/>
    <w:sig w:usb0="8000000F" w:usb1="0000204A" w:usb2="00010000" w:usb3="00000000" w:csb0="8000000F" w:csb1="0000204A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sopanha.s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ក្រុមហ៊ុន រតនា ខូអបភើរេសិន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3bee069a-4585-4406-b034-def6e2610132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c1a09bbd-d4ff-4360-99c1-509c9bae25b5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7c7cd83f-e9c6-4f42-be0b-02a1b106f1ad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</w:rPr>
      <w:pict xmlns:w="http://schemas.openxmlformats.org/wordprocessingml/2006/main">
        <v:line xmlns:o="urn:schemas-microsoft-com:office:office" xmlns:v="urn:schemas-microsoft-com:vml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3.95pt" to="480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កិច្ចសន្យាខ្ចីបរិភោគ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(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ឥណទានេយៈពេលខ្លី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  <w:lang w:eastAsia="en-US" w:bidi="km-KH"/>
          </w:rPr>
          <w:t xml:space="preserve">Credit Line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 xml:space="preserve">   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   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3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108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6.%1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spacing w:after="0" w:line="240" w:lineRule="auto"/>
      <w:suppressAutoHyphens/>
    </w:pPr>
    <w:rPr>
      <w:rFonts w:ascii="Times New Roman" w:eastAsia="Times New Roman" w:hAnsi="Times New Roman" w:cs="F"/>
      <w:sz w:val="24"/>
      <w:szCs w:val="24"/>
      <w:lang w:eastAsia="en-US" w:bidi="ar-SA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190</TotalTime>
  <Pages>5</Pages>
  <Words>998</Words>
  <Characters>5692</Characters>
  <CharactersWithSpaces>6677</CharactersWithSpaces>
  <Application>Microsoft Office Word</Application>
  <DocSecurity>0</DocSecurity>
  <Lines>47</Lines>
  <Paragraphs>13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DragonAtula</cp:lastModifiedBy>
  <cp:lastPrinted>2016-09-06T02:26:00Z</cp:lastPrinted>
  <cp:revision>42</cp:revision>
  <dcterms:created xsi:type="dcterms:W3CDTF">2016-08-12T01:21:00Z</dcterms:created>
  <dcterms:modified xsi:type="dcterms:W3CDTF">2018-06-28T08:17:00Z</dcterms:modified>
</cp:coreProperties>
</file>