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3FEE" w:rsidRDefault="00AE3FEE">
      <w:pPr>
        <w:spacing w:before="60" w:after="60"/>
      </w:pPr>
    </w:p>
    <w:p w:rsidR="00AE3FEE" w:rsidRDefault="00AE3FEE">
      <w:pPr>
        <w:spacing w:before="60" w:after="60"/>
      </w:pPr>
    </w:p>
    <w:p w:rsidR="00AE3FEE" w:rsidRDefault="0001184F">
      <w:pPr>
        <w:spacing w:before="480" w:after="120"/>
        <w:jc w:val="center"/>
      </w:pPr>
      <w:r>
        <w:rPr>
          <w:b/>
          <w:bCs/>
          <w:color w:val="1E3A5F"/>
          <w:sz w:val="52"/>
          <w:szCs w:val="52"/>
        </w:rPr>
        <w:t>Spring Boot + PostgreSQL</w:t>
      </w:r>
    </w:p>
    <w:p w:rsidR="00AE3FEE" w:rsidRDefault="0001184F">
      <w:pPr>
        <w:spacing w:before="80" w:after="80"/>
        <w:jc w:val="center"/>
      </w:pPr>
      <w:r>
        <w:rPr>
          <w:color w:val="2563EB"/>
          <w:sz w:val="30"/>
          <w:szCs w:val="30"/>
        </w:rPr>
        <w:t>Best-Practice Guide for Starting a Production-Ready Backend Project</w:t>
      </w:r>
    </w:p>
    <w:p w:rsidR="00AE3FEE" w:rsidRDefault="0001184F">
      <w:pPr>
        <w:pBdr>
          <w:bottom w:val="single" w:sz="6" w:space="1" w:color="2563EB"/>
        </w:pBdr>
        <w:spacing w:before="80" w:after="200"/>
        <w:jc w:val="center"/>
      </w:pPr>
      <w:r>
        <w:rPr>
          <w:i/>
          <w:iCs/>
          <w:color w:val="555555"/>
        </w:rPr>
        <w:t xml:space="preserve">A practical blueprint for project setup before coding. </w:t>
      </w:r>
      <w:proofErr w:type="spellStart"/>
      <w:r>
        <w:rPr>
          <w:i/>
          <w:iCs/>
          <w:color w:val="555555"/>
        </w:rPr>
        <w:t>Favors</w:t>
      </w:r>
      <w:proofErr w:type="spellEnd"/>
      <w:r>
        <w:rPr>
          <w:i/>
          <w:iCs/>
          <w:color w:val="555555"/>
        </w:rPr>
        <w:t xml:space="preserve"> clean structure, predictable conventions, and tools that help a small team ship safely and scale later.</w:t>
      </w:r>
    </w:p>
    <w:p w:rsidR="00AE3FEE" w:rsidRDefault="00AE3FE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E3F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E3FEE" w:rsidRDefault="00AE3FEE"/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E3FEE" w:rsidRDefault="00AE3FEE"/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Recommended Default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Modular monolith with layered design inside each business module.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Focus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Real-world backend setup with Spring Boot, PostgreSQL, security, testing, and operations basics.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Best Fit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New projects that want to stay simple now without blocking future growth.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Core Stack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 xml:space="preserve">Spring Boot 3.x, Java 21, PostgreSQL, Flyway, Spring Security, Validation, Actuator, </w:t>
            </w:r>
            <w:proofErr w:type="spellStart"/>
            <w:r>
              <w:rPr>
                <w:sz w:val="20"/>
                <w:szCs w:val="20"/>
              </w:rPr>
              <w:t>Testcontainers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1. Recommended Architecture</w:t>
      </w:r>
    </w:p>
    <w:p w:rsidR="00AE3FEE" w:rsidRDefault="0001184F">
      <w:pPr>
        <w:spacing w:before="80" w:after="80"/>
      </w:pPr>
      <w:r>
        <w:t xml:space="preserve">Best choice: Modular monolith + layered design. Organize code by feature such as auth, user, product, and order. Inside each feature, keep clear layers for controller, service, repository, </w:t>
      </w:r>
      <w:proofErr w:type="spellStart"/>
      <w:r>
        <w:t>dto</w:t>
      </w:r>
      <w:proofErr w:type="spellEnd"/>
      <w:r>
        <w:t>, entity, and mapper.</w:t>
      </w:r>
    </w:p>
    <w:p w:rsidR="00AE3FEE" w:rsidRDefault="00AE3FEE">
      <w:pPr>
        <w:spacing w:before="60" w:after="60"/>
      </w:pPr>
    </w:p>
    <w:p w:rsidR="00AE3FEE" w:rsidRDefault="0001184F">
      <w:pPr>
        <w:spacing w:before="80" w:after="80"/>
      </w:pPr>
      <w:r>
        <w:t>This is usually more practical than start</w:t>
      </w:r>
      <w:r>
        <w:t>ing with full Clean or Hexagonal Architecture. You still get good separation, but you avoid heavy abstractions too early.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Why This Is the Best Starting Point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Easy for beginners to understand and for teams to onboard quickly.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Keeps related files together, </w:t>
      </w:r>
      <w:r>
        <w:t>so a feature is easier to change and test.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Allows growth without forcing microservices or advanced architecture too early.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Lets</w:t>
      </w:r>
      <w:proofErr w:type="spellEnd"/>
      <w:r>
        <w:t xml:space="preserve"> you introduce stricter boundaries later if the domain becomes more complex.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When to Choose Something Else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Layered only: fine for small apps, but shared folders become messy as the app grows.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Clean Architecture: useful when business rules are very complex and must stay independent from frameworks.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Hexagonal Architecture: strong for systems with many external in</w:t>
      </w:r>
      <w:r>
        <w:t>tegrations, but often heavier than needed at the start.</w:t>
      </w:r>
    </w:p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2. Project Structure and Package Convention</w:t>
      </w:r>
    </w:p>
    <w:p w:rsidR="00AE3FEE" w:rsidRDefault="0001184F">
      <w:pPr>
        <w:spacing w:before="80" w:after="80"/>
      </w:pPr>
      <w:r>
        <w:t>Use package-by-feature, not only package-by-layer. That keeps each business area self-contained and avoids giant global controller or service packages.</w:t>
      </w:r>
    </w:p>
    <w:p w:rsidR="00AE3FEE" w:rsidRDefault="0001184F">
      <w:pPr>
        <w:shd w:val="clear" w:color="auto" w:fill="F3F4F6"/>
        <w:spacing w:before="20" w:after="20"/>
        <w:ind w:left="360"/>
      </w:pP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1F2937"/>
          <w:sz w:val="20"/>
          <w:szCs w:val="20"/>
        </w:rPr>
        <w:t>/main/java/com/example/app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|- AppApplication.java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|- common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config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exception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security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response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util</w:t>
      </w:r>
      <w:proofErr w:type="spellEnd"/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\- validation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|- auth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controller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service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repository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dto</w:t>
      </w:r>
      <w:proofErr w:type="spellEnd"/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|- entity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   \- mapper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|-</w:t>
      </w: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 user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|   |- controller / service / repository / </w:t>
      </w: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dto</w:t>
      </w:r>
      <w:proofErr w:type="spellEnd"/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 / entity / mapper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|- product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|   |- controller / service / repository / </w:t>
      </w: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dto</w:t>
      </w:r>
      <w:proofErr w:type="spellEnd"/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 / entity / mapper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\- order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    |- controller / service / repository / </w:t>
      </w:r>
      <w:proofErr w:type="spellStart"/>
      <w:r>
        <w:rPr>
          <w:rFonts w:ascii="Courier New" w:eastAsia="Courier New" w:hAnsi="Courier New" w:cs="Courier New"/>
          <w:color w:val="1F2937"/>
          <w:sz w:val="20"/>
          <w:szCs w:val="20"/>
        </w:rPr>
        <w:t>dto</w:t>
      </w:r>
      <w:proofErr w:type="spellEnd"/>
      <w:r>
        <w:rPr>
          <w:rFonts w:ascii="Courier New" w:eastAsia="Courier New" w:hAnsi="Courier New" w:cs="Courier New"/>
          <w:color w:val="1F2937"/>
          <w:sz w:val="20"/>
          <w:szCs w:val="20"/>
        </w:rPr>
        <w:t xml:space="preserve"> / entity / mapper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Naming Rules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Packages: lowercase only, short, and business-focused: auth, user, product.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Classes: use responsibility-based names such as </w:t>
      </w:r>
      <w:proofErr w:type="spellStart"/>
      <w:r>
        <w:t>UserController</w:t>
      </w:r>
      <w:proofErr w:type="spellEnd"/>
      <w:r>
        <w:t xml:space="preserve">, </w:t>
      </w:r>
      <w:proofErr w:type="spellStart"/>
      <w:r>
        <w:t>CreateUserRequest</w:t>
      </w:r>
      <w:proofErr w:type="spellEnd"/>
      <w:r>
        <w:t xml:space="preserve">, </w:t>
      </w:r>
      <w:proofErr w:type="spellStart"/>
      <w:r>
        <w:t>UserResponse</w:t>
      </w:r>
      <w:proofErr w:type="spellEnd"/>
      <w:r>
        <w:t xml:space="preserve">, </w:t>
      </w:r>
      <w:proofErr w:type="spellStart"/>
      <w:r>
        <w:t>SecurityConfig</w:t>
      </w:r>
      <w:proofErr w:type="spellEnd"/>
      <w:r>
        <w:t>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Avoid vague names: do not create files like Helper, Manager, or </w:t>
      </w:r>
      <w:proofErr w:type="spellStart"/>
      <w:r>
        <w:t>Com</w:t>
      </w:r>
      <w:r>
        <w:t>monService</w:t>
      </w:r>
      <w:proofErr w:type="spellEnd"/>
      <w:r>
        <w:t xml:space="preserve"> unless the role is truly shared and precise.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API paths: use nouns and HTTP methods correctly: GET /users/{id}, POST /users, DELETE /users/{id}.</w:t>
      </w:r>
    </w:p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3. Responsibilities of Each Layer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AE3FE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E3FEE" w:rsidRDefault="0001184F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E3FEE" w:rsidRDefault="0001184F">
            <w:r>
              <w:rPr>
                <w:b/>
                <w:bCs/>
                <w:color w:val="FFFFFF"/>
                <w:sz w:val="20"/>
                <w:szCs w:val="20"/>
              </w:rPr>
              <w:t>Main Responsibility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HTTP handling only: request parsing, validation trigger, status codes, and response DTOs. Keep business logic out.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lastRenderedPageBreak/>
              <w:t>Service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Business rules, use-case orchestration, transaction boundaries, and coordination between repositories or external systems.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Database access and query methods. Keep persistence details here.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Entity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Persistence model that maps to database tables. Do not expose directly as public API contracts.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DTO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Request and response models used to protect API shape from database design.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Mapper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Converts entity to DTO and DTO to entity. This keeps controllers and services clean.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 xml:space="preserve">Spring beans, security setup,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config, Jackson setup, CORS config, and similar framework wiring.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Custom business exceptions and one global exception handler for consistent error responses.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Validation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Bean Validation annotations and reusable validators for request rules.</w:t>
            </w:r>
          </w:p>
        </w:tc>
      </w:tr>
      <w:tr w:rsidR="00AE3FEE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AE3FEE" w:rsidRDefault="0001184F">
            <w:r>
              <w:rPr>
                <w:sz w:val="20"/>
                <w:szCs w:val="20"/>
              </w:rPr>
              <w:t>Authentication, authorization, password encoding, token filters, and access control rules.</w:t>
            </w:r>
          </w:p>
        </w:tc>
      </w:tr>
    </w:tbl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4. PostgreSQL Best Practices</w:t>
      </w:r>
    </w:p>
    <w:p w:rsidR="00AE3FEE" w:rsidRDefault="0001184F">
      <w:pPr>
        <w:pStyle w:val="Heading2"/>
      </w:pPr>
      <w:r>
        <w:t>Schema Design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Use clear table names and keep database naming in </w:t>
      </w:r>
      <w:proofErr w:type="spellStart"/>
      <w:r>
        <w:t>snake_case</w:t>
      </w:r>
      <w:proofErr w:type="spellEnd"/>
      <w:r>
        <w:t>. Keep Java classes in CamelCase.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Define proper foreign keys and model relationships carefully.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Choose primary keys early: BIGINT is simple and efficient; UUID is useful when public identifiers mu</w:t>
      </w:r>
      <w:r>
        <w:t>st be hard to guess.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Do not use JSON columns as a shortcut for everything. Keep relational data relational.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Migrations</w:t>
      </w:r>
    </w:p>
    <w:p w:rsidR="00AE3FEE" w:rsidRDefault="0001184F">
      <w:pPr>
        <w:spacing w:before="80" w:after="80"/>
      </w:pPr>
      <w:r>
        <w:t xml:space="preserve">Use Flyway from day one. Migration files make schema changes repeatable across environments and are far safer than relying on automatic </w:t>
      </w:r>
      <w:r>
        <w:t>schema generation in production.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V1__init_schema.sql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V2__create_user_table.sql</w:t>
      </w:r>
    </w:p>
    <w:p w:rsidR="00AE3FEE" w:rsidRDefault="0001184F">
      <w:pPr>
        <w:shd w:val="clear" w:color="auto" w:fill="F3F4F6"/>
        <w:spacing w:before="20" w:after="20"/>
        <w:ind w:left="360"/>
      </w:pPr>
      <w:r>
        <w:rPr>
          <w:rFonts w:ascii="Courier New" w:eastAsia="Courier New" w:hAnsi="Courier New" w:cs="Courier New"/>
          <w:color w:val="1F2937"/>
          <w:sz w:val="20"/>
          <w:szCs w:val="20"/>
        </w:rPr>
        <w:t>V3__add_order_status_index.sql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Indexing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Add indexes for foreign keys, unique constraints, common filters, and common sorting columns.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Do not index every field. More indexes help reads but add write cost and storage overhead.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Review slow queries before adding indexes blindly.</w:t>
      </w:r>
    </w:p>
    <w:p w:rsidR="00AE3FEE" w:rsidRDefault="00AE3FEE">
      <w:pPr>
        <w:spacing w:before="60" w:after="60"/>
      </w:pPr>
    </w:p>
    <w:p w:rsidR="00AE3FEE" w:rsidRDefault="0001184F">
      <w:pPr>
        <w:pStyle w:val="Heading2"/>
      </w:pPr>
      <w:r>
        <w:t>Transactions and Connection Management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Put @Transactional in the service layer, not controllers.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Keep transactions short and focused. Long transactions increase lock time and hurt performance.</w:t>
      </w:r>
    </w:p>
    <w:p w:rsidR="00AE3FEE" w:rsidRDefault="0001184F" w:rsidP="000050B8">
      <w:pPr>
        <w:pStyle w:val="ListParagraph"/>
        <w:numPr>
          <w:ilvl w:val="0"/>
          <w:numId w:val="2"/>
        </w:numPr>
        <w:spacing w:before="40" w:after="40"/>
      </w:pPr>
      <w:r>
        <w:t>Use connection pooling and sensible pool sizes. Avoid one-connection-per-request thinking.</w:t>
      </w:r>
      <w:bookmarkStart w:id="0" w:name="_GoBack"/>
      <w:bookmarkEnd w:id="0"/>
    </w:p>
    <w:p w:rsidR="00AE3FEE" w:rsidRDefault="0001184F">
      <w:pPr>
        <w:pStyle w:val="Heading1"/>
      </w:pPr>
      <w:r>
        <w:t>6</w:t>
      </w:r>
      <w:r>
        <w:t>. Configuration and Environment Strategy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Keep shared defaults in </w:t>
      </w:r>
      <w:proofErr w:type="spellStart"/>
      <w:r>
        <w:t>application.yml</w:t>
      </w:r>
      <w:proofErr w:type="spellEnd"/>
      <w:r>
        <w:t>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Use application-</w:t>
      </w:r>
      <w:proofErr w:type="spellStart"/>
      <w:r>
        <w:t>dev.yml</w:t>
      </w:r>
      <w:proofErr w:type="spellEnd"/>
      <w:r>
        <w:t>, application-</w:t>
      </w:r>
      <w:proofErr w:type="spellStart"/>
      <w:r>
        <w:t>test.yml</w:t>
      </w:r>
      <w:proofErr w:type="spellEnd"/>
      <w:r>
        <w:t>, and application-</w:t>
      </w:r>
      <w:proofErr w:type="spellStart"/>
      <w:r>
        <w:t>prod.yml</w:t>
      </w:r>
      <w:proofErr w:type="spellEnd"/>
      <w:r>
        <w:t xml:space="preserve"> for environment-specific </w:t>
      </w:r>
      <w:proofErr w:type="spellStart"/>
      <w:r>
        <w:t>behavior</w:t>
      </w:r>
      <w:proofErr w:type="spellEnd"/>
      <w:r>
        <w:t>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Never commit real secrets. Read database passwords, API keys, and JWT secrets from environment variables or a secret manager.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Keep profiles simple: usually dev, test, and prod are enough.</w:t>
      </w:r>
    </w:p>
    <w:p w:rsidR="00AE3FEE" w:rsidRDefault="00AE3FEE">
      <w:pPr>
        <w:spacing w:before="60" w:after="60"/>
      </w:pPr>
    </w:p>
    <w:p w:rsidR="00AE3FEE" w:rsidRDefault="0001184F">
      <w:pPr>
        <w:pBdr>
          <w:left w:val="single" w:sz="12" w:space="0" w:color="2563EB"/>
        </w:pBdr>
        <w:shd w:val="clear" w:color="auto" w:fill="EFF6FF"/>
        <w:spacing w:before="120" w:after="80"/>
        <w:ind w:left="360"/>
      </w:pPr>
      <w:r>
        <w:rPr>
          <w:i/>
          <w:iCs/>
          <w:color w:val="1E3A5F"/>
        </w:rPr>
        <w:t xml:space="preserve">Configuration files should describe </w:t>
      </w:r>
      <w:proofErr w:type="spellStart"/>
      <w:r>
        <w:rPr>
          <w:i/>
          <w:iCs/>
          <w:color w:val="1E3A5F"/>
        </w:rPr>
        <w:t>behavior</w:t>
      </w:r>
      <w:proofErr w:type="spellEnd"/>
      <w:r>
        <w:rPr>
          <w:i/>
          <w:iCs/>
          <w:color w:val="1E3A5F"/>
        </w:rPr>
        <w:t>, while secrets should come from the runtime environment. This keeps the application portable and safer across local, staging, and production deploym</w:t>
      </w:r>
      <w:r>
        <w:rPr>
          <w:i/>
          <w:iCs/>
          <w:color w:val="1E3A5F"/>
        </w:rPr>
        <w:t>ents.</w:t>
      </w:r>
    </w:p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7. Testing Strategy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Unit tests: service logic, validators, mappers, and utility classes.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Repository tests: use PostgreSQL with </w:t>
      </w:r>
      <w:proofErr w:type="spellStart"/>
      <w:r>
        <w:t>Testcontainers</w:t>
      </w:r>
      <w:proofErr w:type="spellEnd"/>
      <w:r>
        <w:t xml:space="preserve"> to verify mappings and queries against a real database engine.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Integration tests: verify controller to service to repository flow, error handling, serialization, transactions, and security </w:t>
      </w:r>
      <w:proofErr w:type="spellStart"/>
      <w:r>
        <w:t>behavior</w:t>
      </w:r>
      <w:proofErr w:type="spellEnd"/>
      <w:r>
        <w:t>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 xml:space="preserve">API tests: use </w:t>
      </w:r>
      <w:proofErr w:type="spellStart"/>
      <w:r>
        <w:t>MockMvc</w:t>
      </w:r>
      <w:proofErr w:type="spellEnd"/>
      <w:r>
        <w:t xml:space="preserve"> for MVC-level tests or </w:t>
      </w:r>
      <w:proofErr w:type="spellStart"/>
      <w:r>
        <w:t>RestAssured</w:t>
      </w:r>
      <w:proofErr w:type="spellEnd"/>
      <w:r>
        <w:t xml:space="preserve"> for fuller HTTP-style tests.</w:t>
      </w:r>
    </w:p>
    <w:p w:rsidR="00AE3FEE" w:rsidRDefault="00AE3FEE">
      <w:pPr>
        <w:spacing w:before="60" w:after="60"/>
      </w:pPr>
    </w:p>
    <w:p w:rsidR="00AE3FEE" w:rsidRDefault="0001184F">
      <w:pPr>
        <w:pBdr>
          <w:left w:val="single" w:sz="12" w:space="0" w:color="2563EB"/>
        </w:pBdr>
        <w:shd w:val="clear" w:color="auto" w:fill="EFF6FF"/>
        <w:spacing w:before="120" w:after="80"/>
        <w:ind w:left="360"/>
      </w:pPr>
      <w:r>
        <w:rPr>
          <w:i/>
          <w:iCs/>
          <w:color w:val="1E3A5F"/>
        </w:rPr>
        <w:t>A reliable rule: unit test busin</w:t>
      </w:r>
      <w:r>
        <w:rPr>
          <w:i/>
          <w:iCs/>
          <w:color w:val="1E3A5F"/>
        </w:rPr>
        <w:t xml:space="preserve">ess logic, integration test real database and API </w:t>
      </w:r>
      <w:proofErr w:type="spellStart"/>
      <w:r>
        <w:rPr>
          <w:i/>
          <w:iCs/>
          <w:color w:val="1E3A5F"/>
        </w:rPr>
        <w:t>behavior</w:t>
      </w:r>
      <w:proofErr w:type="spellEnd"/>
      <w:r>
        <w:rPr>
          <w:i/>
          <w:iCs/>
          <w:color w:val="1E3A5F"/>
        </w:rPr>
        <w:t>, and avoid over-mocking everything.</w:t>
      </w:r>
    </w:p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8. Security Best Practices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Use JWT for stateless APIs, or session-based security for simpler server-rendered applications.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Store passwords only as secure hashes</w:t>
      </w:r>
      <w:r>
        <w:t xml:space="preserve"> using Spring Security password encoders such as </w:t>
      </w:r>
      <w:proofErr w:type="spellStart"/>
      <w:r>
        <w:t>BCrypt</w:t>
      </w:r>
      <w:proofErr w:type="spellEnd"/>
      <w:r>
        <w:t>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Use role-based or permission-based authorization and keep access checks close to service methods where needed.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Validate input at the DTO boundary. Do not trust search, sort, filter, or pagination inp</w:t>
      </w:r>
      <w:r>
        <w:t>ut blindly.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Restrict CORS to trusted origins. Avoid wildcard access in production unless the API is intentionally public.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Protect Actuator endpoints, use HTTPS in production, and never expose stack traces or secrets in API responses or logs.</w:t>
      </w:r>
    </w:p>
    <w:p w:rsidR="00AE3FEE" w:rsidRDefault="00AE3FEE">
      <w:pPr>
        <w:spacing w:before="60" w:after="60"/>
      </w:pPr>
    </w:p>
    <w:p w:rsidR="00AE3FEE" w:rsidRDefault="0001184F">
      <w:pPr>
        <w:pStyle w:val="Heading1"/>
      </w:pPr>
      <w:r>
        <w:t>9. Common Mis</w:t>
      </w:r>
      <w:r>
        <w:t>takes to Avoid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Putting business logic in controllers.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Returning entities directly from APIs.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Skipping migration tools and changing schema manually.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Using only H2 for database tests when production uses PostgreSQL.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Overusing @Transactional everywhere.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Creat</w:t>
      </w:r>
      <w:r>
        <w:t>ing too many interfaces, base classes, or generic abstractions too early.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Hardcoding passwords, API keys, or secrets in source code.</w:t>
      </w:r>
    </w:p>
    <w:p w:rsidR="00AE3FEE" w:rsidRDefault="0001184F">
      <w:pPr>
        <w:pStyle w:val="ListParagraph"/>
        <w:numPr>
          <w:ilvl w:val="0"/>
          <w:numId w:val="2"/>
        </w:numPr>
        <w:spacing w:before="40" w:after="40"/>
      </w:pPr>
      <w:r>
        <w:t>Mixing config, security, and business logic in the same package or class.</w:t>
      </w:r>
    </w:p>
    <w:p w:rsidR="00AE3FEE" w:rsidRDefault="00AE3FEE">
      <w:pPr>
        <w:spacing w:before="60" w:after="60"/>
      </w:pPr>
    </w:p>
    <w:sectPr w:rsidR="00AE3FE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1184F" w:rsidRDefault="0001184F">
      <w:r>
        <w:separator/>
      </w:r>
    </w:p>
  </w:endnote>
  <w:endnote w:type="continuationSeparator" w:id="0">
    <w:p w:rsidR="0001184F" w:rsidRDefault="0001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3FEE" w:rsidRDefault="0001184F">
    <w:pPr>
      <w:jc w:val="center"/>
    </w:pPr>
    <w:r>
      <w:rPr>
        <w:color w:val="888888"/>
        <w:sz w:val="18"/>
        <w:szCs w:val="18"/>
      </w:rPr>
      <w:t xml:space="preserve">Spring Boot + PostgreSQL — Best-Practice </w:t>
    </w:r>
    <w:proofErr w:type="gramStart"/>
    <w:r>
      <w:rPr>
        <w:color w:val="888888"/>
        <w:sz w:val="18"/>
        <w:szCs w:val="18"/>
      </w:rPr>
      <w:t>Guide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0050B8">
      <w:rPr>
        <w:color w:val="888888"/>
        <w:sz w:val="18"/>
        <w:szCs w:val="18"/>
      </w:rPr>
      <w:fldChar w:fldCharType="separate"/>
    </w:r>
    <w:r w:rsidR="000050B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 w:rsidR="000050B8">
      <w:rPr>
        <w:color w:val="888888"/>
        <w:sz w:val="18"/>
        <w:szCs w:val="18"/>
      </w:rPr>
      <w:fldChar w:fldCharType="separate"/>
    </w:r>
    <w:r w:rsidR="000050B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1184F" w:rsidRDefault="0001184F">
      <w:r>
        <w:separator/>
      </w:r>
    </w:p>
  </w:footnote>
  <w:footnote w:type="continuationSeparator" w:id="0">
    <w:p w:rsidR="0001184F" w:rsidRDefault="0001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E35FBC"/>
    <w:multiLevelType w:val="hybridMultilevel"/>
    <w:tmpl w:val="061EEB0C"/>
    <w:lvl w:ilvl="0" w:tplc="CF4C18CC">
      <w:start w:val="1"/>
      <w:numFmt w:val="bullet"/>
      <w:lvlText w:val="☐"/>
      <w:lvlJc w:val="left"/>
      <w:pPr>
        <w:ind w:left="720" w:hanging="360"/>
      </w:pPr>
    </w:lvl>
    <w:lvl w:ilvl="1" w:tplc="CAD866FE">
      <w:numFmt w:val="decimal"/>
      <w:lvlText w:val=""/>
      <w:lvlJc w:val="left"/>
    </w:lvl>
    <w:lvl w:ilvl="2" w:tplc="B63A58B6">
      <w:numFmt w:val="decimal"/>
      <w:lvlText w:val=""/>
      <w:lvlJc w:val="left"/>
    </w:lvl>
    <w:lvl w:ilvl="3" w:tplc="C240AA46">
      <w:numFmt w:val="decimal"/>
      <w:lvlText w:val=""/>
      <w:lvlJc w:val="left"/>
    </w:lvl>
    <w:lvl w:ilvl="4" w:tplc="D70EBFD2">
      <w:numFmt w:val="decimal"/>
      <w:lvlText w:val=""/>
      <w:lvlJc w:val="left"/>
    </w:lvl>
    <w:lvl w:ilvl="5" w:tplc="5B2E8EF6">
      <w:numFmt w:val="decimal"/>
      <w:lvlText w:val=""/>
      <w:lvlJc w:val="left"/>
    </w:lvl>
    <w:lvl w:ilvl="6" w:tplc="E7BA9094">
      <w:numFmt w:val="decimal"/>
      <w:lvlText w:val=""/>
      <w:lvlJc w:val="left"/>
    </w:lvl>
    <w:lvl w:ilvl="7" w:tplc="0D8ACE16">
      <w:numFmt w:val="decimal"/>
      <w:lvlText w:val=""/>
      <w:lvlJc w:val="left"/>
    </w:lvl>
    <w:lvl w:ilvl="8" w:tplc="CE341E82">
      <w:numFmt w:val="decimal"/>
      <w:lvlText w:val=""/>
      <w:lvlJc w:val="left"/>
    </w:lvl>
  </w:abstractNum>
  <w:abstractNum w:abstractNumId="1" w15:restartNumberingAfterBreak="0">
    <w:nsid w:val="55963014"/>
    <w:multiLevelType w:val="hybridMultilevel"/>
    <w:tmpl w:val="78F24F18"/>
    <w:lvl w:ilvl="0" w:tplc="DE90C282">
      <w:start w:val="1"/>
      <w:numFmt w:val="bullet"/>
      <w:lvlText w:val="●"/>
      <w:lvlJc w:val="left"/>
      <w:pPr>
        <w:ind w:left="720" w:hanging="360"/>
      </w:pPr>
    </w:lvl>
    <w:lvl w:ilvl="1" w:tplc="762C0F82">
      <w:start w:val="1"/>
      <w:numFmt w:val="bullet"/>
      <w:lvlText w:val="○"/>
      <w:lvlJc w:val="left"/>
      <w:pPr>
        <w:ind w:left="1440" w:hanging="360"/>
      </w:pPr>
    </w:lvl>
    <w:lvl w:ilvl="2" w:tplc="3E801B24">
      <w:start w:val="1"/>
      <w:numFmt w:val="bullet"/>
      <w:lvlText w:val="■"/>
      <w:lvlJc w:val="left"/>
      <w:pPr>
        <w:ind w:left="2160" w:hanging="360"/>
      </w:pPr>
    </w:lvl>
    <w:lvl w:ilvl="3" w:tplc="787E00F6">
      <w:start w:val="1"/>
      <w:numFmt w:val="bullet"/>
      <w:lvlText w:val="●"/>
      <w:lvlJc w:val="left"/>
      <w:pPr>
        <w:ind w:left="2880" w:hanging="360"/>
      </w:pPr>
    </w:lvl>
    <w:lvl w:ilvl="4" w:tplc="27D43380">
      <w:start w:val="1"/>
      <w:numFmt w:val="bullet"/>
      <w:lvlText w:val="○"/>
      <w:lvlJc w:val="left"/>
      <w:pPr>
        <w:ind w:left="3600" w:hanging="360"/>
      </w:pPr>
    </w:lvl>
    <w:lvl w:ilvl="5" w:tplc="1B0291FC">
      <w:start w:val="1"/>
      <w:numFmt w:val="bullet"/>
      <w:lvlText w:val="■"/>
      <w:lvlJc w:val="left"/>
      <w:pPr>
        <w:ind w:left="4320" w:hanging="360"/>
      </w:pPr>
    </w:lvl>
    <w:lvl w:ilvl="6" w:tplc="FE4A02A0">
      <w:start w:val="1"/>
      <w:numFmt w:val="bullet"/>
      <w:lvlText w:val="●"/>
      <w:lvlJc w:val="left"/>
      <w:pPr>
        <w:ind w:left="5040" w:hanging="360"/>
      </w:pPr>
    </w:lvl>
    <w:lvl w:ilvl="7" w:tplc="0CA45E7E">
      <w:start w:val="1"/>
      <w:numFmt w:val="bullet"/>
      <w:lvlText w:val="●"/>
      <w:lvlJc w:val="left"/>
      <w:pPr>
        <w:ind w:left="5760" w:hanging="360"/>
      </w:pPr>
    </w:lvl>
    <w:lvl w:ilvl="8" w:tplc="7D3263D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7D7685"/>
    <w:multiLevelType w:val="hybridMultilevel"/>
    <w:tmpl w:val="1F2C52FA"/>
    <w:lvl w:ilvl="0" w:tplc="CFBC0DE0">
      <w:start w:val="1"/>
      <w:numFmt w:val="bullet"/>
      <w:lvlText w:val="•"/>
      <w:lvlJc w:val="left"/>
      <w:pPr>
        <w:ind w:left="720" w:hanging="360"/>
      </w:pPr>
    </w:lvl>
    <w:lvl w:ilvl="1" w:tplc="A0265A7E">
      <w:numFmt w:val="decimal"/>
      <w:lvlText w:val=""/>
      <w:lvlJc w:val="left"/>
    </w:lvl>
    <w:lvl w:ilvl="2" w:tplc="125E21DC">
      <w:numFmt w:val="decimal"/>
      <w:lvlText w:val=""/>
      <w:lvlJc w:val="left"/>
    </w:lvl>
    <w:lvl w:ilvl="3" w:tplc="53682E16">
      <w:numFmt w:val="decimal"/>
      <w:lvlText w:val=""/>
      <w:lvlJc w:val="left"/>
    </w:lvl>
    <w:lvl w:ilvl="4" w:tplc="5D64560C">
      <w:numFmt w:val="decimal"/>
      <w:lvlText w:val=""/>
      <w:lvlJc w:val="left"/>
    </w:lvl>
    <w:lvl w:ilvl="5" w:tplc="A4027AD8">
      <w:numFmt w:val="decimal"/>
      <w:lvlText w:val=""/>
      <w:lvlJc w:val="left"/>
    </w:lvl>
    <w:lvl w:ilvl="6" w:tplc="3B62A266">
      <w:numFmt w:val="decimal"/>
      <w:lvlText w:val=""/>
      <w:lvlJc w:val="left"/>
    </w:lvl>
    <w:lvl w:ilvl="7" w:tplc="D2BC0120">
      <w:numFmt w:val="decimal"/>
      <w:lvlText w:val=""/>
      <w:lvlJc w:val="left"/>
    </w:lvl>
    <w:lvl w:ilvl="8" w:tplc="90080C3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3FEE"/>
    <w:rsid w:val="000050B8"/>
    <w:rsid w:val="0001184F"/>
    <w:rsid w:val="00AE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DDFDF"/>
  <w15:docId w15:val="{87F69DD0-720E-4E68-9C08-17E2ECB7B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GB" w:bidi="km-K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1102</Words>
  <Characters>6283</Characters>
  <Application>Microsoft Office Word</Application>
  <DocSecurity>0</DocSecurity>
  <Lines>52</Lines>
  <Paragraphs>14</Paragraphs>
  <ScaleCrop>false</ScaleCrop>
  <Company/>
  <LinksUpToDate>false</LinksUpToDate>
  <CharactersWithSpaces>7371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 Sopheaktra</cp:lastModifiedBy>
  <cp:revision>2</cp:revision>
  <dcterms:created xsi:type="dcterms:W3CDTF">2026-03-11T09:22:00Z</dcterms:created>
  <dcterms:modified xsi:type="dcterms:W3CDTF">2026-03-17T10:41:00Z</dcterms:modified>
</cp:coreProperties>
</file>