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PONTIFÍCIA UNIVERSIDADE CATÓLICA DO RIO GRANDE DO SUL</w:t>
      </w:r>
    </w:p>
    <w:p>
      <w:pPr>
        <w:spacing w:after="1600"/>
        <w:jc w:val="center"/>
      </w:pPr>
      <w:r>
        <w:rPr>
          <w:sz w:val="22"/>
          <w:szCs w:val="22"/>
        </w:rPr>
        <w:t xml:space="preserve">PUCRS ONLINE — ANÁLISE E DESENVOLVIMENTO DE SISTEMAS</w:t>
      </w:r>
    </w:p>
    <w:p>
      <w:pPr>
        <w:spacing w:after="240"/>
        <w:jc w:val="center"/>
      </w:pPr>
      <w:r>
        <w:rPr>
          <w:b/>
          <w:bCs/>
          <w:sz w:val="34"/>
          <w:szCs w:val="34"/>
        </w:rPr>
        <w:t xml:space="preserve">DOCUMENTAÇÃO DE PLANEJAMENTO</w:t>
      </w:r>
    </w:p>
    <w:p>
      <w:pPr>
        <w:spacing w:after="160"/>
        <w:jc w:val="center"/>
      </w:pPr>
      <w:r>
        <w:rPr>
          <w:sz w:val="27"/>
          <w:szCs w:val="27"/>
        </w:rPr>
        <w:t xml:space="preserve">Fase 1 — Configuração e Automação Inicial</w:t>
      </w:r>
    </w:p>
    <w:p>
      <w:pPr>
        <w:spacing w:after="1800"/>
        <w:jc w:val="center"/>
      </w:pPr>
      <w:r>
        <w:rPr>
          <w:i/>
          <w:iCs/>
          <w:sz w:val="24"/>
          <w:szCs w:val="24"/>
        </w:rPr>
        <w:t xml:space="preserve">Projeto PetHub — Gestão de Petshop</w:t>
      </w:r>
    </w:p>
    <w:p>
      <w:pPr>
        <w:spacing w:after="120"/>
        <w:jc w:val="center"/>
      </w:pPr>
      <w:r>
        <w:rPr>
          <w:sz w:val="22"/>
          <w:szCs w:val="22"/>
        </w:rPr>
        <w:t xml:space="preserve">Disciplina: DevOps</w:t>
      </w:r>
    </w:p>
    <w:p>
      <w:pPr>
        <w:spacing w:after="120"/>
        <w:jc w:val="center"/>
      </w:pPr>
      <w:r>
        <w:rPr>
          <w:sz w:val="22"/>
          <w:szCs w:val="22"/>
        </w:rPr>
        <w:t xml:space="preserve">Aluno: </w:t>
      </w:r>
      <w:r>
        <w:rPr>
          <w:b/>
          <w:bCs/>
          <w:color w:val="C00000"/>
          <w:sz w:val="22"/>
          <w:szCs w:val="22"/>
        </w:rPr>
        <w:t xml:space="preserve">[PREENCHER NOME COMPLETO]</w:t>
      </w:r>
    </w:p>
    <w:p>
      <w:pPr>
        <w:spacing w:after="1600"/>
        <w:jc w:val="center"/>
      </w:pPr>
      <w:r>
        <w:rPr>
          <w:sz w:val="22"/>
          <w:szCs w:val="22"/>
        </w:rPr>
        <w:t xml:space="preserve">Professor(a): </w:t>
      </w:r>
      <w:r>
        <w:rPr>
          <w:b/>
          <w:bCs/>
          <w:color w:val="C00000"/>
          <w:sz w:val="22"/>
          <w:szCs w:val="22"/>
        </w:rPr>
        <w:t xml:space="preserve">[PREENCHER NOME DO PROFESSOR]</w:t>
      </w:r>
    </w:p>
    <w:p>
      <w:pPr>
        <w:jc w:val="center"/>
      </w:pPr>
      <w:r>
        <w:rPr>
          <w:sz w:val="22"/>
          <w:szCs w:val="22"/>
        </w:rPr>
        <w:t xml:space="preserve">Porto Alegre — 2026</w:t>
      </w:r>
    </w:p>
    <w:p>
      <w:r>
        <w:br w:type="page"/>
      </w:r>
    </w:p>
    <w:p>
      <w:pPr>
        <w:pStyle w:val="Heading1"/>
        <w:spacing w:after="240"/>
      </w:pPr>
      <w:r>
        <w:rPr>
          <w:b/>
          <w:bCs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Introdução</w:t>
      </w:r>
    </w:p>
    <w:p>
      <w:pPr>
        <w:spacing w:after="140" w:line="276"/>
        <w:jc w:val="both"/>
      </w:pPr>
      <w:r>
        <w:t xml:space="preserve">Este documento apresenta o planejamento da Fase 1 do projeto PetHub, desenvolvido para a disciplina de DevOps. A fase tem dois entregáveis técnicos: um pipeline de Integração Contínua e os scripts de Infraestrutura como Código do ambiente da aplicação.</w:t>
      </w:r>
    </w:p>
    <w:p>
      <w:pPr>
        <w:spacing w:after="140" w:line="276"/>
        <w:jc w:val="both"/>
      </w:pPr>
      <w:r>
        <w:t xml:space="preserve">O PetHub é um sistema simples de cadastro de pets, formado por uma API REST e uma interface web. A aplicação foi mantida deliberadamente enxuta: o objetivo da disciplina são as práticas de automação, e não a complexidade do sistema em si. Ainda assim, ela é completa o suficiente para exercitar o que interessa — validação de dados, testes automatizados, empacotamento em contêiner e provisionamento de infraestrutura.</w:t>
      </w:r>
    </w:p>
    <w:p>
      <w:pPr>
        <w:pStyle w:val="Heading2"/>
        <w:spacing w:after="160" w:before="280"/>
      </w:pPr>
      <w:r>
        <w:t xml:space="preserve">1.1. Objetivos</w:t>
      </w:r>
    </w:p>
    <w:p>
      <w:pPr>
        <w:spacing w:after="140" w:line="276"/>
        <w:jc w:val="both"/>
      </w:pPr>
      <w:r>
        <w:t xml:space="preserve">O objetivo geral é montar a base de automação que as fases seguintes vão usar para entregar e implantar a aplicação. Os objetivos específicos são: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t xml:space="preserve">Documentar as escolhas técnicas e as suas justificativas.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t xml:space="preserve">Criar um pipeline que verifique automaticamente o código a cada alteração enviada ao repositório.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t xml:space="preserve">Descrever a infraestrutura em arquivos versionados, para que o ambiente possa ser recriado sem configuração manual.</w:t>
      </w:r>
    </w:p>
    <w:p>
      <w:pPr>
        <w:pStyle w:val="Heading2"/>
        <w:spacing w:after="160" w:before="280"/>
      </w:pPr>
      <w:r>
        <w:t xml:space="preserve">1.2. Escopo</w:t>
      </w:r>
    </w:p>
    <w:p>
      <w:pPr>
        <w:spacing w:after="140" w:line="276"/>
        <w:jc w:val="both"/>
      </w:pPr>
      <w:r>
        <w:t xml:space="preserve">Fazem parte desta fase: o código da API e da interface, os testes automatizados, o pipeline de Integração Contínua, os arquivos de infraestrutura e esta documentação.</w:t>
      </w:r>
    </w:p>
    <w:p>
      <w:pPr>
        <w:spacing w:after="140" w:line="276"/>
        <w:jc w:val="both"/>
      </w:pPr>
      <w:r>
        <w:t xml:space="preserve">Ficam para a Fase 2: a publicação da imagem no repositório de contêineres, a execução da aplicação na nuvem, a distribuição dos arquivos da interface e a substituição do armazenamento em memória por um banco de dados. Essa separação é intencional — a Fase 1 prepara o terreno, a Fase 2 realiza a entrega.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Planejamento</w:t>
      </w:r>
    </w:p>
    <w:p>
      <w:pPr>
        <w:pStyle w:val="Heading2"/>
        <w:spacing w:after="160" w:before="280"/>
      </w:pPr>
      <w:r>
        <w:t xml:space="preserve">2.1. Tecnologias escolhidas</w:t>
      </w:r>
    </w:p>
    <w:p>
      <w:pPr>
        <w:spacing w:after="140" w:line="276"/>
        <w:jc w:val="both"/>
      </w:pPr>
      <w:r>
        <w:t xml:space="preserve">As ferramentas foram escolhidas por serem amplamente usadas no mercado, terem boa documentação e se integrarem bem entre si.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3"/>
        <w:gridCol w:w="2124"/>
        <w:gridCol w:w="5309"/>
      </w:tblGrid>
      <w:tr>
        <w:trPr>
          <w:tblHeader/>
        </w:trPr>
        <w:tc>
          <w:tcPr>
            <w:tcW w:type="dxa" w:w="1593"/>
            <w:shd w:fill="1D4E8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Parte</w:t>
            </w:r>
          </w:p>
        </w:tc>
        <w:tc>
          <w:tcPr>
            <w:tcW w:type="dxa" w:w="2124"/>
            <w:shd w:fill="1D4E8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5309"/>
            <w:shd w:fill="1D4E8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que foi escolhida</w:t>
            </w:r>
          </w:p>
        </w:tc>
      </w:tr>
      <w:tr>
        <w:tc>
          <w:tcPr>
            <w:tcW w:type="dxa" w:w="159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</w:t>
            </w:r>
          </w:p>
        </w:tc>
        <w:tc>
          <w:tcPr>
            <w:tcW w:type="dxa" w:w="212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Node.js + Express</w:t>
            </w:r>
          </w:p>
        </w:tc>
        <w:tc>
          <w:tcPr>
            <w:tcW w:type="dxa" w:w="530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Framework simples e muito usado para APIs REST, com inicialização rápida em contêiner.</w:t>
            </w:r>
          </w:p>
        </w:tc>
      </w:tr>
      <w:tr>
        <w:tc>
          <w:tcPr>
            <w:tcW w:type="dxa" w:w="159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Interface</w:t>
            </w:r>
          </w:p>
        </w:tc>
        <w:tc>
          <w:tcPr>
            <w:tcW w:type="dxa" w:w="212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React + Vite</w:t>
            </w:r>
          </w:p>
        </w:tc>
        <w:tc>
          <w:tcPr>
            <w:tcW w:type="dxa" w:w="530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 Vite gera o build em poucos segundos, o que mantém o pipeline rápido.</w:t>
            </w:r>
          </w:p>
        </w:tc>
      </w:tr>
      <w:tr>
        <w:tc>
          <w:tcPr>
            <w:tcW w:type="dxa" w:w="159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Testes da API</w:t>
            </w:r>
          </w:p>
        </w:tc>
        <w:tc>
          <w:tcPr>
            <w:tcW w:type="dxa" w:w="212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Jest + Supertest</w:t>
            </w:r>
          </w:p>
        </w:tc>
        <w:tc>
          <w:tcPr>
            <w:tcW w:type="dxa" w:w="530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 Supertest testa as rotas sem precisar subir o servidor em uma porta real.</w:t>
            </w:r>
          </w:p>
        </w:tc>
      </w:tr>
      <w:tr>
        <w:tc>
          <w:tcPr>
            <w:tcW w:type="dxa" w:w="159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Testes da interface</w:t>
            </w:r>
          </w:p>
        </w:tc>
        <w:tc>
          <w:tcPr>
            <w:tcW w:type="dxa" w:w="212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Vitest + Testing Library</w:t>
            </w:r>
          </w:p>
        </w:tc>
        <w:tc>
          <w:tcPr>
            <w:tcW w:type="dxa" w:w="530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Aproveita a configuração do Vite e testa a tela do ponto de vista do usuário.</w:t>
            </w:r>
          </w:p>
        </w:tc>
      </w:tr>
      <w:tr>
        <w:tc>
          <w:tcPr>
            <w:tcW w:type="dxa" w:w="159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Contêiner</w:t>
            </w:r>
          </w:p>
        </w:tc>
        <w:tc>
          <w:tcPr>
            <w:tcW w:type="dxa" w:w="212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Docker</w:t>
            </w:r>
          </w:p>
        </w:tc>
        <w:tc>
          <w:tcPr>
            <w:tcW w:type="dxa" w:w="530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Garante que a aplicação rode igual em qualquer máquina.</w:t>
            </w:r>
          </w:p>
        </w:tc>
      </w:tr>
      <w:tr>
        <w:tc>
          <w:tcPr>
            <w:tcW w:type="dxa" w:w="159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Infraestrutura</w:t>
            </w:r>
          </w:p>
        </w:tc>
        <w:tc>
          <w:tcPr>
            <w:tcW w:type="dxa" w:w="212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Terraform</w:t>
            </w:r>
          </w:p>
        </w:tc>
        <w:tc>
          <w:tcPr>
            <w:tcW w:type="dxa" w:w="530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Descreve os recursos da nuvem em arquivos versionados e mostra o que vai mudar antes de aplicar.</w:t>
            </w:r>
          </w:p>
        </w:tc>
      </w:tr>
      <w:tr>
        <w:tc>
          <w:tcPr>
            <w:tcW w:type="dxa" w:w="159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Automação</w:t>
            </w:r>
          </w:p>
        </w:tc>
        <w:tc>
          <w:tcPr>
            <w:tcW w:type="dxa" w:w="212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530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Já integrado ao repositório, sem precisar de servidor próprio.</w:t>
            </w:r>
          </w:p>
        </w:tc>
      </w:tr>
    </w:tbl>
    <w:p>
      <w:pPr>
        <w:spacing w:after="240"/>
        <w:jc w:val="center"/>
      </w:pPr>
      <w:r>
        <w:rPr>
          <w:i/>
          <w:iCs/>
          <w:color w:val="595959"/>
          <w:sz w:val="17"/>
          <w:szCs w:val="17"/>
        </w:rPr>
        <w:t xml:space="preserve">Quadro 1 — Tecnologias e justificativas.</w:t>
      </w:r>
    </w:p>
    <w:p>
      <w:pPr>
        <w:pStyle w:val="Heading2"/>
        <w:spacing w:after="160" w:before="280"/>
      </w:pPr>
      <w:r>
        <w:t xml:space="preserve">2.2. Organização do trabalho</w:t>
      </w:r>
    </w:p>
    <w:p>
      <w:pPr>
        <w:spacing w:after="140" w:line="276"/>
        <w:jc w:val="both"/>
      </w:pPr>
      <w:r>
        <w:t xml:space="preserve">O código fica em um repositório único no GitHub, com a branch main representando a versão estável. O pipeline é acionado tanto em envios diretos quanto em pull requests para essa branch, o que garante que nenhuma alteração entre sem passar pelas verificações. Também é possível executá-lo manualmente pela aba Actions, o que ajuda a revalidar o projeto sem criar um commit novo.</w:t>
      </w:r>
    </w:p>
    <w:p>
      <w:pPr>
        <w:pStyle w:val="Heading2"/>
        <w:spacing w:after="160" w:before="280"/>
      </w:pPr>
      <w:r>
        <w:t xml:space="preserve">2.3. Configuração e dados sensíveis</w:t>
      </w:r>
    </w:p>
    <w:p>
      <w:pPr>
        <w:spacing w:after="140" w:line="276"/>
        <w:jc w:val="both"/>
      </w:pPr>
      <w:r>
        <w:t xml:space="preserve">Nenhuma senha ou chave é gravada no código. As aplicações leem a configuração de variáveis de ambiente, e arquivos de exemplo documentam quais variáveis existem sem conter valores reais. No Terraform, o arquivo terraform.tfvars está no .gitignore, e apenas o modelo é versionado.</w:t>
      </w:r>
    </w:p>
    <w:p>
      <w:pPr>
        <w:spacing w:after="140" w:line="276"/>
        <w:jc w:val="both"/>
      </w:pPr>
      <w:r>
        <w:t xml:space="preserve">O endereço da API usado pela interface também vem de variável de ambiente. Assim, o mesmo código funciona no computador do desenvolvedor e na nuvem, mudando apenas a configuração.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Estrutura da aplicação</w:t>
      </w:r>
    </w:p>
    <w:p>
      <w:pPr>
        <w:pStyle w:val="Heading2"/>
        <w:spacing w:after="160" w:before="280"/>
      </w:pPr>
      <w:r>
        <w:t xml:space="preserve">3.1. Organização das pastas</w:t>
      </w:r>
    </w:p>
    <w:p>
      <w:pPr>
        <w:spacing w:after="200"/>
      </w:pPr>
    </w:p>
    <w:p>
      <w:pPr>
        <w:shd w:fill="F4F5F7" w:val="clear"/>
        <w:spacing w:after="0" w:line="240"/>
        <w:ind w:left="260" w:right="260"/>
      </w:pPr>
      <w:r>
        <w:rPr>
          <w:rFonts w:ascii="Consolas" w:cs="Consolas" w:eastAsia="Consolas" w:hAnsi="Consolas"/>
          <w:sz w:val="17"/>
          <w:szCs w:val="17"/>
        </w:rPr>
        <w:t xml:space="preserve">.</w:t>
      </w:r>
    </w:p>
    <w:p>
      <w:pPr>
        <w:shd w:fill="F4F5F7" w:val="clear"/>
        <w:spacing w:after="0" w:line="240"/>
        <w:ind w:left="260" w:right="260"/>
      </w:pPr>
      <w:r>
        <w:rPr>
          <w:rFonts w:ascii="Consolas" w:cs="Consolas" w:eastAsia="Consolas" w:hAnsi="Consolas"/>
          <w:sz w:val="17"/>
          <w:szCs w:val="17"/>
        </w:rPr>
        <w:t xml:space="preserve">|-- .github/workflows/ci.yml   Pipeline de Integracao Continua</w:t>
      </w:r>
    </w:p>
    <w:p>
      <w:pPr>
        <w:shd w:fill="F4F5F7" w:val="clear"/>
        <w:spacing w:after="0" w:line="240"/>
        <w:ind w:left="260" w:right="260"/>
      </w:pPr>
      <w:r>
        <w:rPr>
          <w:rFonts w:ascii="Consolas" w:cs="Consolas" w:eastAsia="Consolas" w:hAnsi="Consolas"/>
          <w:sz w:val="17"/>
          <w:szCs w:val="17"/>
        </w:rPr>
        <w:t xml:space="preserve">|-- backend/                   API REST</w:t>
      </w:r>
    </w:p>
    <w:p>
      <w:pPr>
        <w:shd w:fill="F4F5F7" w:val="clear"/>
        <w:spacing w:after="0" w:line="240"/>
        <w:ind w:left="260" w:right="260"/>
      </w:pPr>
      <w:r>
        <w:rPr>
          <w:rFonts w:ascii="Consolas" w:cs="Consolas" w:eastAsia="Consolas" w:hAnsi="Consolas"/>
          <w:sz w:val="17"/>
          <w:szCs w:val="17"/>
        </w:rPr>
        <w:t xml:space="preserve">|   |-- src/app.js             Rotas e configuracao do Express</w:t>
      </w:r>
    </w:p>
    <w:p>
      <w:pPr>
        <w:shd w:fill="F4F5F7" w:val="clear"/>
        <w:spacing w:after="0" w:line="240"/>
        <w:ind w:left="260" w:right="260"/>
      </w:pPr>
      <w:r>
        <w:rPr>
          <w:rFonts w:ascii="Consolas" w:cs="Consolas" w:eastAsia="Consolas" w:hAnsi="Consolas"/>
          <w:sz w:val="17"/>
          <w:szCs w:val="17"/>
        </w:rPr>
        <w:t xml:space="preserve">|   |-- src/pets.js            Dados e validacao</w:t>
      </w:r>
    </w:p>
    <w:p>
      <w:pPr>
        <w:shd w:fill="F4F5F7" w:val="clear"/>
        <w:spacing w:after="0" w:line="240"/>
        <w:ind w:left="260" w:right="260"/>
      </w:pPr>
      <w:r>
        <w:rPr>
          <w:rFonts w:ascii="Consolas" w:cs="Consolas" w:eastAsia="Consolas" w:hAnsi="Consolas"/>
          <w:sz w:val="17"/>
          <w:szCs w:val="17"/>
        </w:rPr>
        <w:t xml:space="preserve">|   |-- src/server.js          Inicializacao do servidor</w:t>
      </w:r>
    </w:p>
    <w:p>
      <w:pPr>
        <w:shd w:fill="F4F5F7" w:val="clear"/>
        <w:spacing w:after="0" w:line="240"/>
        <w:ind w:left="260" w:right="260"/>
      </w:pPr>
      <w:r>
        <w:rPr>
          <w:rFonts w:ascii="Consolas" w:cs="Consolas" w:eastAsia="Consolas" w:hAnsi="Consolas"/>
          <w:sz w:val="17"/>
          <w:szCs w:val="17"/>
        </w:rPr>
        <w:t xml:space="preserve">|   |-- tests/                 9 testes automatizados</w:t>
      </w:r>
    </w:p>
    <w:p>
      <w:pPr>
        <w:shd w:fill="F4F5F7" w:val="clear"/>
        <w:spacing w:after="0" w:line="240"/>
        <w:ind w:left="260" w:right="260"/>
      </w:pPr>
      <w:r>
        <w:rPr>
          <w:rFonts w:ascii="Consolas" w:cs="Consolas" w:eastAsia="Consolas" w:hAnsi="Consolas"/>
          <w:sz w:val="17"/>
          <w:szCs w:val="17"/>
        </w:rPr>
        <w:t xml:space="preserve">|   +-- Dockerfile</w:t>
      </w:r>
    </w:p>
    <w:p>
      <w:pPr>
        <w:shd w:fill="F4F5F7" w:val="clear"/>
        <w:spacing w:after="0" w:line="240"/>
        <w:ind w:left="260" w:right="260"/>
      </w:pPr>
      <w:r>
        <w:rPr>
          <w:rFonts w:ascii="Consolas" w:cs="Consolas" w:eastAsia="Consolas" w:hAnsi="Consolas"/>
          <w:sz w:val="17"/>
          <w:szCs w:val="17"/>
        </w:rPr>
        <w:t xml:space="preserve">|-- frontend/                  Interface web</w:t>
      </w:r>
    </w:p>
    <w:p>
      <w:pPr>
        <w:shd w:fill="F4F5F7" w:val="clear"/>
        <w:spacing w:after="0" w:line="240"/>
        <w:ind w:left="260" w:right="260"/>
      </w:pPr>
      <w:r>
        <w:rPr>
          <w:rFonts w:ascii="Consolas" w:cs="Consolas" w:eastAsia="Consolas" w:hAnsi="Consolas"/>
          <w:sz w:val="17"/>
          <w:szCs w:val="17"/>
        </w:rPr>
        <w:t xml:space="preserve">|   +-- src/App.jsx            Tela de cadastro e listagem</w:t>
      </w:r>
    </w:p>
    <w:p>
      <w:pPr>
        <w:shd w:fill="F4F5F7" w:val="clear"/>
        <w:spacing w:after="0" w:line="240"/>
        <w:ind w:left="260" w:right="260"/>
      </w:pPr>
      <w:r>
        <w:rPr>
          <w:rFonts w:ascii="Consolas" w:cs="Consolas" w:eastAsia="Consolas" w:hAnsi="Consolas"/>
          <w:sz w:val="17"/>
          <w:szCs w:val="17"/>
        </w:rPr>
        <w:t xml:space="preserve">|-- infra/                     5 arquivos Terraform</w:t>
      </w:r>
    </w:p>
    <w:p>
      <w:pPr>
        <w:shd w:fill="F4F5F7" w:val="clear"/>
        <w:spacing w:after="200" w:line="240"/>
        <w:ind w:left="260" w:right="260"/>
      </w:pPr>
      <w:r>
        <w:rPr>
          <w:rFonts w:ascii="Consolas" w:cs="Consolas" w:eastAsia="Consolas" w:hAnsi="Consolas"/>
          <w:sz w:val="17"/>
          <w:szCs w:val="17"/>
        </w:rPr>
        <w:t xml:space="preserve">+-- docs/                      Documentacao</w:t>
      </w:r>
    </w:p>
    <w:p>
      <w:pPr>
        <w:spacing w:after="240"/>
        <w:jc w:val="center"/>
      </w:pPr>
      <w:r>
        <w:rPr>
          <w:i/>
          <w:iCs/>
          <w:color w:val="595959"/>
          <w:sz w:val="17"/>
          <w:szCs w:val="17"/>
        </w:rPr>
        <w:t xml:space="preserve">Figura 1 — Estrutura de pastas do projeto.</w:t>
      </w:r>
    </w:p>
    <w:p>
      <w:pPr>
        <w:pStyle w:val="Heading2"/>
        <w:spacing w:after="160" w:before="280"/>
      </w:pPr>
      <w:r>
        <w:t xml:space="preserve">3.2. A API</w:t>
      </w:r>
    </w:p>
    <w:p>
      <w:pPr>
        <w:spacing w:after="140" w:line="276"/>
        <w:jc w:val="both"/>
      </w:pPr>
      <w:r>
        <w:t xml:space="preserve">A API expõe cinco rotas e mantém os dados na memória do processo. O arquivo app.js concentra as rotas e a configuração do Express, enquanto pets.js cuida do armazenamento e das regras de validação. Essa separação permite testar as regras de validação sem envolver o Express, e substituir o armazenamento por um banco de dados na Fase 2 sem alterar as rotas.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4950"/>
        <w:gridCol w:w="1456"/>
      </w:tblGrid>
      <w:tr>
        <w:trPr>
          <w:tblHeader/>
        </w:trPr>
        <w:tc>
          <w:tcPr>
            <w:tcW w:type="dxa" w:w="2620"/>
            <w:shd w:fill="1D4E8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Método e rota</w:t>
            </w:r>
          </w:p>
        </w:tc>
        <w:tc>
          <w:tcPr>
            <w:tcW w:type="dxa" w:w="4950"/>
            <w:shd w:fill="1D4E8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1456"/>
            <w:shd w:fill="1D4E8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Resposta</w:t>
            </w:r>
          </w:p>
        </w:tc>
      </w:tr>
      <w:tr>
        <w:tc>
          <w:tcPr>
            <w:tcW w:type="dxa" w:w="262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/health</w:t>
            </w:r>
          </w:p>
        </w:tc>
        <w:tc>
          <w:tcPr>
            <w:tcW w:type="dxa" w:w="49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Informa que a aplicação está respondendo.</w:t>
            </w:r>
          </w:p>
        </w:tc>
        <w:tc>
          <w:tcPr>
            <w:tcW w:type="dxa" w:w="145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262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/api/pets</w:t>
            </w:r>
          </w:p>
        </w:tc>
        <w:tc>
          <w:tcPr>
            <w:tcW w:type="dxa" w:w="49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Lista os pets cadastrados.</w:t>
            </w:r>
          </w:p>
        </w:tc>
        <w:tc>
          <w:tcPr>
            <w:tcW w:type="dxa" w:w="145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262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/api/pets/:id</w:t>
            </w:r>
          </w:p>
        </w:tc>
        <w:tc>
          <w:tcPr>
            <w:tcW w:type="dxa" w:w="49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Consulta um pet específico.</w:t>
            </w:r>
          </w:p>
        </w:tc>
        <w:tc>
          <w:tcPr>
            <w:tcW w:type="dxa" w:w="145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200 ou 404</w:t>
            </w:r>
          </w:p>
        </w:tc>
      </w:tr>
      <w:tr>
        <w:tc>
          <w:tcPr>
            <w:tcW w:type="dxa" w:w="262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/api/pets</w:t>
            </w:r>
          </w:p>
        </w:tc>
        <w:tc>
          <w:tcPr>
            <w:tcW w:type="dxa" w:w="49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Cadastra um pet, validando os campos.</w:t>
            </w:r>
          </w:p>
        </w:tc>
        <w:tc>
          <w:tcPr>
            <w:tcW w:type="dxa" w:w="145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201 ou 400</w:t>
            </w:r>
          </w:p>
        </w:tc>
      </w:tr>
      <w:tr>
        <w:tc>
          <w:tcPr>
            <w:tcW w:type="dxa" w:w="262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DELETE /api/pets/:id</w:t>
            </w:r>
          </w:p>
        </w:tc>
        <w:tc>
          <w:tcPr>
            <w:tcW w:type="dxa" w:w="49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Remove um pet.</w:t>
            </w:r>
          </w:p>
        </w:tc>
        <w:tc>
          <w:tcPr>
            <w:tcW w:type="dxa" w:w="145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204 ou 404</w:t>
            </w:r>
          </w:p>
        </w:tc>
      </w:tr>
    </w:tbl>
    <w:p>
      <w:pPr>
        <w:spacing w:after="240"/>
        <w:jc w:val="center"/>
      </w:pPr>
      <w:r>
        <w:rPr>
          <w:i/>
          <w:iCs/>
          <w:color w:val="595959"/>
          <w:sz w:val="17"/>
          <w:szCs w:val="17"/>
        </w:rPr>
        <w:t xml:space="preserve">Quadro 2 — Rotas da API.</w:t>
      </w:r>
    </w:p>
    <w:p>
      <w:pPr>
        <w:spacing w:after="140" w:line="276"/>
        <w:jc w:val="both"/>
      </w:pPr>
      <w:r>
        <w:t xml:space="preserve">A rota /health existe por um motivo prático: serviços de nuvem consultam periodicamente um endereço desse tipo para saber se a aplicação está saudável. Sem ele, a plataforma não tem como distinguir uma aplicação travada de uma aplicação funcionando.</w:t>
      </w:r>
    </w:p>
    <w:p>
      <w:pPr>
        <w:pStyle w:val="Heading2"/>
        <w:spacing w:after="160" w:before="280"/>
      </w:pPr>
      <w:r>
        <w:t xml:space="preserve">3.3. A interface</w:t>
      </w:r>
    </w:p>
    <w:p>
      <w:pPr>
        <w:spacing w:after="140" w:line="276"/>
        <w:jc w:val="both"/>
      </w:pPr>
      <w:r>
        <w:t xml:space="preserve">A interface é uma única tela que lista os pets cadastrados e oferece um formulário para incluir novos. As chamadas à API ficam isoladas no arquivo api.js, separadas do componente que desenha a tela — o que torna possível substituir o endereço da API ou tratar erros em um só lugar.</w:t>
      </w:r>
    </w:p>
    <w:p>
      <w:pPr>
        <w:spacing w:after="140" w:line="276"/>
        <w:jc w:val="both"/>
      </w:pPr>
      <w:r>
        <w:t xml:space="preserve">Quando a API recusa um cadastro por dados inválidos, a mensagem devolvida pelo servidor é exibida na tela. A validação, portanto, acontece de fato no back-end, e não apenas no navegador — onde poderia ser contornada.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Pipeline de Integração Contínua</w:t>
      </w:r>
    </w:p>
    <w:p>
      <w:pPr>
        <w:pStyle w:val="Heading2"/>
        <w:spacing w:after="160" w:before="280"/>
      </w:pPr>
      <w:r>
        <w:t xml:space="preserve">4.1. Como está organizado</w:t>
      </w:r>
    </w:p>
    <w:p>
      <w:pPr>
        <w:spacing w:after="140" w:line="276"/>
        <w:jc w:val="both"/>
      </w:pPr>
      <w:r>
        <w:t xml:space="preserve">O pipeline está no arquivo .github/workflows/ci.yml e tem três jobs, que rodam em paralelo por serem independentes entre si.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6847"/>
      </w:tblGrid>
      <w:tr>
        <w:trPr>
          <w:tblHeader/>
        </w:trPr>
        <w:tc>
          <w:tcPr>
            <w:tcW w:type="dxa" w:w="2179"/>
            <w:shd w:fill="1D4E8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Job</w:t>
            </w:r>
          </w:p>
        </w:tc>
        <w:tc>
          <w:tcPr>
            <w:tcW w:type="dxa" w:w="6847"/>
            <w:shd w:fill="1D4E8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verifica</w:t>
            </w:r>
          </w:p>
        </w:tc>
      </w:tr>
      <w:tr>
        <w:tc>
          <w:tcPr>
            <w:tcW w:type="dxa" w:w="217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Back-end</w:t>
            </w:r>
          </w:p>
        </w:tc>
        <w:tc>
          <w:tcPr>
            <w:tcW w:type="dxa" w:w="684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Estilo do código com ESLint, os 9 testes automatizados e a construção da imagem Docker.</w:t>
            </w:r>
          </w:p>
        </w:tc>
      </w:tr>
      <w:tr>
        <w:tc>
          <w:tcPr>
            <w:tcW w:type="dxa" w:w="217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Front-end</w:t>
            </w:r>
          </w:p>
        </w:tc>
        <w:tc>
          <w:tcPr>
            <w:tcW w:type="dxa" w:w="684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Estilo do código, os 4 testes automatizados e o build de produção, guardado como artefato.</w:t>
            </w:r>
          </w:p>
        </w:tc>
      </w:tr>
      <w:tr>
        <w:tc>
          <w:tcPr>
            <w:tcW w:type="dxa" w:w="217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Infraestrutura</w:t>
            </w:r>
          </w:p>
        </w:tc>
        <w:tc>
          <w:tcPr>
            <w:tcW w:type="dxa" w:w="684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Formatação dos arquivos Terraform, inicialização e validação da configuração.</w:t>
            </w:r>
          </w:p>
        </w:tc>
      </w:tr>
    </w:tbl>
    <w:p>
      <w:pPr>
        <w:spacing w:after="240"/>
        <w:jc w:val="center"/>
      </w:pPr>
      <w:r>
        <w:rPr>
          <w:i/>
          <w:iCs/>
          <w:color w:val="595959"/>
          <w:sz w:val="17"/>
          <w:szCs w:val="17"/>
        </w:rPr>
        <w:t xml:space="preserve">Quadro 3 — Jobs do pipeline.</w:t>
      </w:r>
    </w:p>
    <w:p>
      <w:pPr>
        <w:spacing w:after="140" w:line="276"/>
        <w:jc w:val="both"/>
      </w:pPr>
      <w:r>
        <w:t xml:space="preserve">Cada job segue a mesma sequência: baixa o código, instala o Node.js ou o Terraform, instala as dependências e executa as verificações. Se qualquer comando retornar erro, o job para ali e é marcado como reprovado.</w:t>
      </w:r>
    </w:p>
    <w:p>
      <w:pPr>
        <w:pStyle w:val="Heading2"/>
        <w:spacing w:after="160" w:before="280"/>
      </w:pPr>
      <w:r>
        <w:t xml:space="preserve">4.2. Decisões do pipeline</w:t>
      </w:r>
    </w:p>
    <w:p>
      <w:pPr>
        <w:spacing w:after="140" w:line="276"/>
        <w:jc w:val="both"/>
      </w:pPr>
      <w:r>
        <w:t xml:space="preserve">Verificar o estilo antes dos testes. O ESLint roda em segundos e aponta erros de programação simples, como uma variável escrita errada. Colocá-lo antes dos testes faz o pipeline reprovar mais rápido nesses casos.</w:t>
      </w:r>
    </w:p>
    <w:p>
      <w:pPr>
        <w:spacing w:after="140" w:line="276"/>
        <w:jc w:val="both"/>
      </w:pPr>
      <w:r>
        <w:t xml:space="preserve">Construir a imagem Docker sem publicá-la. O job monta a imagem para confirmar que o Dockerfile funciona, mas não a envia para nenhum lugar. Publicar e implantar são tarefas da Fase 2 — verificar desde já, porém, evita descobrir um Dockerfile quebrado só na próxima fase.</w:t>
      </w:r>
    </w:p>
    <w:p>
      <w:pPr>
        <w:spacing w:after="140" w:line="276"/>
        <w:jc w:val="both"/>
      </w:pPr>
      <w:r>
        <w:t xml:space="preserve">Validar o Terraform sem credenciais. O comando terraform init com a opção -backend=false permite validar os arquivos sem acesso à conta da AWS. Assim, nenhuma chave precisa ser guardada no repositório nesta fase.</w:t>
      </w:r>
    </w:p>
    <w:p>
      <w:pPr>
        <w:spacing w:after="140" w:line="276"/>
        <w:jc w:val="both"/>
      </w:pPr>
      <w:r>
        <w:t xml:space="preserve">Guardar o build da interface como artefato. Os arquivos gerados ficam disponíveis para download na página da execução, o que ajuda a conferir o resultado e será útil na Fase 2, quando esses mesmos arquivos forem enviados para a nuvem.</w:t>
      </w:r>
    </w:p>
    <w:p>
      <w:pPr>
        <w:pStyle w:val="Heading2"/>
        <w:spacing w:after="160" w:before="280"/>
      </w:pPr>
      <w:r>
        <w:t xml:space="preserve">4.3. Evidência de execução</w:t>
      </w:r>
    </w:p>
    <w:p>
      <w:pPr>
        <w:spacing w:after="140" w:line="276"/>
        <w:jc w:val="both"/>
      </w:pPr>
      <w:r>
        <w:t xml:space="preserve">A captura de tela abaixo mostra o pipeline aprovado na aba Actions do GitHub.</w:t>
      </w:r>
    </w:p>
    <w:p>
      <w:pPr>
        <w:spacing w:after="200"/>
      </w:pPr>
    </w:p>
    <w:p>
      <w:pPr>
        <w:pBdr>
          <w:top w:val="dashed" w:color="C00000" w:sz="6"/>
          <w:bottom w:val="dashed" w:color="C00000" w:sz="6"/>
          <w:left w:val="dashed" w:color="C00000" w:sz="6"/>
          <w:right w:val="dashed" w:color="C00000" w:sz="6"/>
        </w:pBdr>
        <w:spacing w:after="200" w:before="200"/>
        <w:jc w:val="center"/>
      </w:pPr>
      <w:r>
        <w:rPr>
          <w:b/>
          <w:bCs/>
          <w:color w:val="C00000"/>
          <w:sz w:val="22"/>
          <w:szCs w:val="22"/>
        </w:rPr>
        <w:t xml:space="preserve">[INSERIR AQUI A CAPTURA DE TELA DA ABA ACTIONS COM O PIPELINE APROVADO]</w:t>
      </w:r>
    </w:p>
    <w:p>
      <w:pPr>
        <w:spacing w:after="240"/>
        <w:jc w:val="center"/>
      </w:pPr>
      <w:r>
        <w:rPr>
          <w:i/>
          <w:iCs/>
          <w:color w:val="595959"/>
          <w:sz w:val="17"/>
          <w:szCs w:val="17"/>
        </w:rPr>
        <w:t xml:space="preserve">Figura 2 — Execução do pipeline no GitHub Actions.</w:t>
      </w:r>
    </w:p>
    <w:p>
      <w:pPr>
        <w:spacing w:after="140" w:line="276"/>
      </w:pPr>
      <w:r>
        <w:t xml:space="preserve">Repositório do projeto: </w:t>
      </w:r>
      <w:r>
        <w:rPr>
          <w:b/>
          <w:bCs/>
          <w:color w:val="C00000"/>
          <w:sz w:val="22"/>
          <w:szCs w:val="22"/>
        </w:rPr>
        <w:t xml:space="preserve">[SUBSTITUIR PELA URL DO REPOSITÓRIO]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Infraestrutura como Código</w:t>
      </w:r>
    </w:p>
    <w:p>
      <w:pPr>
        <w:pStyle w:val="Heading2"/>
        <w:spacing w:after="160" w:before="280"/>
      </w:pPr>
      <w:r>
        <w:t xml:space="preserve">5.1. O que foi provisionado</w:t>
      </w:r>
    </w:p>
    <w:p>
      <w:pPr>
        <w:spacing w:after="140" w:line="276"/>
        <w:jc w:val="both"/>
      </w:pPr>
      <w:r>
        <w:t xml:space="preserve">A infraestrutura está descrita em cinco arquivos Terraform, no diretório infra, e cria dez recursos na AWS. O escopo é a base do ambiente: a rede, o repositório onde a imagem da aplicação será guardada e o local onde os arquivos da interface ficarão.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6967"/>
      </w:tblGrid>
      <w:tr>
        <w:trPr>
          <w:tblHeader/>
        </w:trPr>
        <w:tc>
          <w:tcPr>
            <w:tcW w:type="dxa" w:w="2059"/>
            <w:shd w:fill="1D4E8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6967"/>
            <w:shd w:fill="1D4E8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05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versions.tf</w:t>
            </w:r>
          </w:p>
        </w:tc>
        <w:tc>
          <w:tcPr>
            <w:tcW w:type="dxa" w:w="696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Versão mínima do Terraform, provider da AWS e tags aplicadas a todos os recursos.</w:t>
            </w:r>
          </w:p>
        </w:tc>
      </w:tr>
      <w:tr>
        <w:tc>
          <w:tcPr>
            <w:tcW w:type="dxa" w:w="205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variables.tf</w:t>
            </w:r>
          </w:p>
        </w:tc>
        <w:tc>
          <w:tcPr>
            <w:tcW w:type="dxa" w:w="696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Seis variáveis de entrada com descrição e valor padrão.</w:t>
            </w:r>
          </w:p>
        </w:tc>
      </w:tr>
      <w:tr>
        <w:tc>
          <w:tcPr>
            <w:tcW w:type="dxa" w:w="205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network.tf</w:t>
            </w:r>
          </w:p>
        </w:tc>
        <w:tc>
          <w:tcPr>
            <w:tcW w:type="dxa" w:w="696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VPC, Internet Gateway, sub-rede, tabela de rotas e security group.</w:t>
            </w:r>
          </w:p>
        </w:tc>
      </w:tr>
      <w:tr>
        <w:tc>
          <w:tcPr>
            <w:tcW w:type="dxa" w:w="205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storage.tf</w:t>
            </w:r>
          </w:p>
        </w:tc>
        <w:tc>
          <w:tcPr>
            <w:tcW w:type="dxa" w:w="696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Repositório de imagens (ECR) e bucket para os arquivos da interface (S3).</w:t>
            </w:r>
          </w:p>
        </w:tc>
      </w:tr>
      <w:tr>
        <w:tc>
          <w:tcPr>
            <w:tcW w:type="dxa" w:w="205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outputs.tf</w:t>
            </w:r>
          </w:p>
        </w:tc>
        <w:tc>
          <w:tcPr>
            <w:tcW w:type="dxa" w:w="696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Identificadores dos recursos criados, exibidos ao final da execução.</w:t>
            </w:r>
          </w:p>
        </w:tc>
      </w:tr>
    </w:tbl>
    <w:p>
      <w:pPr>
        <w:spacing w:after="240"/>
        <w:jc w:val="center"/>
      </w:pPr>
      <w:r>
        <w:rPr>
          <w:i/>
          <w:iCs/>
          <w:color w:val="595959"/>
          <w:sz w:val="17"/>
          <w:szCs w:val="17"/>
        </w:rPr>
        <w:t xml:space="preserve">Quadro 4 — Arquivos da configuração Terraform.</w:t>
      </w:r>
    </w:p>
    <w:p>
      <w:pPr>
        <w:pStyle w:val="Heading2"/>
        <w:spacing w:after="160" w:before="280"/>
      </w:pPr>
      <w:r>
        <w:t xml:space="preserve">5.2. Entendendo os recursos de rede</w:t>
      </w:r>
    </w:p>
    <w:p>
      <w:pPr>
        <w:spacing w:after="140" w:line="276"/>
        <w:jc w:val="both"/>
      </w:pPr>
      <w:r>
        <w:t xml:space="preserve">A VPC é uma rede isolada dentro da AWS, onde os recursos do projeto ficam. O Internet Gateway é o que permite que essa rede se comunique com a internet, e a tabela de rotas registra que todo tráfego destinado a endereços externos deve sair por ele. A sub-rede é uma faixa de endereços dentro da VPC, onde os recursos efetivamente residem.</w:t>
      </w:r>
    </w:p>
    <w:p>
      <w:pPr>
        <w:spacing w:after="140" w:line="276"/>
        <w:jc w:val="both"/>
      </w:pPr>
      <w:r>
        <w:t xml:space="preserve">O security group funciona como um firewall: define qual tráfego pode entrar e sair. Nesta configuração, ele libera a entrada apenas na porta em que a API responde, e permite a saída livre — necessária para que a aplicação baixe atualizações e envie registros de log.</w:t>
      </w:r>
    </w:p>
    <w:p>
      <w:pPr>
        <w:pStyle w:val="Heading2"/>
        <w:spacing w:after="160" w:before="280"/>
      </w:pPr>
      <w:r>
        <w:t xml:space="preserve">5.3. Uso de variáveis</w:t>
      </w:r>
    </w:p>
    <w:p>
      <w:pPr>
        <w:spacing w:after="140" w:line="276"/>
        <w:jc w:val="both"/>
      </w:pPr>
      <w:r>
        <w:t xml:space="preserve">Nenhum valor está escrito diretamente nos recursos. Todos vêm de variáveis, com valores padrão definidos e descrição explicando para que servem. Isso permite criar um segundo ambiente alterando apenas os parâmetros, sem duplicar arquivos.</w:t>
      </w:r>
    </w:p>
    <w:p>
      <w:pPr>
        <w:spacing w:after="140" w:line="276"/>
        <w:jc w:val="both"/>
      </w:pPr>
      <w:r>
        <w:t xml:space="preserve">A variável de ambiente tem uma regra de validação que aceita apenas dev ou prd. Se alguém informar outro valor, o Terraform interrompe a execução com uma mensagem clara, antes de tentar criar qualquer recurso.</w:t>
      </w:r>
    </w:p>
    <w:p>
      <w:pPr>
        <w:spacing w:after="200"/>
      </w:pPr>
    </w:p>
    <w:p>
      <w:pPr>
        <w:shd w:fill="F4F5F7" w:val="clear"/>
        <w:spacing w:after="0" w:line="240"/>
        <w:ind w:left="260" w:right="260"/>
      </w:pPr>
      <w:r>
        <w:rPr>
          <w:rFonts w:ascii="Consolas" w:cs="Consolas" w:eastAsia="Consolas" w:hAnsi="Consolas"/>
          <w:sz w:val="17"/>
          <w:szCs w:val="17"/>
        </w:rPr>
        <w:t xml:space="preserve">variable "ambiente" {</w:t>
      </w:r>
    </w:p>
    <w:p>
      <w:pPr>
        <w:shd w:fill="F4F5F7" w:val="clear"/>
        <w:spacing w:after="0" w:line="240"/>
        <w:ind w:left="260" w:right="260"/>
      </w:pPr>
      <w:r>
        <w:rPr>
          <w:rFonts w:ascii="Consolas" w:cs="Consolas" w:eastAsia="Consolas" w:hAnsi="Consolas"/>
          <w:sz w:val="17"/>
          <w:szCs w:val="17"/>
        </w:rPr>
        <w:t xml:space="preserve">  description = "Ambiente de implantacao."</w:t>
      </w:r>
    </w:p>
    <w:p>
      <w:pPr>
        <w:shd w:fill="F4F5F7" w:val="clear"/>
        <w:spacing w:after="0" w:line="240"/>
        <w:ind w:left="260" w:right="260"/>
      </w:pPr>
      <w:r>
        <w:rPr>
          <w:rFonts w:ascii="Consolas" w:cs="Consolas" w:eastAsia="Consolas" w:hAnsi="Consolas"/>
          <w:sz w:val="17"/>
          <w:szCs w:val="17"/>
        </w:rPr>
        <w:t xml:space="preserve">  type        = string</w:t>
      </w:r>
    </w:p>
    <w:p>
      <w:pPr>
        <w:shd w:fill="F4F5F7" w:val="clear"/>
        <w:spacing w:after="0" w:line="240"/>
        <w:ind w:left="260" w:right="260"/>
      </w:pPr>
      <w:r>
        <w:rPr>
          <w:rFonts w:ascii="Consolas" w:cs="Consolas" w:eastAsia="Consolas" w:hAnsi="Consolas"/>
          <w:sz w:val="17"/>
          <w:szCs w:val="17"/>
        </w:rPr>
        <w:t xml:space="preserve">  default     = "dev"</w:t>
      </w:r>
    </w:p>
    <w:p>
      <w:pPr>
        <w:shd w:fill="F4F5F7" w:val="clear"/>
        <w:spacing w:after="0" w:line="240"/>
        <w:ind w:left="260" w:right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val="clear"/>
        <w:spacing w:after="0" w:line="240"/>
        <w:ind w:left="260" w:right="260"/>
      </w:pPr>
      <w:r>
        <w:rPr>
          <w:rFonts w:ascii="Consolas" w:cs="Consolas" w:eastAsia="Consolas" w:hAnsi="Consolas"/>
          <w:sz w:val="17"/>
          <w:szCs w:val="17"/>
        </w:rPr>
        <w:t xml:space="preserve">  validation {</w:t>
      </w:r>
    </w:p>
    <w:p>
      <w:pPr>
        <w:shd w:fill="F4F5F7" w:val="clear"/>
        <w:spacing w:after="0" w:line="240"/>
        <w:ind w:left="260" w:right="260"/>
      </w:pPr>
      <w:r>
        <w:rPr>
          <w:rFonts w:ascii="Consolas" w:cs="Consolas" w:eastAsia="Consolas" w:hAnsi="Consolas"/>
          <w:sz w:val="17"/>
          <w:szCs w:val="17"/>
        </w:rPr>
        <w:t xml:space="preserve">    condition     = contains(["dev", "prd"], var.ambiente)</w:t>
      </w:r>
    </w:p>
    <w:p>
      <w:pPr>
        <w:shd w:fill="F4F5F7" w:val="clear"/>
        <w:spacing w:after="0" w:line="240"/>
        <w:ind w:left="260" w:right="260"/>
      </w:pPr>
      <w:r>
        <w:rPr>
          <w:rFonts w:ascii="Consolas" w:cs="Consolas" w:eastAsia="Consolas" w:hAnsi="Consolas"/>
          <w:sz w:val="17"/>
          <w:szCs w:val="17"/>
        </w:rPr>
        <w:t xml:space="preserve">    error_message = "O ambiente deve ser dev ou prd."</w:t>
      </w:r>
    </w:p>
    <w:p>
      <w:pPr>
        <w:shd w:fill="F4F5F7" w:val="clear"/>
        <w:spacing w:after="0" w:line="240"/>
        <w:ind w:left="260" w:right="26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4F5F7" w:val="clear"/>
        <w:spacing w:after="200" w:line="240"/>
        <w:ind w:left="260" w:right="26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40"/>
        <w:jc w:val="center"/>
      </w:pPr>
      <w:r>
        <w:rPr>
          <w:i/>
          <w:iCs/>
          <w:color w:val="595959"/>
          <w:sz w:val="17"/>
          <w:szCs w:val="17"/>
        </w:rPr>
        <w:t xml:space="preserve">Figura 3 — Variável com regra de validação.</w:t>
      </w:r>
    </w:p>
    <w:p>
      <w:pPr>
        <w:pStyle w:val="Heading2"/>
        <w:spacing w:after="160" w:before="280"/>
      </w:pPr>
      <w:r>
        <w:t xml:space="preserve">5.4. Diferença entre validar, planejar e aplicar</w:t>
      </w:r>
    </w:p>
    <w:p>
      <w:pPr>
        <w:spacing w:after="140" w:line="276"/>
        <w:jc w:val="both"/>
      </w:pPr>
      <w:r>
        <w:t xml:space="preserve">O Terraform tem comandos com efeitos bem diferentes, e a distinção importa nesta fase: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t xml:space="preserve">terraform validate confere se os arquivos estão escritos corretamente. Não acessa a conta da AWS e não cria nada.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t xml:space="preserve">terraform plan mostra a lista do que seria criado, alterado ou removido. Acessa a conta para comparar, mas também não altera nada.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t xml:space="preserve">terraform apply executa as mudanças e cria os recursos de verdade — o que pode gerar cobrança.</w:t>
      </w:r>
    </w:p>
    <w:p>
      <w:pPr>
        <w:spacing w:after="140" w:line="276"/>
        <w:jc w:val="both"/>
      </w:pPr>
      <w:r>
        <w:t xml:space="preserve">Para a Fase 1, validar e planejar já atendem ao que foi pedido. Se os recursos forem efetivamente criados para demonstração, recomenda-se executar terraform destroy em seguida, para removê-los e evitar cobranças. Os recursos escolhidos nesta fase são de baixo custo, mas essa cautela vale como prática.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Resultados</w:t>
      </w:r>
    </w:p>
    <w:p>
      <w:pPr>
        <w:pStyle w:val="Heading2"/>
        <w:spacing w:after="160" w:before="280"/>
      </w:pPr>
      <w:r>
        <w:t xml:space="preserve">6.1. Verificações executadas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2083"/>
        <w:gridCol w:w="2083"/>
      </w:tblGrid>
      <w:tr>
        <w:trPr>
          <w:tblHeader/>
        </w:trPr>
        <w:tc>
          <w:tcPr>
            <w:tcW w:type="dxa" w:w="4860"/>
            <w:shd w:fill="1D4E8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Verificação</w:t>
            </w:r>
          </w:p>
        </w:tc>
        <w:tc>
          <w:tcPr>
            <w:tcW w:type="dxa" w:w="2083"/>
            <w:shd w:fill="1D4E8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Back-end</w:t>
            </w:r>
          </w:p>
        </w:tc>
        <w:tc>
          <w:tcPr>
            <w:tcW w:type="dxa" w:w="2083"/>
            <w:shd w:fill="1D4E8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Front-end</w:t>
            </w:r>
          </w:p>
        </w:tc>
      </w:tr>
      <w:tr>
        <w:tc>
          <w:tcPr>
            <w:tcW w:type="dxa" w:w="48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Testes automatizados</w:t>
            </w:r>
          </w:p>
        </w:tc>
        <w:tc>
          <w:tcPr>
            <w:tcW w:type="dxa" w:w="208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 aprovados</w:t>
            </w:r>
          </w:p>
        </w:tc>
        <w:tc>
          <w:tcPr>
            <w:tcW w:type="dxa" w:w="208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 aprovados</w:t>
            </w:r>
          </w:p>
        </w:tc>
      </w:tr>
      <w:tr>
        <w:tc>
          <w:tcPr>
            <w:tcW w:type="dxa" w:w="48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Estilo do código (ESLint)</w:t>
            </w:r>
          </w:p>
        </w:tc>
        <w:tc>
          <w:tcPr>
            <w:tcW w:type="dxa" w:w="208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 apontamentos</w:t>
            </w:r>
          </w:p>
        </w:tc>
        <w:tc>
          <w:tcPr>
            <w:tcW w:type="dxa" w:w="208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 apontamentos</w:t>
            </w:r>
          </w:p>
        </w:tc>
      </w:tr>
      <w:tr>
        <w:tc>
          <w:tcPr>
            <w:tcW w:type="dxa" w:w="48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Vulnerabilidades altas em dependências</w:t>
            </w:r>
          </w:p>
        </w:tc>
        <w:tc>
          <w:tcPr>
            <w:tcW w:type="dxa" w:w="208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Nenhuma</w:t>
            </w:r>
          </w:p>
        </w:tc>
        <w:tc>
          <w:tcPr>
            <w:tcW w:type="dxa" w:w="208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Nenhuma</w:t>
            </w:r>
          </w:p>
        </w:tc>
      </w:tr>
      <w:tr>
        <w:tc>
          <w:tcPr>
            <w:tcW w:type="dxa" w:w="48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Build de produção</w:t>
            </w:r>
          </w:p>
        </w:tc>
        <w:tc>
          <w:tcPr>
            <w:tcW w:type="dxa" w:w="208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08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Concluído</w:t>
            </w:r>
          </w:p>
        </w:tc>
      </w:tr>
      <w:tr>
        <w:tc>
          <w:tcPr>
            <w:tcW w:type="dxa" w:w="48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Imagem Docker</w:t>
            </w:r>
          </w:p>
        </w:tc>
        <w:tc>
          <w:tcPr>
            <w:tcW w:type="dxa" w:w="208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Construída</w:t>
            </w:r>
          </w:p>
        </w:tc>
        <w:tc>
          <w:tcPr>
            <w:tcW w:type="dxa" w:w="208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8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Arquivos Terraform</w:t>
            </w:r>
          </w:p>
        </w:tc>
        <w:tc>
          <w:tcPr>
            <w:tcW w:type="dxa" w:w="208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Válidos e formatados</w:t>
            </w:r>
          </w:p>
        </w:tc>
        <w:tc>
          <w:tcPr>
            <w:tcW w:type="dxa" w:w="208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40"/>
        <w:jc w:val="center"/>
      </w:pPr>
      <w:r>
        <w:rPr>
          <w:i/>
          <w:iCs/>
          <w:color w:val="595959"/>
          <w:sz w:val="17"/>
          <w:szCs w:val="17"/>
        </w:rPr>
        <w:t xml:space="preserve">Quadro 5 — Resultado das verificações.</w:t>
      </w:r>
    </w:p>
    <w:p>
      <w:pPr>
        <w:pStyle w:val="Heading2"/>
        <w:spacing w:after="160" w:before="280"/>
      </w:pPr>
      <w:r>
        <w:t xml:space="preserve">6.2. Um problema encontrado durante a montagem</w:t>
      </w:r>
    </w:p>
    <w:p>
      <w:pPr>
        <w:spacing w:after="140" w:line="276"/>
        <w:jc w:val="both"/>
      </w:pPr>
      <w:r>
        <w:t xml:space="preserve">Vale registrar um caso concreto, porque ele mostra exatamente para que serve um pipeline. Ao configurar a verificação de estilo da interface, o comando executava sem apontar nada — e parecia estar tudo certo. Na verdade, o ESLint analisa apenas arquivos com extensão .js por padrão, e os componentes React usam a extensão .jsx. Nenhum deles estava sendo verificado.</w:t>
      </w:r>
    </w:p>
    <w:p>
      <w:pPr>
        <w:spacing w:after="140" w:line="276"/>
        <w:jc w:val="both"/>
      </w:pPr>
      <w:r>
        <w:t xml:space="preserve">Depois de incluir a extensão .jsx na configuração, o comando passou a apontar problemas reais nos arquivos de teste. A lição é que uma verificação aprovada só significa algo se ela estiver de fato olhando para o código certo: automação sem conferência pode transmitir uma confiança que não se sustenta.</w:t>
      </w:r>
    </w:p>
    <w:p>
      <w:pPr>
        <w:pStyle w:val="Heading2"/>
        <w:spacing w:after="160" w:before="280"/>
      </w:pPr>
      <w:r>
        <w:t xml:space="preserve">6.3. Requisitos atendidos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1"/>
        <w:gridCol w:w="6225"/>
      </w:tblGrid>
      <w:tr>
        <w:trPr>
          <w:tblHeader/>
        </w:trPr>
        <w:tc>
          <w:tcPr>
            <w:tcW w:type="dxa" w:w="2801"/>
            <w:shd w:fill="1D4E8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 da fase</w:t>
            </w:r>
          </w:p>
        </w:tc>
        <w:tc>
          <w:tcPr>
            <w:tcW w:type="dxa" w:w="6225"/>
            <w:shd w:fill="1D4E8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foi atendido</w:t>
            </w:r>
          </w:p>
        </w:tc>
      </w:tr>
      <w:tr>
        <w:tc>
          <w:tcPr>
            <w:tcW w:type="dxa" w:w="280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Documento de planejamento</w:t>
            </w:r>
          </w:p>
        </w:tc>
        <w:tc>
          <w:tcPr>
            <w:tcW w:type="dxa" w:w="622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Este documento.</w:t>
            </w:r>
          </w:p>
        </w:tc>
      </w:tr>
      <w:tr>
        <w:tc>
          <w:tcPr>
            <w:tcW w:type="dxa" w:w="280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Pipeline de Integração Contínua</w:t>
            </w:r>
          </w:p>
        </w:tc>
        <w:tc>
          <w:tcPr>
            <w:tcW w:type="dxa" w:w="622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Três jobs no GitHub Actions, verificando estilo, testes, build e infraestrutura.</w:t>
            </w:r>
          </w:p>
        </w:tc>
      </w:tr>
      <w:tr>
        <w:tc>
          <w:tcPr>
            <w:tcW w:type="dxa" w:w="280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Infraestrutura como Código</w:t>
            </w:r>
          </w:p>
        </w:tc>
        <w:tc>
          <w:tcPr>
            <w:tcW w:type="dxa" w:w="622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Cinco arquivos Terraform criando dez recursos na AWS: rede, repositório de imagens e bucket.</w:t>
            </w:r>
          </w:p>
        </w:tc>
      </w:tr>
    </w:tbl>
    <w:p>
      <w:pPr>
        <w:spacing w:after="240"/>
        <w:jc w:val="center"/>
      </w:pPr>
      <w:r>
        <w:rPr>
          <w:i/>
          <w:iCs/>
          <w:color w:val="595959"/>
          <w:sz w:val="17"/>
          <w:szCs w:val="17"/>
        </w:rPr>
        <w:t xml:space="preserve">Quadro 6 — Atendimento aos requisitos.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Considerações finais</w:t>
      </w:r>
    </w:p>
    <w:p>
      <w:pPr>
        <w:spacing w:after="140" w:line="276"/>
        <w:jc w:val="both"/>
      </w:pPr>
      <w:r>
        <w:t xml:space="preserve">A Fase 1 estabeleceu a base de automação do projeto. A partir de agora, toda alteração enviada ao repositório é verificada automaticamente antes de ser considerada aceitável, e a infraestrutura deixou de ser configuração manual para se tornar código versionado, que pode ser revisado e recriado.</w:t>
      </w:r>
    </w:p>
    <w:p>
      <w:pPr>
        <w:spacing w:after="140" w:line="276"/>
        <w:jc w:val="both"/>
      </w:pPr>
      <w:r>
        <w:t xml:space="preserve">O escopo foi mantido proporcional ao objetivo da fase. Seria possível provisionar desde já balanceadores de carga, escalonamento automático e distribuição de conteúdo, mas isso adicionaria complexidade sem contribuir para o que se pretende demonstrar aqui. A infraestrutura desta fase cria o que a próxima efetivamente vai usar, e nada além disso.</w:t>
      </w:r>
    </w:p>
    <w:p>
      <w:pPr>
        <w:pStyle w:val="Heading2"/>
        <w:spacing w:after="160" w:before="280"/>
      </w:pPr>
      <w:r>
        <w:t xml:space="preserve">7.1. Próximos passos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0"/>
        <w:gridCol w:w="6536"/>
      </w:tblGrid>
      <w:tr>
        <w:trPr>
          <w:tblHeader/>
        </w:trPr>
        <w:tc>
          <w:tcPr>
            <w:tcW w:type="dxa" w:w="2490"/>
            <w:shd w:fill="1D4E8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536"/>
            <w:shd w:fill="1D4E8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9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Publicar a imagem</w:t>
            </w:r>
          </w:p>
        </w:tc>
        <w:tc>
          <w:tcPr>
            <w:tcW w:type="dxa" w:w="653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Fazer o pipeline enviar a imagem da API para o repositório ECR criado nesta fase.</w:t>
            </w:r>
          </w:p>
        </w:tc>
      </w:tr>
      <w:tr>
        <w:tc>
          <w:tcPr>
            <w:tcW w:type="dxa" w:w="249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Executar a aplicação</w:t>
            </w:r>
          </w:p>
        </w:tc>
        <w:tc>
          <w:tcPr>
            <w:tcW w:type="dxa" w:w="653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Provisionar o serviço que vai rodar o contêiner na nuvem.</w:t>
            </w:r>
          </w:p>
        </w:tc>
      </w:tr>
      <w:tr>
        <w:tc>
          <w:tcPr>
            <w:tcW w:type="dxa" w:w="249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Publicar a interface</w:t>
            </w:r>
          </w:p>
        </w:tc>
        <w:tc>
          <w:tcPr>
            <w:tcW w:type="dxa" w:w="653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Enviar os arquivos do build para o bucket S3 e configurar a distribuição.</w:t>
            </w:r>
          </w:p>
        </w:tc>
      </w:tr>
      <w:tr>
        <w:tc>
          <w:tcPr>
            <w:tcW w:type="dxa" w:w="249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653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Substituir o armazenamento em memória, para que os dados não se perdam ao reiniciar.</w:t>
            </w:r>
          </w:p>
        </w:tc>
      </w:tr>
      <w:tr>
        <w:tc>
          <w:tcPr>
            <w:tcW w:type="dxa" w:w="249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Monitoramento</w:t>
            </w:r>
          </w:p>
        </w:tc>
        <w:tc>
          <w:tcPr>
            <w:tcW w:type="dxa" w:w="653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Configurar registro de logs e alertas para falhas da aplicação.</w:t>
            </w:r>
          </w:p>
        </w:tc>
      </w:tr>
    </w:tbl>
    <w:p>
      <w:pPr>
        <w:spacing w:after="240"/>
        <w:jc w:val="center"/>
      </w:pPr>
      <w:r>
        <w:rPr>
          <w:i/>
          <w:iCs/>
          <w:color w:val="595959"/>
          <w:sz w:val="17"/>
          <w:szCs w:val="17"/>
        </w:rPr>
        <w:t xml:space="preserve">Quadro 7 — Escopo previsto para a Fase 2.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Referências</w:t>
      </w:r>
    </w:p>
    <w:p>
      <w:pPr>
        <w:spacing w:after="140" w:line="276"/>
        <w:jc w:val="left"/>
      </w:pPr>
      <w:r>
        <w:t xml:space="preserve">AMAZON WEB SERVICES. Documentação da AWS. Disponível em: docs.aws.amazon.com. Acesso em: ago. 2026.</w:t>
      </w:r>
    </w:p>
    <w:p>
      <w:pPr>
        <w:spacing w:after="140" w:line="276"/>
        <w:jc w:val="left"/>
      </w:pPr>
      <w:r>
        <w:t xml:space="preserve">FOWLER, Martin. Continuous Integration. Disponível em: martinfowler.com/articles/continuousIntegration.html. Acesso em: ago. 2026.</w:t>
      </w:r>
    </w:p>
    <w:p>
      <w:pPr>
        <w:spacing w:after="140" w:line="276"/>
        <w:jc w:val="left"/>
      </w:pPr>
      <w:r>
        <w:t xml:space="preserve">GITHUB. GitHub Actions Documentation. Disponível em: docs.github.com/actions. Acesso em: ago. 2026.</w:t>
      </w:r>
    </w:p>
    <w:p>
      <w:pPr>
        <w:spacing w:after="140" w:line="276"/>
        <w:jc w:val="left"/>
      </w:pPr>
      <w:r>
        <w:t xml:space="preserve">HASHICORP. Terraform Documentation. Disponível em: developer.hashicorp.com/terraform/docs. Acesso em: ago. 2026.</w:t>
      </w:r>
    </w:p>
    <w:p>
      <w:pPr>
        <w:spacing w:after="140" w:line="276"/>
        <w:jc w:val="left"/>
      </w:pPr>
      <w:r>
        <w:t xml:space="preserve">HUMBLE, Jez; FARLEY, David. Entrega contínua: como entregar software de forma rápida e confiável. Porto Alegre: Bookman, 2014.</w:t>
      </w:r>
    </w:p>
    <w:p>
      <w:pPr>
        <w:spacing w:after="140" w:line="276"/>
        <w:jc w:val="left"/>
      </w:pPr>
      <w:r>
        <w:t xml:space="preserve">KIM, Gene; DEBOIS, Patrick; WILLIS, John; HUMBLE, Jez. Manual de DevOps. Rio de Janeiro: Alta Books, 2018.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Calibri" w:cs="Calibri" w:eastAsia="Calibri" w:hAnsi="Calibri"/>
      <w:b/>
      <w:bCs/>
      <w:color w:val="1D4E8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80"/>
    </w:pPr>
    <w:rPr>
      <w:rFonts w:ascii="Calibri" w:cs="Calibri" w:eastAsia="Calibri" w:hAnsi="Calibri"/>
      <w:b/>
      <w:bCs/>
      <w:color w:val="2E5F8A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de Planejamento — Fase 1</dc:title>
  <dc:creator>PetHub — Fase 1</dc:creator>
  <cp:lastModifiedBy>Un-named</cp:lastModifiedBy>
  <cp:revision>1</cp:revision>
  <dcterms:created xsi:type="dcterms:W3CDTF">2026-08-10T14:53:44.806Z</dcterms:created>
  <dcterms:modified xsi:type="dcterms:W3CDTF">2026-08-10T14:53:44.807Z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