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Combined Analysis Plan - 2/17 Notes and Prof. Jinglu Analysis Plan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 1: Effectiveness of discharge/care-transition interventions on 30-day readmission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Treatments:</w:t>
      </w:r>
      <w:r w:rsidDel="00000000" w:rsidR="00000000" w:rsidRPr="00000000">
        <w:rPr>
          <w:rtl w:val="0"/>
        </w:rPr>
        <w:t xml:space="preserve"> AnchorStayMedsPriorToDC, </w:t>
      </w:r>
      <w:r w:rsidDel="00000000" w:rsidR="00000000" w:rsidRPr="00000000">
        <w:rPr>
          <w:highlight w:val="yellow"/>
          <w:rtl w:val="0"/>
        </w:rPr>
        <w:t xml:space="preserve">AnchorStayTOCConsult</w:t>
      </w:r>
      <w:r w:rsidDel="00000000" w:rsidR="00000000" w:rsidRPr="00000000">
        <w:rPr>
          <w:rtl w:val="0"/>
        </w:rPr>
        <w:t xml:space="preserve">, TCMVisitDate (or “TCM within X days”), TCMClinicianType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AnchorStayTOCConsult will be our main interaction term for this research question and the rest of the model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Variable: </w:t>
      </w:r>
      <w:r w:rsidDel="00000000" w:rsidR="00000000" w:rsidRPr="00000000">
        <w:rPr>
          <w:rtl w:val="0"/>
        </w:rPr>
        <w:t xml:space="preserve">30DayReadmissionFlag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are expecting/want to see: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AnchorStayMedsPriorToDC=1 → lower 30-day readmission odds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AnchorStayTOCConsult → lower 30-day readmission odds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TCM by Physician vs APP differs in the association with readmission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 2: Heterogeneous effectiveness (who benefits most from these types of programs)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Moderators: </w:t>
      </w:r>
      <w:r w:rsidDel="00000000" w:rsidR="00000000" w:rsidRPr="00000000">
        <w:rPr>
          <w:rtl w:val="0"/>
        </w:rPr>
        <w:t xml:space="preserve">various socio-demographic and risk factors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we expecting/want to see: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Effects are stronger for higher risk patients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Risk is referring to readmission risk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Effects will differ across MDCCategory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Major disease category is the primary reason for the index stay hospitalization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Prep and Feature Engineering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Change column names to be consistent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Time Windows for TCM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TCM_7d, TCM_10d, TCM_14d, and TCM_30d variables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Stratify/encode MDCCategory as a factor and AgeGroup as an ordered factor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PN = 1, HF = 2, etc.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Ordering age group so that 18-39 &lt; 40-49 &lt; 50-59 &lt; 60-69 &lt; 70-79 &lt; 80+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Composite “Transition Bundle”  exposure (TOC_bundle = MedsPriorToDC + TOCConsult + TCM_7d)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do 10d and 14d if we have time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Missingness Rules: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DaysBetweenDCAndReadmission is </w:t>
      </w:r>
      <w:r w:rsidDel="00000000" w:rsidR="00000000" w:rsidRPr="00000000">
        <w:rPr>
          <w:u w:val="single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when no hospitalization occurs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 not credit to the person, instead censor the cases where there is no readmission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Blank TCMVisitDate = </w:t>
      </w:r>
      <w:r w:rsidDel="00000000" w:rsidR="00000000" w:rsidRPr="00000000">
        <w:rPr>
          <w:u w:val="single"/>
          <w:rtl w:val="0"/>
        </w:rPr>
        <w:t xml:space="preserve">no observed TCM</w:t>
      </w:r>
      <w:r w:rsidDel="00000000" w:rsidR="00000000" w:rsidRPr="00000000">
        <w:rPr>
          <w:rtl w:val="0"/>
        </w:rPr>
        <w:t xml:space="preserve"> at UHS or at all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 the main models, run this as “no TCM recorded and then run the given sensitivity analysis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Descriptive and Balance Diagnostics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Readmission rate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MDCCategory, ReadmissionRiskCategory, AgeGroup, Social Determinants of Health (SODH, last columns in the dataset)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 Prevalence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much do these treatments affect the readmission rate and diagnostics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Meds, Consult, TCM (given in research question 1)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“Balance” Checks: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Compare “risk” score (aka risk value) and SDOH prevalence between treated patiends and untreated patients in the above categories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Standardise mean difference pre-and post-weighting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difference in means between two groups of units of standard deviation, usually (X1 - X2) / (Pooled Standard Deviation) </w:t>
      </w:r>
    </w:p>
    <w:p w:rsidR="00000000" w:rsidDel="00000000" w:rsidP="00000000" w:rsidRDefault="00000000" w:rsidRPr="00000000" w14:paraId="0000002F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0 means no difference in the means</w:t>
      </w:r>
    </w:p>
    <w:p w:rsidR="00000000" w:rsidDel="00000000" w:rsidP="00000000" w:rsidRDefault="00000000" w:rsidRPr="00000000" w14:paraId="00000030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 - covaraite differences in raw data (usually high</w:t>
      </w:r>
    </w:p>
    <w:p w:rsidR="00000000" w:rsidDel="00000000" w:rsidP="00000000" w:rsidRDefault="00000000" w:rsidRPr="00000000" w14:paraId="00000031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Post - want to see a significant reduction in the SMD</w:t>
      </w:r>
    </w:p>
    <w:p w:rsidR="00000000" w:rsidDel="00000000" w:rsidP="00000000" w:rsidRDefault="00000000" w:rsidRPr="00000000" w14:paraId="00000032">
      <w:pPr>
        <w:numPr>
          <w:ilvl w:val="3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Will be a range between 0-1, want to see &lt; 0.1 for good covariate balance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Ex. age in years and blood pressure in mmHg</w:t>
      </w:r>
    </w:p>
    <w:p w:rsidR="00000000" w:rsidDel="00000000" w:rsidP="00000000" w:rsidRDefault="00000000" w:rsidRPr="00000000" w14:paraId="0000003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Deliverable 1: Descriptive Statistics table (overall + by treatment)</w:t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Analysis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Primary Model - 30-Day readmission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a logit model with controls and matching to answer the following question: Among otherwise similar patients, do the patients that received the intervention have different outcomes than the patients that did not receive intervention?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logit(P(Readmit30 = 1)) = \beta0 + meds + TOCConsult + TCM7d + f(RiskScore) + MDC + Covariates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f(Risk Score) → Function of Patient risk score, generated in step 2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→ MDCCategory (why were they admitted to the hospital)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16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Covariates</w:t>
      </w:r>
    </w:p>
    <w:p w:rsidR="00000000" w:rsidDel="00000000" w:rsidP="00000000" w:rsidRDefault="00000000" w:rsidRPr="00000000" w14:paraId="00000042">
      <w:pPr>
        <w:spacing w:after="160" w:line="259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Recommended Covariate Set: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="259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Health behaviors (smokingstatus, tobacco and alcohol use)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16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SDOH Flags</w:t>
      </w:r>
    </w:p>
    <w:p w:rsidR="00000000" w:rsidDel="00000000" w:rsidP="00000000" w:rsidRDefault="00000000" w:rsidRPr="00000000" w14:paraId="00000046">
      <w:pPr>
        <w:spacing w:after="160" w:line="259" w:lineRule="auto"/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robust standard errors cluster at the patient level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line="259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address the within subject correlation (multiple measurements per patient)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line="259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not change point estimates but adjusts the standard errors instead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line="259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Expect to see wider confidence intervals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Report Marginal effects (AME) alongside odds ratios for interpretability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line="259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Risk insights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line="259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Average percentage point change in outcome per unit change in a predictor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160" w:line="259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→ Relative odds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Treatment Bundle and Dose Response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Replace separate interventions with TOC_Bundle (0-3):</w:t>
      </w:r>
    </w:p>
    <w:p w:rsidR="00000000" w:rsidDel="00000000" w:rsidP="00000000" w:rsidRDefault="00000000" w:rsidRPr="00000000" w14:paraId="00000053">
      <w:pPr>
        <w:spacing w:after="160" w:line="259" w:lineRule="auto"/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logit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Readmit30=1</m:t>
                </m:r>
              </m:e>
            </m:d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​+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1​βk​1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bundle=k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+controls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Tests additive benefit of multi-commponent transitions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Herogeneity and Moderation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Add interactions to the model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TCM7d × ReadmissionRiskValue (or risk category)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TOCConsult × HealthLiteracy (or Transportation Needs)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TCM7d × MDCCategory (selective, avoid overfitting)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will take lots of trial and error to create helpful interactions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Tasks Before Mid-March: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Strings need to be encoded into category numbers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Z-score, log transformation, etc.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Change up the Column names to be consistent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Percentile changes (remove extreme values)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Encode AgeGroup, MDCCAtegory, MaritalStatus, SmokingStatus, SexualOrientation (maybe)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