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EC159" w14:textId="77777777" w:rsidR="0065794E" w:rsidRPr="0065794E" w:rsidRDefault="0065794E" w:rsidP="0065794E">
      <w:pPr>
        <w:widowControl w:val="0"/>
        <w:autoSpaceDE w:val="0"/>
        <w:autoSpaceDN w:val="0"/>
        <w:adjustRightInd w:val="0"/>
        <w:jc w:val="center"/>
        <w:rPr>
          <w:rFonts w:ascii="Times New Roman" w:hAnsi="Times New Roman" w:cs="Times New Roman"/>
          <w:b/>
          <w:color w:val="1A1A1A"/>
          <w:sz w:val="20"/>
          <w:szCs w:val="20"/>
        </w:rPr>
      </w:pPr>
      <w:r w:rsidRPr="0065794E">
        <w:rPr>
          <w:rFonts w:ascii="Times New Roman" w:hAnsi="Times New Roman" w:cs="Times New Roman"/>
          <w:b/>
          <w:color w:val="1A1A1A"/>
          <w:sz w:val="20"/>
          <w:szCs w:val="20"/>
        </w:rPr>
        <w:t>Droit Pénal des Affaires – Fiches de lectures</w:t>
      </w:r>
    </w:p>
    <w:p w14:paraId="20EC6FA4" w14:textId="77777777" w:rsidR="0065794E" w:rsidRPr="0065794E" w:rsidRDefault="0065794E" w:rsidP="0065794E">
      <w:pPr>
        <w:widowControl w:val="0"/>
        <w:autoSpaceDE w:val="0"/>
        <w:autoSpaceDN w:val="0"/>
        <w:adjustRightInd w:val="0"/>
        <w:rPr>
          <w:rFonts w:ascii="Times New Roman" w:hAnsi="Times New Roman" w:cs="Times New Roman"/>
          <w:color w:val="1A1A1A"/>
          <w:sz w:val="20"/>
          <w:szCs w:val="20"/>
        </w:rPr>
      </w:pPr>
    </w:p>
    <w:p w14:paraId="2983A73E" w14:textId="77777777" w:rsidR="0065794E" w:rsidRPr="0065794E" w:rsidRDefault="0065794E" w:rsidP="0065794E">
      <w:pPr>
        <w:widowControl w:val="0"/>
        <w:autoSpaceDE w:val="0"/>
        <w:autoSpaceDN w:val="0"/>
        <w:adjustRightInd w:val="0"/>
        <w:rPr>
          <w:rFonts w:ascii="Times New Roman" w:hAnsi="Times New Roman" w:cs="Times New Roman"/>
          <w:b/>
          <w:color w:val="1A1A1A"/>
          <w:sz w:val="20"/>
          <w:szCs w:val="20"/>
          <w:u w:val="single"/>
        </w:rPr>
      </w:pPr>
    </w:p>
    <w:p w14:paraId="3AB3C5FF" w14:textId="77777777" w:rsidR="0083455D" w:rsidRPr="0065794E" w:rsidRDefault="0083455D" w:rsidP="0065794E">
      <w:pPr>
        <w:pStyle w:val="ListParagraph"/>
        <w:widowControl w:val="0"/>
        <w:numPr>
          <w:ilvl w:val="0"/>
          <w:numId w:val="1"/>
        </w:numPr>
        <w:autoSpaceDE w:val="0"/>
        <w:autoSpaceDN w:val="0"/>
        <w:adjustRightInd w:val="0"/>
        <w:rPr>
          <w:rFonts w:ascii="Times New Roman" w:hAnsi="Times New Roman" w:cs="Times New Roman"/>
          <w:b/>
          <w:color w:val="1A1A1A"/>
          <w:sz w:val="20"/>
          <w:szCs w:val="20"/>
          <w:u w:val="single"/>
        </w:rPr>
      </w:pPr>
      <w:r w:rsidRPr="0065794E">
        <w:rPr>
          <w:rFonts w:ascii="Times New Roman" w:hAnsi="Times New Roman" w:cs="Times New Roman"/>
          <w:b/>
          <w:color w:val="1A1A1A"/>
          <w:sz w:val="20"/>
          <w:szCs w:val="20"/>
          <w:u w:val="single"/>
        </w:rPr>
        <w:t>M. Yves Guyon intitulé « </w:t>
      </w:r>
      <w:r w:rsidRPr="0065794E">
        <w:rPr>
          <w:rFonts w:ascii="Times New Roman" w:hAnsi="Times New Roman" w:cs="Times New Roman"/>
          <w:b/>
          <w:i/>
          <w:iCs/>
          <w:color w:val="1A1A1A"/>
          <w:sz w:val="20"/>
          <w:szCs w:val="20"/>
          <w:u w:val="single"/>
        </w:rPr>
        <w:t>De l’inefficacité du droit pénal des affaires</w:t>
      </w:r>
      <w:r w:rsidRPr="0065794E">
        <w:rPr>
          <w:rFonts w:ascii="Times New Roman" w:hAnsi="Times New Roman" w:cs="Times New Roman"/>
          <w:b/>
          <w:color w:val="1A1A1A"/>
          <w:sz w:val="20"/>
          <w:szCs w:val="20"/>
          <w:u w:val="single"/>
        </w:rPr>
        <w:t> ».</w:t>
      </w:r>
    </w:p>
    <w:p w14:paraId="1DBFA4A0" w14:textId="77777777" w:rsidR="0065794E" w:rsidRPr="0065794E" w:rsidRDefault="0065794E" w:rsidP="0065794E">
      <w:pPr>
        <w:pStyle w:val="ListParagraph"/>
        <w:widowControl w:val="0"/>
        <w:autoSpaceDE w:val="0"/>
        <w:autoSpaceDN w:val="0"/>
        <w:adjustRightInd w:val="0"/>
        <w:rPr>
          <w:rFonts w:ascii="Times New Roman" w:hAnsi="Times New Roman" w:cs="Times New Roman"/>
          <w:color w:val="1A1A1A"/>
          <w:sz w:val="20"/>
          <w:szCs w:val="20"/>
        </w:rPr>
      </w:pPr>
    </w:p>
    <w:p w14:paraId="5C1B518F" w14:textId="77777777" w:rsidR="0083455D" w:rsidRDefault="0065794E" w:rsidP="0083455D">
      <w:pPr>
        <w:rPr>
          <w:rFonts w:ascii="Times New Roman" w:hAnsi="Times New Roman" w:cs="Times New Roman"/>
          <w:color w:val="1A1A1A"/>
          <w:sz w:val="20"/>
          <w:szCs w:val="20"/>
        </w:rPr>
      </w:pPr>
      <w:r w:rsidRPr="0065794E">
        <w:rPr>
          <w:rFonts w:ascii="Times New Roman" w:hAnsi="Times New Roman" w:cs="Times New Roman"/>
          <w:color w:val="1A1A1A"/>
          <w:sz w:val="20"/>
          <w:szCs w:val="20"/>
        </w:rPr>
        <w:t>Date de</w:t>
      </w:r>
      <w:r w:rsidR="0083455D" w:rsidRPr="0065794E">
        <w:rPr>
          <w:rFonts w:ascii="Times New Roman" w:hAnsi="Times New Roman" w:cs="Times New Roman"/>
          <w:color w:val="1A1A1A"/>
          <w:sz w:val="20"/>
          <w:szCs w:val="20"/>
        </w:rPr>
        <w:t xml:space="preserve"> 1990 mais permet de mesurer la distance parcourue entre 1990 et aujourd’hui.</w:t>
      </w:r>
    </w:p>
    <w:p w14:paraId="1F14C713" w14:textId="77777777" w:rsidR="00C05512" w:rsidRDefault="00C05512" w:rsidP="0083455D">
      <w:pPr>
        <w:rPr>
          <w:rFonts w:ascii="Times New Roman" w:hAnsi="Times New Roman" w:cs="Times New Roman"/>
          <w:color w:val="1A1A1A"/>
          <w:sz w:val="20"/>
          <w:szCs w:val="20"/>
        </w:rPr>
      </w:pPr>
    </w:p>
    <w:p w14:paraId="7B25DB7F" w14:textId="77777777" w:rsidR="00C05512" w:rsidRPr="0065794E" w:rsidRDefault="00C05512" w:rsidP="0083455D">
      <w:pPr>
        <w:rPr>
          <w:rFonts w:ascii="Times New Roman" w:hAnsi="Times New Roman" w:cs="Times New Roman"/>
          <w:color w:val="1A1A1A"/>
          <w:sz w:val="20"/>
          <w:szCs w:val="20"/>
        </w:rPr>
      </w:pPr>
    </w:p>
    <w:p w14:paraId="76628ECB" w14:textId="77777777" w:rsidR="0065794E" w:rsidRPr="0065794E" w:rsidRDefault="0065794E">
      <w:pPr>
        <w:rPr>
          <w:rFonts w:ascii="Times New Roman" w:hAnsi="Times New Roman" w:cs="Times New Roman"/>
          <w:color w:val="1A1A1A"/>
          <w:sz w:val="20"/>
          <w:szCs w:val="20"/>
        </w:rPr>
      </w:pPr>
    </w:p>
    <w:p w14:paraId="3E0D0519" w14:textId="77777777" w:rsidR="0065794E" w:rsidRDefault="0083455D" w:rsidP="00C05512">
      <w:pPr>
        <w:pStyle w:val="ListParagraph"/>
        <w:numPr>
          <w:ilvl w:val="0"/>
          <w:numId w:val="1"/>
        </w:numPr>
        <w:rPr>
          <w:rFonts w:ascii="Times New Roman" w:hAnsi="Times New Roman" w:cs="Times New Roman"/>
          <w:b/>
          <w:color w:val="1A1A1A"/>
          <w:sz w:val="20"/>
          <w:szCs w:val="20"/>
          <w:u w:val="single"/>
        </w:rPr>
      </w:pPr>
      <w:r w:rsidRPr="0065794E">
        <w:rPr>
          <w:rFonts w:ascii="Times New Roman" w:hAnsi="Times New Roman" w:cs="Times New Roman"/>
          <w:b/>
          <w:color w:val="1A1A1A"/>
          <w:sz w:val="20"/>
          <w:szCs w:val="20"/>
          <w:u w:val="single"/>
        </w:rPr>
        <w:t>Mireille Delmas-Marty, « </w:t>
      </w:r>
      <w:r w:rsidRPr="0065794E">
        <w:rPr>
          <w:rFonts w:ascii="Times New Roman" w:hAnsi="Times New Roman" w:cs="Times New Roman"/>
          <w:b/>
          <w:i/>
          <w:iCs/>
          <w:color w:val="1A1A1A"/>
          <w:sz w:val="20"/>
          <w:szCs w:val="20"/>
          <w:u w:val="single"/>
        </w:rPr>
        <w:t>Pour un vrai procureur européen</w:t>
      </w:r>
      <w:r w:rsidR="0065794E" w:rsidRPr="0065794E">
        <w:rPr>
          <w:rFonts w:ascii="Times New Roman" w:hAnsi="Times New Roman" w:cs="Times New Roman"/>
          <w:b/>
          <w:color w:val="1A1A1A"/>
          <w:sz w:val="20"/>
          <w:szCs w:val="20"/>
          <w:u w:val="single"/>
        </w:rPr>
        <w:t xml:space="preserve"> », </w:t>
      </w:r>
      <w:r w:rsidR="0065794E">
        <w:rPr>
          <w:rFonts w:ascii="Times New Roman" w:hAnsi="Times New Roman" w:cs="Times New Roman"/>
          <w:b/>
          <w:color w:val="1A1A1A"/>
          <w:sz w:val="20"/>
          <w:szCs w:val="20"/>
          <w:u w:val="single"/>
        </w:rPr>
        <w:t xml:space="preserve">28 </w:t>
      </w:r>
      <w:proofErr w:type="spellStart"/>
      <w:r w:rsidR="0065794E">
        <w:rPr>
          <w:rFonts w:ascii="Times New Roman" w:hAnsi="Times New Roman" w:cs="Times New Roman"/>
          <w:b/>
          <w:color w:val="1A1A1A"/>
          <w:sz w:val="20"/>
          <w:szCs w:val="20"/>
          <w:u w:val="single"/>
        </w:rPr>
        <w:t>nov</w:t>
      </w:r>
      <w:proofErr w:type="spellEnd"/>
      <w:r w:rsidR="0065794E">
        <w:rPr>
          <w:rFonts w:ascii="Times New Roman" w:hAnsi="Times New Roman" w:cs="Times New Roman"/>
          <w:b/>
          <w:color w:val="1A1A1A"/>
          <w:sz w:val="20"/>
          <w:szCs w:val="20"/>
          <w:u w:val="single"/>
        </w:rPr>
        <w:t xml:space="preserve"> 2000, Libération</w:t>
      </w:r>
    </w:p>
    <w:p w14:paraId="14895398" w14:textId="77777777" w:rsidR="00C05512" w:rsidRPr="00C05512" w:rsidRDefault="00C05512" w:rsidP="00C05512">
      <w:pPr>
        <w:pStyle w:val="ListParagraph"/>
        <w:rPr>
          <w:rFonts w:ascii="Times New Roman" w:hAnsi="Times New Roman" w:cs="Times New Roman"/>
          <w:b/>
          <w:color w:val="1A1A1A"/>
          <w:sz w:val="20"/>
          <w:szCs w:val="20"/>
          <w:u w:val="single"/>
        </w:rPr>
      </w:pPr>
    </w:p>
    <w:p w14:paraId="7358BAF1" w14:textId="77777777" w:rsidR="0065794E" w:rsidRPr="00C05512" w:rsidRDefault="0065794E" w:rsidP="00C05512">
      <w:pPr>
        <w:pStyle w:val="ListParagraph"/>
        <w:widowControl w:val="0"/>
        <w:numPr>
          <w:ilvl w:val="0"/>
          <w:numId w:val="2"/>
        </w:numPr>
        <w:autoSpaceDE w:val="0"/>
        <w:autoSpaceDN w:val="0"/>
        <w:adjustRightInd w:val="0"/>
        <w:jc w:val="both"/>
        <w:rPr>
          <w:rFonts w:ascii="Times New Roman" w:hAnsi="Times New Roman" w:cs="Times New Roman"/>
          <w:color w:val="1A1A1A"/>
          <w:sz w:val="20"/>
          <w:szCs w:val="20"/>
        </w:rPr>
      </w:pPr>
      <w:r w:rsidRPr="00C05512">
        <w:rPr>
          <w:rFonts w:ascii="Times New Roman" w:hAnsi="Times New Roman" w:cs="Times New Roman"/>
          <w:color w:val="1A1A1A"/>
          <w:sz w:val="20"/>
          <w:szCs w:val="20"/>
        </w:rPr>
        <w:t>Article publié en amont de la conférence de Nice</w:t>
      </w:r>
    </w:p>
    <w:p w14:paraId="2E08AFC1" w14:textId="77777777" w:rsidR="0065794E" w:rsidRDefault="00C05512" w:rsidP="0065794E">
      <w:pPr>
        <w:pStyle w:val="ListParagraph"/>
        <w:widowControl w:val="0"/>
        <w:numPr>
          <w:ilvl w:val="0"/>
          <w:numId w:val="2"/>
        </w:numPr>
        <w:autoSpaceDE w:val="0"/>
        <w:autoSpaceDN w:val="0"/>
        <w:adjustRightInd w:val="0"/>
        <w:jc w:val="both"/>
        <w:rPr>
          <w:rFonts w:ascii="Times New Roman" w:hAnsi="Times New Roman" w:cs="Times New Roman"/>
          <w:color w:val="1A1A1A"/>
          <w:sz w:val="20"/>
          <w:szCs w:val="20"/>
        </w:rPr>
      </w:pPr>
      <w:r w:rsidRPr="00C05512">
        <w:rPr>
          <w:rFonts w:ascii="Times New Roman" w:hAnsi="Times New Roman" w:cs="Times New Roman"/>
          <w:color w:val="1A1A1A"/>
          <w:sz w:val="20"/>
          <w:szCs w:val="20"/>
        </w:rPr>
        <w:t>« </w:t>
      </w:r>
      <w:r w:rsidR="0065794E" w:rsidRPr="00C05512">
        <w:rPr>
          <w:rFonts w:ascii="Times New Roman" w:hAnsi="Times New Roman" w:cs="Times New Roman"/>
          <w:i/>
          <w:color w:val="1A1A1A"/>
          <w:sz w:val="20"/>
          <w:szCs w:val="20"/>
        </w:rPr>
        <w:t xml:space="preserve">La création d’Eurojust facilitera au mieux l’émergence d’une culture judiciaire commune, mais elle ne sera certainement pas suffisante pour garantir des poursuites pénales efficaces et risque d’affaiblir </w:t>
      </w:r>
      <w:r w:rsidRPr="00C05512">
        <w:rPr>
          <w:rFonts w:ascii="Times New Roman" w:hAnsi="Times New Roman" w:cs="Times New Roman"/>
          <w:i/>
          <w:color w:val="1A1A1A"/>
          <w:sz w:val="20"/>
          <w:szCs w:val="20"/>
        </w:rPr>
        <w:t>encore les droits de la défense </w:t>
      </w:r>
      <w:r w:rsidRPr="00C05512">
        <w:rPr>
          <w:rFonts w:ascii="Times New Roman" w:hAnsi="Times New Roman" w:cs="Times New Roman"/>
          <w:color w:val="1A1A1A"/>
          <w:sz w:val="20"/>
          <w:szCs w:val="20"/>
        </w:rPr>
        <w:t>».</w:t>
      </w:r>
    </w:p>
    <w:p w14:paraId="1E4B50DD" w14:textId="77777777" w:rsidR="00C05512" w:rsidRDefault="00C05512" w:rsidP="00C05512">
      <w:pPr>
        <w:pStyle w:val="ListParagraph"/>
        <w:widowControl w:val="0"/>
        <w:numPr>
          <w:ilvl w:val="1"/>
          <w:numId w:val="2"/>
        </w:numPr>
        <w:autoSpaceDE w:val="0"/>
        <w:autoSpaceDN w:val="0"/>
        <w:adjustRightInd w:val="0"/>
        <w:jc w:val="both"/>
        <w:rPr>
          <w:rFonts w:ascii="Times New Roman" w:hAnsi="Times New Roman" w:cs="Times New Roman"/>
          <w:color w:val="1A1A1A"/>
          <w:sz w:val="20"/>
          <w:szCs w:val="20"/>
        </w:rPr>
      </w:pPr>
      <w:r>
        <w:rPr>
          <w:rFonts w:ascii="Times New Roman" w:hAnsi="Times New Roman" w:cs="Times New Roman"/>
          <w:color w:val="1A1A1A"/>
          <w:sz w:val="20"/>
          <w:szCs w:val="20"/>
        </w:rPr>
        <w:t xml:space="preserve">Nécessité de la mise en </w:t>
      </w:r>
      <w:proofErr w:type="spellStart"/>
      <w:r>
        <w:rPr>
          <w:rFonts w:ascii="Times New Roman" w:hAnsi="Times New Roman" w:cs="Times New Roman"/>
          <w:color w:val="1A1A1A"/>
          <w:sz w:val="20"/>
          <w:szCs w:val="20"/>
        </w:rPr>
        <w:t>plca</w:t>
      </w:r>
      <w:proofErr w:type="spellEnd"/>
      <w:r>
        <w:rPr>
          <w:rFonts w:ascii="Times New Roman" w:hAnsi="Times New Roman" w:cs="Times New Roman"/>
          <w:color w:val="1A1A1A"/>
          <w:sz w:val="20"/>
          <w:szCs w:val="20"/>
        </w:rPr>
        <w:t xml:space="preserve"> d’un contre-modèle pour éviter la ploutocratie</w:t>
      </w:r>
    </w:p>
    <w:p w14:paraId="4A69E848" w14:textId="77777777" w:rsidR="00C05512" w:rsidRDefault="00C05512" w:rsidP="00C05512">
      <w:pPr>
        <w:pStyle w:val="ListParagraph"/>
        <w:widowControl w:val="0"/>
        <w:numPr>
          <w:ilvl w:val="2"/>
          <w:numId w:val="2"/>
        </w:numPr>
        <w:autoSpaceDE w:val="0"/>
        <w:autoSpaceDN w:val="0"/>
        <w:adjustRightInd w:val="0"/>
        <w:jc w:val="both"/>
        <w:rPr>
          <w:rFonts w:ascii="Times New Roman" w:hAnsi="Times New Roman" w:cs="Times New Roman"/>
          <w:color w:val="1A1A1A"/>
          <w:sz w:val="20"/>
          <w:szCs w:val="20"/>
        </w:rPr>
      </w:pPr>
      <w:r>
        <w:rPr>
          <w:rFonts w:ascii="Times New Roman" w:hAnsi="Times New Roman" w:cs="Times New Roman"/>
          <w:color w:val="1A1A1A"/>
          <w:sz w:val="20"/>
          <w:szCs w:val="20"/>
        </w:rPr>
        <w:t>Critique d’</w:t>
      </w:r>
      <w:proofErr w:type="spellStart"/>
      <w:r>
        <w:rPr>
          <w:rFonts w:ascii="Times New Roman" w:hAnsi="Times New Roman" w:cs="Times New Roman"/>
          <w:color w:val="1A1A1A"/>
          <w:sz w:val="20"/>
          <w:szCs w:val="20"/>
        </w:rPr>
        <w:t>Eurojuste</w:t>
      </w:r>
      <w:proofErr w:type="spellEnd"/>
      <w:r>
        <w:rPr>
          <w:rFonts w:ascii="Times New Roman" w:hAnsi="Times New Roman" w:cs="Times New Roman"/>
          <w:color w:val="1A1A1A"/>
          <w:sz w:val="20"/>
          <w:szCs w:val="20"/>
        </w:rPr>
        <w:t> : « Eurojust, qui vise à éviter que les autorités des Etats soient « dépossédées de leurs prérogatives, se cantonne une fois de plus dans le domaine intergouvernemental »</w:t>
      </w:r>
    </w:p>
    <w:p w14:paraId="5C00DC42" w14:textId="77777777" w:rsidR="00C05512" w:rsidRPr="00C05512" w:rsidRDefault="00C05512" w:rsidP="00C05512">
      <w:pPr>
        <w:pStyle w:val="ListParagraph"/>
        <w:widowControl w:val="0"/>
        <w:numPr>
          <w:ilvl w:val="0"/>
          <w:numId w:val="2"/>
        </w:numPr>
        <w:autoSpaceDE w:val="0"/>
        <w:autoSpaceDN w:val="0"/>
        <w:adjustRightInd w:val="0"/>
        <w:jc w:val="both"/>
        <w:rPr>
          <w:rFonts w:ascii="Times New Roman" w:hAnsi="Times New Roman" w:cs="Times New Roman"/>
          <w:color w:val="1A1A1A"/>
          <w:sz w:val="20"/>
          <w:szCs w:val="20"/>
        </w:rPr>
      </w:pPr>
      <w:r>
        <w:rPr>
          <w:rFonts w:ascii="Times New Roman" w:hAnsi="Times New Roman" w:cs="Times New Roman"/>
          <w:color w:val="1A1A1A"/>
          <w:sz w:val="20"/>
          <w:szCs w:val="20"/>
        </w:rPr>
        <w:t>Volonté de préserver les apparences de la souveraineté : risque d’apparition d’un modèle hégémonique : ploutocratie de l’Etat le « plus puissant »</w:t>
      </w:r>
    </w:p>
    <w:p w14:paraId="280EC278" w14:textId="77777777" w:rsidR="0065794E" w:rsidRDefault="0065794E" w:rsidP="00C05512">
      <w:pPr>
        <w:widowControl w:val="0"/>
        <w:autoSpaceDE w:val="0"/>
        <w:autoSpaceDN w:val="0"/>
        <w:adjustRightInd w:val="0"/>
        <w:jc w:val="both"/>
        <w:rPr>
          <w:rFonts w:ascii="Times New Roman" w:hAnsi="Times New Roman" w:cs="Times New Roman"/>
          <w:color w:val="1A1A1A"/>
          <w:sz w:val="20"/>
          <w:szCs w:val="20"/>
        </w:rPr>
      </w:pPr>
    </w:p>
    <w:p w14:paraId="59473E0C" w14:textId="77777777" w:rsidR="003949F9" w:rsidRPr="003949F9" w:rsidRDefault="003949F9" w:rsidP="003949F9">
      <w:pPr>
        <w:pStyle w:val="ListParagraph"/>
        <w:widowControl w:val="0"/>
        <w:numPr>
          <w:ilvl w:val="0"/>
          <w:numId w:val="3"/>
        </w:numPr>
        <w:autoSpaceDE w:val="0"/>
        <w:autoSpaceDN w:val="0"/>
        <w:adjustRightInd w:val="0"/>
        <w:jc w:val="both"/>
        <w:rPr>
          <w:rFonts w:ascii="Times New Roman" w:hAnsi="Times New Roman" w:cs="Times New Roman"/>
          <w:color w:val="1A1A1A"/>
          <w:sz w:val="20"/>
          <w:szCs w:val="20"/>
        </w:rPr>
      </w:pPr>
      <w:proofErr w:type="gramStart"/>
      <w:r w:rsidRPr="003949F9">
        <w:rPr>
          <w:rFonts w:ascii="Times New Roman" w:hAnsi="Times New Roman" w:cs="Times New Roman"/>
          <w:color w:val="1A1A1A"/>
          <w:sz w:val="20"/>
          <w:szCs w:val="20"/>
        </w:rPr>
        <w:t>insiste</w:t>
      </w:r>
      <w:proofErr w:type="gramEnd"/>
      <w:r w:rsidRPr="003949F9">
        <w:rPr>
          <w:rFonts w:ascii="Times New Roman" w:hAnsi="Times New Roman" w:cs="Times New Roman"/>
          <w:color w:val="1A1A1A"/>
          <w:sz w:val="20"/>
          <w:szCs w:val="20"/>
        </w:rPr>
        <w:t xml:space="preserve"> sur l’aspect réglementaire de la lutte contre la criminalité, notamment économique</w:t>
      </w:r>
    </w:p>
    <w:p w14:paraId="1D244501" w14:textId="77777777" w:rsid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p>
    <w:p w14:paraId="1377E765" w14:textId="77777777" w:rsid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r w:rsidRPr="00C05512">
        <w:rPr>
          <w:rFonts w:ascii="Times New Roman" w:hAnsi="Times New Roman" w:cs="Times New Roman"/>
          <w:b/>
          <w:color w:val="1A1A1A"/>
          <w:sz w:val="20"/>
          <w:szCs w:val="20"/>
        </w:rPr>
        <w:t>Eléments complémentaires </w:t>
      </w:r>
      <w:r>
        <w:rPr>
          <w:rFonts w:ascii="Times New Roman" w:hAnsi="Times New Roman" w:cs="Times New Roman"/>
          <w:color w:val="1A1A1A"/>
          <w:sz w:val="20"/>
          <w:szCs w:val="20"/>
        </w:rPr>
        <w:t>:</w:t>
      </w:r>
    </w:p>
    <w:p w14:paraId="79F4D1B9" w14:textId="77777777" w:rsid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p>
    <w:p w14:paraId="401EA3B6" w14:textId="77777777" w:rsidR="0065794E" w:rsidRP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r w:rsidRPr="0065794E">
        <w:rPr>
          <w:rFonts w:ascii="Times New Roman" w:hAnsi="Times New Roman" w:cs="Times New Roman"/>
          <w:color w:val="1A1A1A"/>
          <w:sz w:val="20"/>
          <w:szCs w:val="20"/>
        </w:rPr>
        <w:t xml:space="preserve">Eurojust: Eurojust a été instituée par la décision du Conseil </w:t>
      </w:r>
      <w:hyperlink r:id="rId6" w:history="1">
        <w:r w:rsidRPr="0065794E">
          <w:rPr>
            <w:rFonts w:ascii="Times New Roman" w:hAnsi="Times New Roman" w:cs="Times New Roman"/>
            <w:color w:val="1A1A1A"/>
            <w:sz w:val="20"/>
            <w:szCs w:val="20"/>
          </w:rPr>
          <w:t>2002/187/JHA</w:t>
        </w:r>
      </w:hyperlink>
      <w:r w:rsidRPr="0065794E">
        <w:rPr>
          <w:rFonts w:ascii="Times New Roman" w:hAnsi="Times New Roman" w:cs="Times New Roman"/>
          <w:color w:val="1A1A1A"/>
          <w:sz w:val="20"/>
          <w:szCs w:val="20"/>
        </w:rPr>
        <w:t xml:space="preserve">, amendée par la décision du Conseil </w:t>
      </w:r>
      <w:hyperlink r:id="rId7" w:history="1">
        <w:r w:rsidRPr="0065794E">
          <w:rPr>
            <w:rFonts w:ascii="Times New Roman" w:hAnsi="Times New Roman" w:cs="Times New Roman"/>
            <w:color w:val="1A1A1A"/>
            <w:sz w:val="20"/>
            <w:szCs w:val="20"/>
          </w:rPr>
          <w:t>2009/426/JHA</w:t>
        </w:r>
      </w:hyperlink>
      <w:r w:rsidRPr="0065794E">
        <w:rPr>
          <w:rFonts w:ascii="Times New Roman" w:hAnsi="Times New Roman" w:cs="Times New Roman"/>
          <w:color w:val="1A1A1A"/>
          <w:sz w:val="20"/>
          <w:szCs w:val="20"/>
        </w:rPr>
        <w:t xml:space="preserve"> du 16 décembre 2008.</w:t>
      </w:r>
    </w:p>
    <w:p w14:paraId="727B608B" w14:textId="77777777" w:rsidR="0065794E" w:rsidRP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p>
    <w:p w14:paraId="0233B620" w14:textId="77777777" w:rsidR="0065794E" w:rsidRPr="0065794E" w:rsidRDefault="0065794E" w:rsidP="0065794E">
      <w:pPr>
        <w:widowControl w:val="0"/>
        <w:autoSpaceDE w:val="0"/>
        <w:autoSpaceDN w:val="0"/>
        <w:adjustRightInd w:val="0"/>
        <w:ind w:left="1134"/>
        <w:jc w:val="both"/>
        <w:rPr>
          <w:rFonts w:ascii="Times New Roman" w:hAnsi="Times New Roman" w:cs="Times New Roman"/>
          <w:color w:val="1A1A1A"/>
          <w:sz w:val="20"/>
          <w:szCs w:val="20"/>
        </w:rPr>
      </w:pPr>
      <w:r w:rsidRPr="0065794E">
        <w:rPr>
          <w:rFonts w:ascii="Times New Roman" w:hAnsi="Times New Roman" w:cs="Times New Roman"/>
          <w:color w:val="1A1A1A"/>
          <w:sz w:val="20"/>
          <w:szCs w:val="20"/>
        </w:rPr>
        <w:t>La mission d’Eurojust consiste à renforcer l’efficacité des autorités nationales chargées des enquêtes et des poursuites dans les dossiers de criminalité transfrontalière grave et de criminalité organisée et de traduire les criminels en justice de façon rapide et efficace. Eurojust a pour ambition de devenir un acteur clé et un centre d’expertise au niveau judiciaire pour lutter efficacement contre la criminalité organisée transfrontalière dans l'Union européenne.</w:t>
      </w:r>
    </w:p>
    <w:p w14:paraId="14DEA665" w14:textId="77777777" w:rsidR="0065794E" w:rsidRPr="0065794E" w:rsidRDefault="0065794E" w:rsidP="0065794E">
      <w:pPr>
        <w:ind w:left="1134"/>
        <w:jc w:val="both"/>
        <w:rPr>
          <w:rFonts w:ascii="Times New Roman" w:hAnsi="Times New Roman" w:cs="Times New Roman"/>
          <w:color w:val="1A1A1A"/>
          <w:sz w:val="20"/>
          <w:szCs w:val="20"/>
        </w:rPr>
      </w:pPr>
      <w:r w:rsidRPr="0065794E">
        <w:rPr>
          <w:rFonts w:ascii="Times New Roman" w:hAnsi="Times New Roman" w:cs="Times New Roman"/>
          <w:color w:val="1A1A1A"/>
          <w:sz w:val="20"/>
          <w:szCs w:val="20"/>
        </w:rPr>
        <w:t>Fondée en 2002, Eurojust a pour mission de promouvoir et renforcer la coordination et la coopération entre les autorités nationales dans la lutte contre la criminalité transfrontalière grave engagée dans l’Union européenne. Chacun des 28 Etats membres a détaché un représentant dans les locaux d’Eurojust, situés à La Haye. Ces représentants sont des procureurs, des juges expérimentés ou des officiers de police de compétence équivalente. Ils remplissent ensemble le mandat d’Eurojust afin de coordonner les autorités nationales à chacune des étapes d’une enquête criminelle ou de poursuites judiciaires, et résolvent également les difficultés et problèmes pratiques générés par les divergences entre les systèmes juridiques des différents Etats membres. Les membres nationaux sont secondés par des adjoints, des assistants et des experts nationaux détachés par les États membres. Lorsqu’un accord de coopération a été conclu entre Eurojust et un État tiers, des magistrats de liaison de cet État peuvent travailler dans les locaux d’Eurojust. Actuellement, Eurojust accueille des magistrats de liaison détachés par la Norvège et les Etats-Unis. Une récente décision européenne prévoit également le détachement de magistrats de liaison par Eurojust dans les États tiers. En outre, Eurojust abrite les secrétariats du Réseau Judiciaire Européen (EJN), du Réseau des points de contact traitant de génocide, de crimes contre l’humanité et de crimes de guerre, et du Réseau des Équipes Communes d’Enquête (</w:t>
      </w:r>
      <w:proofErr w:type="spellStart"/>
      <w:r w:rsidRPr="0065794E">
        <w:rPr>
          <w:rFonts w:ascii="Times New Roman" w:hAnsi="Times New Roman" w:cs="Times New Roman"/>
          <w:color w:val="1A1A1A"/>
          <w:sz w:val="20"/>
          <w:szCs w:val="20"/>
        </w:rPr>
        <w:t>JITs</w:t>
      </w:r>
      <w:proofErr w:type="spellEnd"/>
      <w:r w:rsidRPr="0065794E">
        <w:rPr>
          <w:rFonts w:ascii="Times New Roman" w:hAnsi="Times New Roman" w:cs="Times New Roman"/>
          <w:color w:val="1A1A1A"/>
          <w:sz w:val="20"/>
          <w:szCs w:val="20"/>
        </w:rPr>
        <w:t>). Eurojust s’appuie sur quelque 200 collaborateurs qui veillent à répondre dans les meilleurs délais aux demandes d’assistance émanant des autorités nationales et d’autres organes européens.</w:t>
      </w:r>
    </w:p>
    <w:p w14:paraId="3CA23015" w14:textId="77777777" w:rsidR="0065794E" w:rsidRPr="0065794E" w:rsidRDefault="0065794E" w:rsidP="0065794E">
      <w:pPr>
        <w:rPr>
          <w:rFonts w:ascii="Times New Roman" w:hAnsi="Times New Roman" w:cs="Times New Roman"/>
          <w:color w:val="1A1A1A"/>
          <w:sz w:val="20"/>
          <w:szCs w:val="20"/>
        </w:rPr>
      </w:pPr>
    </w:p>
    <w:p w14:paraId="351B79BC" w14:textId="77777777" w:rsidR="0065794E" w:rsidRDefault="0065794E" w:rsidP="0065794E">
      <w:pPr>
        <w:rPr>
          <w:rFonts w:ascii="Times New Roman" w:hAnsi="Times New Roman" w:cs="Times New Roman"/>
          <w:color w:val="1A1A1A"/>
          <w:sz w:val="20"/>
          <w:szCs w:val="20"/>
        </w:rPr>
      </w:pPr>
    </w:p>
    <w:p w14:paraId="7A19EE8B" w14:textId="77777777" w:rsidR="00C05512" w:rsidRPr="0065794E" w:rsidRDefault="00C05512" w:rsidP="0065794E">
      <w:pPr>
        <w:rPr>
          <w:rFonts w:ascii="Times New Roman" w:hAnsi="Times New Roman" w:cs="Times New Roman"/>
          <w:color w:val="1A1A1A"/>
          <w:sz w:val="20"/>
          <w:szCs w:val="20"/>
        </w:rPr>
      </w:pPr>
    </w:p>
    <w:p w14:paraId="4FE1551D" w14:textId="77777777" w:rsidR="0083455D" w:rsidRPr="0065794E" w:rsidRDefault="0083455D" w:rsidP="0065794E">
      <w:pPr>
        <w:pStyle w:val="ListParagraph"/>
        <w:numPr>
          <w:ilvl w:val="0"/>
          <w:numId w:val="1"/>
        </w:numPr>
        <w:rPr>
          <w:rFonts w:ascii="Times New Roman" w:hAnsi="Times New Roman" w:cs="Times New Roman"/>
          <w:b/>
          <w:color w:val="1A1A1A"/>
          <w:sz w:val="20"/>
          <w:szCs w:val="20"/>
          <w:u w:val="single"/>
        </w:rPr>
      </w:pPr>
      <w:r w:rsidRPr="0065794E">
        <w:rPr>
          <w:rFonts w:ascii="Times New Roman" w:hAnsi="Times New Roman" w:cs="Times New Roman"/>
          <w:b/>
          <w:color w:val="1A1A1A"/>
          <w:sz w:val="20"/>
          <w:szCs w:val="20"/>
          <w:u w:val="single"/>
        </w:rPr>
        <w:t>Marie-Anne Frison-Roche, « </w:t>
      </w:r>
      <w:r w:rsidRPr="0065794E">
        <w:rPr>
          <w:rFonts w:ascii="Times New Roman" w:hAnsi="Times New Roman" w:cs="Times New Roman"/>
          <w:b/>
          <w:i/>
          <w:iCs/>
          <w:color w:val="1A1A1A"/>
          <w:sz w:val="20"/>
          <w:szCs w:val="20"/>
          <w:u w:val="single"/>
        </w:rPr>
        <w:t>Régulation et règlement des différends : présentation du thème et synthèse du 10</w:t>
      </w:r>
      <w:r w:rsidRPr="0065794E">
        <w:rPr>
          <w:rFonts w:ascii="Times New Roman" w:hAnsi="Times New Roman" w:cs="Times New Roman"/>
          <w:b/>
          <w:i/>
          <w:iCs/>
          <w:color w:val="1A1A1A"/>
          <w:sz w:val="20"/>
          <w:szCs w:val="20"/>
          <w:u w:val="single"/>
          <w:vertAlign w:val="superscript"/>
        </w:rPr>
        <w:t>e</w:t>
      </w:r>
      <w:r w:rsidRPr="0065794E">
        <w:rPr>
          <w:rFonts w:ascii="Times New Roman" w:hAnsi="Times New Roman" w:cs="Times New Roman"/>
          <w:b/>
          <w:i/>
          <w:iCs/>
          <w:color w:val="1A1A1A"/>
          <w:sz w:val="20"/>
          <w:szCs w:val="20"/>
          <w:u w:val="single"/>
        </w:rPr>
        <w:t xml:space="preserve"> forum de la régulation</w:t>
      </w:r>
      <w:r w:rsidR="00C05512">
        <w:rPr>
          <w:rFonts w:ascii="Times New Roman" w:hAnsi="Times New Roman" w:cs="Times New Roman"/>
          <w:b/>
          <w:color w:val="1A1A1A"/>
          <w:sz w:val="20"/>
          <w:szCs w:val="20"/>
          <w:u w:val="single"/>
        </w:rPr>
        <w:t> », 22 octobre 2004</w:t>
      </w:r>
    </w:p>
    <w:p w14:paraId="128B14E0" w14:textId="77777777" w:rsidR="0083455D" w:rsidRDefault="0083455D">
      <w:pPr>
        <w:rPr>
          <w:rFonts w:ascii="Times New Roman" w:hAnsi="Times New Roman" w:cs="Times New Roman"/>
          <w:color w:val="1A1A1A"/>
          <w:sz w:val="20"/>
          <w:szCs w:val="20"/>
        </w:rPr>
      </w:pPr>
    </w:p>
    <w:p w14:paraId="7CAC98F5" w14:textId="77777777" w:rsidR="003949F9" w:rsidRPr="003949F9" w:rsidRDefault="003949F9" w:rsidP="003949F9">
      <w:pPr>
        <w:pStyle w:val="ListParagraph"/>
        <w:numPr>
          <w:ilvl w:val="0"/>
          <w:numId w:val="2"/>
        </w:numPr>
        <w:rPr>
          <w:rFonts w:ascii="Times New Roman" w:hAnsi="Times New Roman" w:cs="Times New Roman"/>
          <w:color w:val="1A1A1A"/>
          <w:sz w:val="20"/>
          <w:szCs w:val="20"/>
        </w:rPr>
      </w:pPr>
      <w:r w:rsidRPr="003949F9">
        <w:rPr>
          <w:rFonts w:ascii="Times New Roman" w:hAnsi="Times New Roman" w:cs="Times New Roman"/>
          <w:color w:val="1A1A1A"/>
          <w:sz w:val="20"/>
          <w:szCs w:val="20"/>
        </w:rPr>
        <w:t>la pratique de résolution des litiges est nouvelle pour les régulateurs</w:t>
      </w:r>
    </w:p>
    <w:p w14:paraId="0474E911" w14:textId="77777777" w:rsidR="003949F9" w:rsidRDefault="003949F9" w:rsidP="003949F9">
      <w:pPr>
        <w:pStyle w:val="ListParagraph"/>
        <w:numPr>
          <w:ilvl w:val="1"/>
          <w:numId w:val="2"/>
        </w:numPr>
        <w:rPr>
          <w:rFonts w:ascii="Times New Roman" w:hAnsi="Times New Roman" w:cs="Times New Roman"/>
          <w:color w:val="1A1A1A"/>
          <w:sz w:val="20"/>
          <w:szCs w:val="20"/>
        </w:rPr>
      </w:pPr>
      <w:r>
        <w:rPr>
          <w:rFonts w:ascii="Times New Roman" w:hAnsi="Times New Roman" w:cs="Times New Roman"/>
          <w:color w:val="1A1A1A"/>
          <w:sz w:val="20"/>
          <w:szCs w:val="20"/>
        </w:rPr>
        <w:t>quelques difficultés :</w:t>
      </w:r>
    </w:p>
    <w:p w14:paraId="141DE09C" w14:textId="77777777" w:rsidR="004D5850" w:rsidRDefault="003949F9" w:rsidP="004D5850">
      <w:pPr>
        <w:pStyle w:val="ListParagraph"/>
        <w:numPr>
          <w:ilvl w:val="2"/>
          <w:numId w:val="2"/>
        </w:numPr>
        <w:rPr>
          <w:rFonts w:ascii="Times New Roman" w:hAnsi="Times New Roman" w:cs="Times New Roman"/>
          <w:color w:val="1A1A1A"/>
          <w:sz w:val="20"/>
          <w:szCs w:val="20"/>
        </w:rPr>
      </w:pPr>
      <w:r>
        <w:rPr>
          <w:rFonts w:ascii="Times New Roman" w:hAnsi="Times New Roman" w:cs="Times New Roman"/>
          <w:color w:val="1A1A1A"/>
          <w:sz w:val="20"/>
          <w:szCs w:val="20"/>
        </w:rPr>
        <w:t>spécificités sectorielles : rendent délicats les emprunts de solutions d’un secteur à l’autre</w:t>
      </w:r>
    </w:p>
    <w:p w14:paraId="593E7352" w14:textId="77777777" w:rsidR="004D5850" w:rsidRDefault="004D5850" w:rsidP="004D5850">
      <w:pPr>
        <w:pStyle w:val="ListParagraph"/>
        <w:widowControl w:val="0"/>
        <w:autoSpaceDE w:val="0"/>
        <w:autoSpaceDN w:val="0"/>
        <w:adjustRightInd w:val="0"/>
        <w:spacing w:after="240"/>
        <w:rPr>
          <w:rFonts w:ascii="Times New Roman" w:hAnsi="Times New Roman" w:cs="Times New Roman"/>
          <w:color w:val="1A1A1A"/>
          <w:sz w:val="20"/>
          <w:szCs w:val="20"/>
        </w:rPr>
      </w:pPr>
    </w:p>
    <w:p w14:paraId="4BDB08E6" w14:textId="77777777" w:rsidR="004D5850" w:rsidRPr="004D5850" w:rsidRDefault="004D5850" w:rsidP="004D5850">
      <w:pPr>
        <w:pStyle w:val="ListParagraph"/>
        <w:widowControl w:val="0"/>
        <w:numPr>
          <w:ilvl w:val="0"/>
          <w:numId w:val="2"/>
        </w:numPr>
        <w:autoSpaceDE w:val="0"/>
        <w:autoSpaceDN w:val="0"/>
        <w:adjustRightInd w:val="0"/>
        <w:spacing w:after="240"/>
        <w:rPr>
          <w:rFonts w:ascii="Times New Roman" w:hAnsi="Times New Roman" w:cs="Times New Roman"/>
          <w:color w:val="1A1A1A"/>
          <w:sz w:val="20"/>
          <w:szCs w:val="20"/>
        </w:rPr>
      </w:pPr>
      <w:r w:rsidRPr="004D5850">
        <w:rPr>
          <w:rFonts w:ascii="Times New Roman" w:hAnsi="Times New Roman" w:cs="Times New Roman"/>
          <w:color w:val="1A1A1A"/>
          <w:sz w:val="20"/>
          <w:szCs w:val="20"/>
        </w:rPr>
        <w:t>Le mouvement d'inversion de l'attraction entre régulation et office civil de résolution des litiges</w:t>
      </w:r>
      <w:r>
        <w:rPr>
          <w:rFonts w:ascii="Times New Roman" w:hAnsi="Times New Roman" w:cs="Times New Roman"/>
          <w:color w:val="1A1A1A"/>
          <w:sz w:val="20"/>
          <w:szCs w:val="20"/>
        </w:rPr>
        <w:t xml:space="preserve"> : plusieurs éléments d’explication : </w:t>
      </w:r>
    </w:p>
    <w:p w14:paraId="2CF13FEA" w14:textId="77777777" w:rsidR="004D5850" w:rsidRPr="004D5850" w:rsidRDefault="004D5850" w:rsidP="004D5850">
      <w:pPr>
        <w:ind w:left="360"/>
        <w:rPr>
          <w:rFonts w:ascii="Times New Roman" w:hAnsi="Times New Roman" w:cs="Times New Roman"/>
          <w:color w:val="1A1A1A"/>
          <w:sz w:val="20"/>
          <w:szCs w:val="20"/>
        </w:rPr>
      </w:pPr>
    </w:p>
    <w:p w14:paraId="3E2DBE1D" w14:textId="77777777" w:rsidR="004D5850" w:rsidRPr="004D5850" w:rsidRDefault="004D5850" w:rsidP="004D5850">
      <w:pPr>
        <w:pStyle w:val="ListParagraph"/>
        <w:numPr>
          <w:ilvl w:val="0"/>
          <w:numId w:val="2"/>
        </w:numPr>
        <w:rPr>
          <w:rFonts w:ascii="Times New Roman" w:hAnsi="Times New Roman" w:cs="Times New Roman"/>
          <w:color w:val="1A1A1A"/>
          <w:sz w:val="20"/>
          <w:szCs w:val="20"/>
        </w:rPr>
      </w:pPr>
      <w:r w:rsidRPr="004D5850">
        <w:rPr>
          <w:rFonts w:ascii="Times New Roman" w:hAnsi="Times New Roman" w:cs="Times New Roman"/>
          <w:color w:val="1A1A1A"/>
          <w:sz w:val="20"/>
          <w:szCs w:val="20"/>
        </w:rPr>
        <w:t>Si le pouvoir de règlement des différends de l'autorité de régulation prend de l'ampleur tout en devenant plus ordinaire, cela tient à la capacité technique du régulateur à comprendre les explications des parties et à considérer le contexte économique du litige. L'autorité réglerait les litiges non plus tant par l'effet d'un pouvoir qui lui serait propre parce qu'il serait en charge de la régulation du secteur, mais par la reconnaissance pragmatique de son expertise en la matière.</w:t>
      </w:r>
    </w:p>
    <w:p w14:paraId="7BE32AA9" w14:textId="77777777" w:rsidR="004D5850" w:rsidRPr="004D5850" w:rsidRDefault="004D5850" w:rsidP="004D5850">
      <w:pPr>
        <w:pStyle w:val="ListParagraph"/>
        <w:numPr>
          <w:ilvl w:val="0"/>
          <w:numId w:val="2"/>
        </w:numPr>
        <w:rPr>
          <w:rFonts w:ascii="Times New Roman" w:hAnsi="Times New Roman" w:cs="Times New Roman"/>
          <w:color w:val="1A1A1A"/>
          <w:sz w:val="20"/>
          <w:szCs w:val="20"/>
        </w:rPr>
      </w:pPr>
    </w:p>
    <w:p w14:paraId="54E88436" w14:textId="77777777" w:rsidR="004D5850" w:rsidRPr="004D5850" w:rsidRDefault="004D5850" w:rsidP="004D5850">
      <w:pPr>
        <w:rPr>
          <w:rFonts w:ascii="Times New Roman" w:hAnsi="Times New Roman" w:cs="Times New Roman"/>
          <w:color w:val="1A1A1A"/>
          <w:sz w:val="20"/>
          <w:szCs w:val="20"/>
        </w:rPr>
      </w:pPr>
    </w:p>
    <w:p w14:paraId="7724FE54" w14:textId="77777777" w:rsidR="004D5850" w:rsidRPr="004D5850" w:rsidRDefault="004D5850" w:rsidP="004D5850">
      <w:pPr>
        <w:widowControl w:val="0"/>
        <w:autoSpaceDE w:val="0"/>
        <w:autoSpaceDN w:val="0"/>
        <w:adjustRightInd w:val="0"/>
        <w:spacing w:after="240"/>
        <w:rPr>
          <w:rFonts w:ascii="Times New Roman" w:hAnsi="Times New Roman" w:cs="Times New Roman"/>
          <w:color w:val="1A1A1A"/>
          <w:sz w:val="20"/>
          <w:szCs w:val="20"/>
        </w:rPr>
      </w:pPr>
      <w:r w:rsidRPr="004D5850">
        <w:rPr>
          <w:rFonts w:ascii="Times New Roman" w:hAnsi="Times New Roman" w:cs="Times New Roman"/>
          <w:color w:val="1A1A1A"/>
          <w:sz w:val="20"/>
          <w:szCs w:val="20"/>
        </w:rPr>
        <w:t xml:space="preserve">Une seconde explication tient davantage à l'évolution économique des secteurs. En effet, contrairement au pouvoir de sanction, le pouvoir de règlement des différends se développe </w:t>
      </w:r>
      <w:proofErr w:type="gramStart"/>
      <w:r w:rsidRPr="004D5850">
        <w:rPr>
          <w:rFonts w:ascii="Times New Roman" w:hAnsi="Times New Roman" w:cs="Times New Roman"/>
          <w:color w:val="1A1A1A"/>
          <w:sz w:val="20"/>
          <w:szCs w:val="20"/>
        </w:rPr>
        <w:t>et</w:t>
      </w:r>
      <w:proofErr w:type="gramEnd"/>
      <w:r w:rsidRPr="004D5850">
        <w:rPr>
          <w:rFonts w:ascii="Times New Roman" w:hAnsi="Times New Roman" w:cs="Times New Roman"/>
          <w:color w:val="1A1A1A"/>
          <w:sz w:val="20"/>
          <w:szCs w:val="20"/>
        </w:rPr>
        <w:t xml:space="preserve"> consiste à établir les droits et obligations des personnes les unes par rapport aux autres.</w:t>
      </w:r>
    </w:p>
    <w:p w14:paraId="613DE03D" w14:textId="77777777" w:rsidR="003949F9" w:rsidRDefault="003949F9">
      <w:pPr>
        <w:rPr>
          <w:rFonts w:ascii="Times New Roman" w:hAnsi="Times New Roman" w:cs="Times New Roman"/>
          <w:color w:val="1A1A1A"/>
          <w:sz w:val="20"/>
          <w:szCs w:val="20"/>
        </w:rPr>
      </w:pPr>
    </w:p>
    <w:p w14:paraId="1DD06A97" w14:textId="77777777" w:rsidR="006B57C2" w:rsidRDefault="006B57C2" w:rsidP="006B57C2">
      <w:pPr>
        <w:widowControl w:val="0"/>
        <w:autoSpaceDE w:val="0"/>
        <w:autoSpaceDN w:val="0"/>
        <w:adjustRightInd w:val="0"/>
        <w:spacing w:after="240"/>
        <w:rPr>
          <w:rFonts w:ascii="Times" w:hAnsi="Times" w:cs="Times"/>
          <w:lang w:val="en-US"/>
        </w:rPr>
      </w:pPr>
      <w:proofErr w:type="spellStart"/>
      <w:r>
        <w:rPr>
          <w:rFonts w:ascii="Times New Roman" w:hAnsi="Times New Roman" w:cs="Times New Roman"/>
          <w:color w:val="1A1A1A"/>
          <w:sz w:val="20"/>
          <w:szCs w:val="20"/>
        </w:rPr>
        <w:t>Ccl</w:t>
      </w:r>
      <w:proofErr w:type="spellEnd"/>
      <w:r>
        <w:rPr>
          <w:rFonts w:ascii="Times New Roman" w:hAnsi="Times New Roman" w:cs="Times New Roman"/>
          <w:color w:val="1A1A1A"/>
          <w:sz w:val="20"/>
          <w:szCs w:val="20"/>
        </w:rPr>
        <w:t xml:space="preserve"> : </w:t>
      </w:r>
      <w:r w:rsidRPr="006B57C2">
        <w:rPr>
          <w:rFonts w:ascii="Times New Roman" w:hAnsi="Times New Roman" w:cs="Times New Roman"/>
          <w:color w:val="1A1A1A"/>
          <w:sz w:val="20"/>
          <w:szCs w:val="20"/>
        </w:rPr>
        <w:t>De ce 10e Forum de la régulation, il est ressorti que le règlement des différends était une technique nouvelle dont on cherchait avec quelque embarras la nature ou la cohérence, mais que les opérateurs plébiscitaient et que les régulateurs n'hésitaient pas à exercer avec rapidité et hardiesse</w:t>
      </w:r>
    </w:p>
    <w:p w14:paraId="5F95E1F2" w14:textId="77777777" w:rsidR="003949F9" w:rsidRPr="0065794E" w:rsidRDefault="003949F9">
      <w:pPr>
        <w:rPr>
          <w:rFonts w:ascii="Times New Roman" w:hAnsi="Times New Roman" w:cs="Times New Roman"/>
          <w:color w:val="1A1A1A"/>
          <w:sz w:val="20"/>
          <w:szCs w:val="20"/>
        </w:rPr>
      </w:pPr>
    </w:p>
    <w:p w14:paraId="1409D882" w14:textId="77777777" w:rsidR="0065794E" w:rsidRPr="003949F9" w:rsidRDefault="003949F9" w:rsidP="003949F9">
      <w:pPr>
        <w:pStyle w:val="ListParagraph"/>
        <w:numPr>
          <w:ilvl w:val="0"/>
          <w:numId w:val="3"/>
        </w:numPr>
        <w:rPr>
          <w:rFonts w:ascii="Times New Roman" w:hAnsi="Times New Roman" w:cs="Times New Roman"/>
          <w:color w:val="1A1A1A"/>
          <w:sz w:val="20"/>
          <w:szCs w:val="20"/>
        </w:rPr>
      </w:pPr>
      <w:r>
        <w:rPr>
          <w:rFonts w:ascii="Times New Roman" w:hAnsi="Times New Roman" w:cs="Times New Roman"/>
          <w:color w:val="1A1A1A"/>
          <w:sz w:val="20"/>
          <w:szCs w:val="20"/>
        </w:rPr>
        <w:t xml:space="preserve">Insistance sur la </w:t>
      </w:r>
      <w:r w:rsidRPr="003949F9">
        <w:rPr>
          <w:rFonts w:ascii="Times New Roman" w:hAnsi="Times New Roman" w:cs="Times New Roman"/>
          <w:color w:val="1A1A1A"/>
          <w:sz w:val="20"/>
          <w:szCs w:val="20"/>
        </w:rPr>
        <w:t>régulation par les acteurs économiques et les solutions d’arbitrage et de régulation, y compris par des organismes (OMC).</w:t>
      </w:r>
    </w:p>
    <w:p w14:paraId="58C3B3AA" w14:textId="77777777" w:rsidR="00C05512" w:rsidRDefault="00C05512">
      <w:pPr>
        <w:rPr>
          <w:rFonts w:ascii="Times New Roman" w:hAnsi="Times New Roman" w:cs="Times New Roman"/>
          <w:color w:val="1A1A1A"/>
          <w:sz w:val="20"/>
          <w:szCs w:val="20"/>
        </w:rPr>
      </w:pPr>
    </w:p>
    <w:p w14:paraId="66D062B0" w14:textId="77777777" w:rsidR="0065794E" w:rsidRPr="0065794E" w:rsidRDefault="0065794E">
      <w:pPr>
        <w:rPr>
          <w:rFonts w:ascii="Times New Roman" w:hAnsi="Times New Roman" w:cs="Times New Roman"/>
          <w:color w:val="1A1A1A"/>
          <w:sz w:val="20"/>
          <w:szCs w:val="20"/>
        </w:rPr>
      </w:pPr>
    </w:p>
    <w:p w14:paraId="6366E349" w14:textId="77777777" w:rsidR="006B57C2" w:rsidRPr="008F48E7" w:rsidRDefault="006B57C2" w:rsidP="006B57C2">
      <w:pPr>
        <w:pStyle w:val="ListParagraph"/>
        <w:numPr>
          <w:ilvl w:val="0"/>
          <w:numId w:val="1"/>
        </w:numPr>
        <w:rPr>
          <w:rFonts w:ascii="Times New Roman" w:hAnsi="Times New Roman" w:cs="Times New Roman"/>
          <w:b/>
          <w:sz w:val="20"/>
          <w:szCs w:val="20"/>
          <w:u w:val="single"/>
          <w:lang w:val="en-GB"/>
        </w:rPr>
      </w:pPr>
      <w:r w:rsidRPr="0065794E">
        <w:rPr>
          <w:rFonts w:ascii="Times New Roman" w:hAnsi="Times New Roman" w:cs="Times New Roman"/>
          <w:b/>
          <w:color w:val="1A1A1A"/>
          <w:sz w:val="20"/>
          <w:szCs w:val="20"/>
          <w:u w:val="single"/>
        </w:rPr>
        <w:t xml:space="preserve">Interview de Duncan Kennedy, "Are </w:t>
      </w:r>
      <w:proofErr w:type="spellStart"/>
      <w:r w:rsidRPr="0065794E">
        <w:rPr>
          <w:rFonts w:ascii="Times New Roman" w:hAnsi="Times New Roman" w:cs="Times New Roman"/>
          <w:b/>
          <w:color w:val="1A1A1A"/>
          <w:sz w:val="20"/>
          <w:szCs w:val="20"/>
          <w:u w:val="single"/>
        </w:rPr>
        <w:t>lawers</w:t>
      </w:r>
      <w:proofErr w:type="spellEnd"/>
      <w:r w:rsidRPr="0065794E">
        <w:rPr>
          <w:rFonts w:ascii="Times New Roman" w:hAnsi="Times New Roman" w:cs="Times New Roman"/>
          <w:b/>
          <w:color w:val="1A1A1A"/>
          <w:sz w:val="20"/>
          <w:szCs w:val="20"/>
          <w:u w:val="single"/>
        </w:rPr>
        <w:t xml:space="preserve"> </w:t>
      </w:r>
      <w:proofErr w:type="spellStart"/>
      <w:r w:rsidRPr="0065794E">
        <w:rPr>
          <w:rFonts w:ascii="Times New Roman" w:hAnsi="Times New Roman" w:cs="Times New Roman"/>
          <w:b/>
          <w:color w:val="1A1A1A"/>
          <w:sz w:val="20"/>
          <w:szCs w:val="20"/>
          <w:u w:val="single"/>
        </w:rPr>
        <w:t>really</w:t>
      </w:r>
      <w:proofErr w:type="spellEnd"/>
      <w:r w:rsidRPr="0065794E">
        <w:rPr>
          <w:rFonts w:ascii="Times New Roman" w:hAnsi="Times New Roman" w:cs="Times New Roman"/>
          <w:b/>
          <w:color w:val="1A1A1A"/>
          <w:sz w:val="20"/>
          <w:szCs w:val="20"/>
          <w:u w:val="single"/>
        </w:rPr>
        <w:t xml:space="preserve"> </w:t>
      </w:r>
      <w:proofErr w:type="spellStart"/>
      <w:r w:rsidRPr="0065794E">
        <w:rPr>
          <w:rFonts w:ascii="Times New Roman" w:hAnsi="Times New Roman" w:cs="Times New Roman"/>
          <w:b/>
          <w:color w:val="1A1A1A"/>
          <w:sz w:val="20"/>
          <w:szCs w:val="20"/>
          <w:u w:val="single"/>
        </w:rPr>
        <w:t>necessary</w:t>
      </w:r>
      <w:proofErr w:type="spellEnd"/>
      <w:r w:rsidRPr="0065794E">
        <w:rPr>
          <w:rFonts w:ascii="Times New Roman" w:hAnsi="Times New Roman" w:cs="Times New Roman"/>
          <w:b/>
          <w:color w:val="1A1A1A"/>
          <w:sz w:val="20"/>
          <w:szCs w:val="20"/>
          <w:u w:val="single"/>
        </w:rPr>
        <w:t>", sur les grandes écoles du droit aux Etats-Unis</w:t>
      </w:r>
    </w:p>
    <w:p w14:paraId="7D2A5031" w14:textId="60D0E16B" w:rsidR="006B57C2" w:rsidRPr="008F48E7" w:rsidRDefault="006B57C2" w:rsidP="00322A63">
      <w:pPr>
        <w:pStyle w:val="ListParagraph"/>
        <w:numPr>
          <w:ilvl w:val="0"/>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 xml:space="preserve">Kennedy’s definition of </w:t>
      </w:r>
      <w:r w:rsidR="003D5E0A" w:rsidRPr="008F48E7">
        <w:rPr>
          <w:rFonts w:ascii="Times New Roman" w:hAnsi="Times New Roman" w:cs="Times New Roman"/>
          <w:color w:val="1A1A1A"/>
          <w:sz w:val="20"/>
          <w:szCs w:val="20"/>
          <w:lang w:val="en-GB"/>
        </w:rPr>
        <w:t>corporate</w:t>
      </w:r>
      <w:r w:rsidR="00146720" w:rsidRPr="008F48E7">
        <w:rPr>
          <w:rFonts w:ascii="Times New Roman" w:hAnsi="Times New Roman" w:cs="Times New Roman"/>
          <w:color w:val="1A1A1A"/>
          <w:sz w:val="20"/>
          <w:szCs w:val="20"/>
          <w:lang w:val="en-GB"/>
        </w:rPr>
        <w:t xml:space="preserve"> </w:t>
      </w:r>
      <w:r w:rsidR="003D5E0A" w:rsidRPr="008F48E7">
        <w:rPr>
          <w:rFonts w:ascii="Times New Roman" w:hAnsi="Times New Roman" w:cs="Times New Roman"/>
          <w:color w:val="1A1A1A"/>
          <w:sz w:val="20"/>
          <w:szCs w:val="20"/>
          <w:lang w:val="en-GB"/>
        </w:rPr>
        <w:t>lawyers:</w:t>
      </w:r>
      <w:r w:rsidR="00146720" w:rsidRPr="008F48E7">
        <w:rPr>
          <w:rFonts w:ascii="Times New Roman" w:hAnsi="Times New Roman" w:cs="Times New Roman"/>
          <w:color w:val="1A1A1A"/>
          <w:sz w:val="20"/>
          <w:szCs w:val="20"/>
          <w:lang w:val="en-GB"/>
        </w:rPr>
        <w:t xml:space="preserve"> they are « in </w:t>
      </w:r>
      <w:r w:rsidR="003D5E0A" w:rsidRPr="008F48E7">
        <w:rPr>
          <w:rFonts w:ascii="Times New Roman" w:hAnsi="Times New Roman" w:cs="Times New Roman"/>
          <w:color w:val="1A1A1A"/>
          <w:sz w:val="20"/>
          <w:szCs w:val="20"/>
          <w:lang w:val="en-GB"/>
        </w:rPr>
        <w:t>alliance</w:t>
      </w:r>
      <w:r w:rsidR="00146720" w:rsidRPr="008F48E7">
        <w:rPr>
          <w:rFonts w:ascii="Times New Roman" w:hAnsi="Times New Roman" w:cs="Times New Roman"/>
          <w:color w:val="1A1A1A"/>
          <w:sz w:val="20"/>
          <w:szCs w:val="20"/>
          <w:lang w:val="en-GB"/>
        </w:rPr>
        <w:t xml:space="preserve"> with selfish business interests. They lobby against regulatory legislation and </w:t>
      </w:r>
      <w:r w:rsidR="003D5E0A" w:rsidRPr="008F48E7">
        <w:rPr>
          <w:rFonts w:ascii="Times New Roman" w:hAnsi="Times New Roman" w:cs="Times New Roman"/>
          <w:color w:val="1A1A1A"/>
          <w:sz w:val="20"/>
          <w:szCs w:val="20"/>
          <w:lang w:val="en-GB"/>
        </w:rPr>
        <w:t>true</w:t>
      </w:r>
      <w:r w:rsidR="00146720" w:rsidRPr="008F48E7">
        <w:rPr>
          <w:rFonts w:ascii="Times New Roman" w:hAnsi="Times New Roman" w:cs="Times New Roman"/>
          <w:color w:val="1A1A1A"/>
          <w:sz w:val="20"/>
          <w:szCs w:val="20"/>
          <w:lang w:val="en-GB"/>
        </w:rPr>
        <w:t xml:space="preserve"> to pic kit to </w:t>
      </w:r>
      <w:r w:rsidR="003D5E0A" w:rsidRPr="008F48E7">
        <w:rPr>
          <w:rFonts w:ascii="Times New Roman" w:hAnsi="Times New Roman" w:cs="Times New Roman"/>
          <w:color w:val="1A1A1A"/>
          <w:sz w:val="20"/>
          <w:szCs w:val="20"/>
          <w:lang w:val="en-GB"/>
        </w:rPr>
        <w:t>pieces</w:t>
      </w:r>
      <w:r w:rsidR="00146720" w:rsidRPr="008F48E7">
        <w:rPr>
          <w:rFonts w:ascii="Times New Roman" w:hAnsi="Times New Roman" w:cs="Times New Roman"/>
          <w:color w:val="1A1A1A"/>
          <w:sz w:val="20"/>
          <w:szCs w:val="20"/>
          <w:lang w:val="en-GB"/>
        </w:rPr>
        <w:t xml:space="preserve"> in the courts, they do their best to bust unions, or to preserve « union free </w:t>
      </w:r>
      <w:r w:rsidR="003D5E0A" w:rsidRPr="008F48E7">
        <w:rPr>
          <w:rFonts w:ascii="Times New Roman" w:hAnsi="Times New Roman" w:cs="Times New Roman"/>
          <w:color w:val="1A1A1A"/>
          <w:sz w:val="20"/>
          <w:szCs w:val="20"/>
          <w:lang w:val="en-GB"/>
        </w:rPr>
        <w:t>environment</w:t>
      </w:r>
      <w:r w:rsidR="00146720" w:rsidRPr="008F48E7">
        <w:rPr>
          <w:rFonts w:ascii="Times New Roman" w:hAnsi="Times New Roman" w:cs="Times New Roman"/>
          <w:color w:val="1A1A1A"/>
          <w:sz w:val="20"/>
          <w:szCs w:val="20"/>
          <w:lang w:val="en-GB"/>
        </w:rPr>
        <w:t> »</w:t>
      </w:r>
      <w:r w:rsidR="00322A63" w:rsidRPr="008F48E7">
        <w:rPr>
          <w:rFonts w:ascii="Times New Roman" w:hAnsi="Times New Roman" w:cs="Times New Roman"/>
          <w:color w:val="1A1A1A"/>
          <w:sz w:val="20"/>
          <w:szCs w:val="20"/>
          <w:lang w:val="en-GB"/>
        </w:rPr>
        <w:t xml:space="preserve"> and by taw practice they mean tax minimization. In exchange for all this antisocial activity, they receive grotesque monetary rewards, which they take without apparent trace of shame »</w:t>
      </w:r>
    </w:p>
    <w:p w14:paraId="7830992F" w14:textId="7FA4FE9E" w:rsidR="00322A63" w:rsidRPr="008F48E7" w:rsidRDefault="00322A63" w:rsidP="00322A63">
      <w:pPr>
        <w:pStyle w:val="ListParagraph"/>
        <w:numPr>
          <w:ilvl w:val="0"/>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 xml:space="preserve">Critical legal </w:t>
      </w:r>
      <w:r w:rsidR="003D5E0A" w:rsidRPr="008F48E7">
        <w:rPr>
          <w:rFonts w:ascii="Times New Roman" w:hAnsi="Times New Roman" w:cs="Times New Roman"/>
          <w:color w:val="1A1A1A"/>
          <w:sz w:val="20"/>
          <w:szCs w:val="20"/>
          <w:lang w:val="en-GB"/>
        </w:rPr>
        <w:t>studies:</w:t>
      </w:r>
      <w:r w:rsidRPr="008F48E7">
        <w:rPr>
          <w:rFonts w:ascii="Times New Roman" w:hAnsi="Times New Roman" w:cs="Times New Roman"/>
          <w:color w:val="1A1A1A"/>
          <w:sz w:val="20"/>
          <w:szCs w:val="20"/>
          <w:lang w:val="en-GB"/>
        </w:rPr>
        <w:t xml:space="preserve"> no goal nor propositions</w:t>
      </w:r>
      <w:r w:rsidR="003D5E0A" w:rsidRPr="008F48E7">
        <w:rPr>
          <w:rFonts w:ascii="Times New Roman" w:hAnsi="Times New Roman" w:cs="Times New Roman"/>
          <w:color w:val="1A1A1A"/>
          <w:sz w:val="20"/>
          <w:szCs w:val="20"/>
          <w:lang w:val="en-GB"/>
        </w:rPr>
        <w:t>, it’s a movement or an organization, not an ideology or manifesto. It’s a network, a group of people who are in touch with each other a lot, and share a certain willingness to read each other’s work and criticize it, and share some attitudes. It is not like a manifesto: it is more like a set of attitudes</w:t>
      </w:r>
    </w:p>
    <w:p w14:paraId="60F36E54" w14:textId="2DEBB4F0" w:rsidR="003D5E0A" w:rsidRPr="008F48E7" w:rsidRDefault="003D5E0A" w:rsidP="00322A63">
      <w:pPr>
        <w:pStyle w:val="ListParagraph"/>
        <w:numPr>
          <w:ilvl w:val="0"/>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 xml:space="preserve">It’s a critical attitude towards the war legal education works: </w:t>
      </w:r>
      <w:r w:rsidRPr="008F48E7">
        <w:rPr>
          <w:rFonts w:ascii="Times New Roman" w:hAnsi="Times New Roman" w:cs="Times New Roman"/>
          <w:b/>
          <w:color w:val="1A1A1A"/>
          <w:sz w:val="20"/>
          <w:szCs w:val="20"/>
          <w:highlight w:val="yellow"/>
          <w:lang w:val="en-GB"/>
        </w:rPr>
        <w:t>a humanistic critique of legal education</w:t>
      </w:r>
    </w:p>
    <w:p w14:paraId="3E23E84B" w14:textId="5C9F7D9E" w:rsidR="003D5E0A" w:rsidRPr="008F48E7" w:rsidRDefault="003D5E0A" w:rsidP="003D5E0A">
      <w:pPr>
        <w:pStyle w:val="ListParagraph"/>
        <w:numPr>
          <w:ilvl w:val="1"/>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The emphasis is on the extent to which legal reasoning presents legal rules as more necessary, more inevitable and more intrinsically just that they are</w:t>
      </w:r>
    </w:p>
    <w:p w14:paraId="4864C327" w14:textId="1FECBA11" w:rsidR="003D5E0A" w:rsidRPr="008F48E7" w:rsidRDefault="003D5E0A" w:rsidP="003D5E0A">
      <w:pPr>
        <w:pStyle w:val="ListParagraph"/>
        <w:numPr>
          <w:ilvl w:val="1"/>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A second focus would be on the much higher level of play or choice that judges and lawyers have than they claim they have</w:t>
      </w:r>
    </w:p>
    <w:p w14:paraId="6DA2F70E" w14:textId="0BBD422B" w:rsidR="003D5E0A" w:rsidRPr="008F48E7" w:rsidRDefault="003D5E0A" w:rsidP="003D5E0A">
      <w:pPr>
        <w:pStyle w:val="ListParagraph"/>
        <w:numPr>
          <w:ilvl w:val="1"/>
          <w:numId w:val="2"/>
        </w:numPr>
        <w:rPr>
          <w:rFonts w:ascii="Times New Roman" w:hAnsi="Times New Roman" w:cs="Times New Roman"/>
          <w:color w:val="1A1A1A"/>
          <w:sz w:val="20"/>
          <w:szCs w:val="20"/>
          <w:lang w:val="en-GB"/>
        </w:rPr>
      </w:pPr>
      <w:r w:rsidRPr="008F48E7">
        <w:rPr>
          <w:rFonts w:ascii="Times New Roman" w:hAnsi="Times New Roman" w:cs="Times New Roman"/>
          <w:color w:val="1A1A1A"/>
          <w:sz w:val="20"/>
          <w:szCs w:val="20"/>
          <w:lang w:val="en-GB"/>
        </w:rPr>
        <w:t xml:space="preserve">The third level would be the argument that the rules have a major impact on the distribution of wealth and power in the society: distribution of power and wealth is </w:t>
      </w:r>
      <w:proofErr w:type="spellStart"/>
      <w:r w:rsidRPr="008F48E7">
        <w:rPr>
          <w:rFonts w:ascii="Times New Roman" w:hAnsi="Times New Roman" w:cs="Times New Roman"/>
          <w:color w:val="1A1A1A"/>
          <w:sz w:val="20"/>
          <w:szCs w:val="20"/>
          <w:lang w:val="en-GB"/>
        </w:rPr>
        <w:t>injust</w:t>
      </w:r>
      <w:proofErr w:type="spellEnd"/>
      <w:r w:rsidRPr="008F48E7">
        <w:rPr>
          <w:rFonts w:ascii="Times New Roman" w:hAnsi="Times New Roman" w:cs="Times New Roman"/>
          <w:color w:val="1A1A1A"/>
          <w:sz w:val="20"/>
          <w:szCs w:val="20"/>
          <w:lang w:val="en-GB"/>
        </w:rPr>
        <w:t xml:space="preserve"> and it is the responsibility of the peoples who make the rules</w:t>
      </w:r>
    </w:p>
    <w:p w14:paraId="5B535E7C" w14:textId="77777777" w:rsidR="006B57C2" w:rsidRPr="008F48E7" w:rsidRDefault="006B57C2" w:rsidP="006B57C2">
      <w:pPr>
        <w:rPr>
          <w:rFonts w:ascii="Times New Roman" w:hAnsi="Times New Roman" w:cs="Times New Roman"/>
          <w:color w:val="1A1A1A"/>
          <w:sz w:val="20"/>
          <w:szCs w:val="20"/>
          <w:lang w:val="en-GB"/>
        </w:rPr>
      </w:pPr>
    </w:p>
    <w:p w14:paraId="285CB076" w14:textId="77777777" w:rsidR="006B57C2" w:rsidRPr="008F48E7" w:rsidRDefault="006B57C2" w:rsidP="006B57C2">
      <w:pPr>
        <w:rPr>
          <w:rFonts w:ascii="Times New Roman" w:hAnsi="Times New Roman" w:cs="Times New Roman"/>
          <w:color w:val="1A1A1A"/>
          <w:sz w:val="20"/>
          <w:szCs w:val="20"/>
          <w:lang w:val="en-GB"/>
        </w:rPr>
      </w:pPr>
    </w:p>
    <w:p w14:paraId="06EA6A8C" w14:textId="77777777" w:rsidR="006B57C2" w:rsidRPr="008F48E7" w:rsidRDefault="006B57C2" w:rsidP="006B57C2">
      <w:pPr>
        <w:rPr>
          <w:rFonts w:ascii="Times New Roman" w:hAnsi="Times New Roman" w:cs="Times New Roman"/>
          <w:color w:val="1A1A1A"/>
          <w:sz w:val="20"/>
          <w:szCs w:val="20"/>
          <w:lang w:val="en-GB"/>
        </w:rPr>
      </w:pPr>
    </w:p>
    <w:p w14:paraId="6A0641DE" w14:textId="04CCA83A" w:rsidR="0065794E" w:rsidRPr="008F48E7" w:rsidRDefault="0083455D" w:rsidP="0065794E">
      <w:pPr>
        <w:pStyle w:val="ListParagraph"/>
        <w:numPr>
          <w:ilvl w:val="0"/>
          <w:numId w:val="1"/>
        </w:numPr>
        <w:rPr>
          <w:rFonts w:ascii="Times New Roman" w:hAnsi="Times New Roman" w:cs="Times New Roman"/>
          <w:b/>
          <w:sz w:val="20"/>
          <w:szCs w:val="20"/>
          <w:u w:val="single"/>
          <w:lang w:val="en-GB"/>
        </w:rPr>
      </w:pPr>
      <w:r w:rsidRPr="008F48E7">
        <w:rPr>
          <w:rFonts w:ascii="Times New Roman" w:hAnsi="Times New Roman" w:cs="Times New Roman"/>
          <w:b/>
          <w:color w:val="1A1A1A"/>
          <w:sz w:val="20"/>
          <w:szCs w:val="20"/>
          <w:u w:val="single"/>
          <w:lang w:val="en-GB"/>
        </w:rPr>
        <w:t xml:space="preserve">Russell L. Weaver, " </w:t>
      </w:r>
      <w:proofErr w:type="spellStart"/>
      <w:r w:rsidRPr="008F48E7">
        <w:rPr>
          <w:rFonts w:ascii="Times New Roman" w:hAnsi="Times New Roman" w:cs="Times New Roman"/>
          <w:b/>
          <w:color w:val="1A1A1A"/>
          <w:sz w:val="20"/>
          <w:szCs w:val="20"/>
          <w:u w:val="single"/>
          <w:lang w:val="en-GB"/>
        </w:rPr>
        <w:t>Langdell's</w:t>
      </w:r>
      <w:proofErr w:type="spellEnd"/>
      <w:r w:rsidRPr="008F48E7">
        <w:rPr>
          <w:rFonts w:ascii="Times New Roman" w:hAnsi="Times New Roman" w:cs="Times New Roman"/>
          <w:b/>
          <w:color w:val="1A1A1A"/>
          <w:sz w:val="20"/>
          <w:szCs w:val="20"/>
          <w:u w:val="single"/>
          <w:lang w:val="en-GB"/>
        </w:rPr>
        <w:t xml:space="preserve"> </w:t>
      </w:r>
      <w:r w:rsidR="008F48E7" w:rsidRPr="008F48E7">
        <w:rPr>
          <w:rFonts w:ascii="Times New Roman" w:hAnsi="Times New Roman" w:cs="Times New Roman"/>
          <w:b/>
          <w:color w:val="1A1A1A"/>
          <w:sz w:val="20"/>
          <w:szCs w:val="20"/>
          <w:u w:val="single"/>
          <w:lang w:val="en-GB"/>
        </w:rPr>
        <w:t>Legacy:</w:t>
      </w:r>
      <w:r w:rsidRPr="008F48E7">
        <w:rPr>
          <w:rFonts w:ascii="Times New Roman" w:hAnsi="Times New Roman" w:cs="Times New Roman"/>
          <w:b/>
          <w:color w:val="1A1A1A"/>
          <w:sz w:val="20"/>
          <w:szCs w:val="20"/>
          <w:u w:val="single"/>
          <w:lang w:val="en-GB"/>
        </w:rPr>
        <w:t xml:space="preserve"> Living with the</w:t>
      </w:r>
      <w:r w:rsidR="0065794E" w:rsidRPr="008F48E7">
        <w:rPr>
          <w:rFonts w:ascii="Times New Roman" w:hAnsi="Times New Roman" w:cs="Times New Roman"/>
          <w:b/>
          <w:color w:val="1A1A1A"/>
          <w:sz w:val="20"/>
          <w:szCs w:val="20"/>
          <w:u w:val="single"/>
          <w:lang w:val="en-GB"/>
        </w:rPr>
        <w:t xml:space="preserve"> Case Method" </w:t>
      </w:r>
    </w:p>
    <w:p w14:paraId="0D19C6A8" w14:textId="77777777" w:rsidR="0065794E" w:rsidRPr="008F48E7" w:rsidRDefault="0065794E" w:rsidP="0065794E">
      <w:pPr>
        <w:rPr>
          <w:rFonts w:ascii="Times New Roman" w:hAnsi="Times New Roman" w:cs="Times New Roman"/>
          <w:color w:val="1A1A1A"/>
          <w:sz w:val="20"/>
          <w:szCs w:val="20"/>
          <w:lang w:val="en-GB"/>
        </w:rPr>
      </w:pPr>
    </w:p>
    <w:p w14:paraId="30E6C8D0" w14:textId="77777777" w:rsidR="0065794E" w:rsidRPr="008F48E7" w:rsidRDefault="0065794E" w:rsidP="0065794E">
      <w:pPr>
        <w:rPr>
          <w:rFonts w:ascii="Times New Roman" w:hAnsi="Times New Roman" w:cs="Times New Roman"/>
          <w:color w:val="1A1A1A"/>
          <w:sz w:val="20"/>
          <w:szCs w:val="20"/>
          <w:lang w:val="en-GB"/>
        </w:rPr>
      </w:pPr>
    </w:p>
    <w:p w14:paraId="6E8304BA" w14:textId="77777777" w:rsidR="0065794E" w:rsidRPr="008F48E7" w:rsidRDefault="0065794E" w:rsidP="0065794E">
      <w:pPr>
        <w:rPr>
          <w:rFonts w:ascii="Times New Roman" w:hAnsi="Times New Roman" w:cs="Times New Roman"/>
          <w:color w:val="1A1A1A"/>
          <w:sz w:val="20"/>
          <w:szCs w:val="20"/>
          <w:lang w:val="en-GB"/>
        </w:rPr>
      </w:pPr>
    </w:p>
    <w:p w14:paraId="335944CA" w14:textId="77777777" w:rsidR="0065794E" w:rsidRPr="008F48E7" w:rsidRDefault="0065794E" w:rsidP="0065794E">
      <w:pPr>
        <w:rPr>
          <w:rFonts w:ascii="Times New Roman" w:hAnsi="Times New Roman" w:cs="Times New Roman"/>
          <w:color w:val="1A1A1A"/>
          <w:sz w:val="20"/>
          <w:szCs w:val="20"/>
          <w:lang w:val="en-GB"/>
        </w:rPr>
      </w:pPr>
    </w:p>
    <w:p w14:paraId="02B0CA16" w14:textId="77777777" w:rsidR="0065794E" w:rsidRPr="008F48E7" w:rsidRDefault="0065794E" w:rsidP="0065794E">
      <w:pPr>
        <w:pStyle w:val="ListParagraph"/>
        <w:numPr>
          <w:ilvl w:val="0"/>
          <w:numId w:val="1"/>
        </w:numPr>
        <w:rPr>
          <w:rFonts w:ascii="Times New Roman" w:hAnsi="Times New Roman" w:cs="Times New Roman"/>
          <w:b/>
          <w:sz w:val="20"/>
          <w:szCs w:val="20"/>
          <w:u w:val="single"/>
        </w:rPr>
      </w:pPr>
      <w:r w:rsidRPr="008F48E7">
        <w:rPr>
          <w:rFonts w:ascii="Times New Roman" w:hAnsi="Times New Roman" w:cs="Times New Roman"/>
          <w:b/>
          <w:color w:val="1A1A1A"/>
          <w:sz w:val="20"/>
          <w:szCs w:val="20"/>
          <w:u w:val="single"/>
        </w:rPr>
        <w:t>Une</w:t>
      </w:r>
      <w:r w:rsidR="0083455D" w:rsidRPr="008F48E7">
        <w:rPr>
          <w:rFonts w:ascii="Times New Roman" w:hAnsi="Times New Roman" w:cs="Times New Roman"/>
          <w:b/>
          <w:color w:val="1A1A1A"/>
          <w:sz w:val="20"/>
          <w:szCs w:val="20"/>
          <w:u w:val="single"/>
        </w:rPr>
        <w:t xml:space="preserve"> critique française du Professeur Alain Bernard de l’Association Henri Capitant, « Law and </w:t>
      </w:r>
      <w:proofErr w:type="spellStart"/>
      <w:r w:rsidR="0083455D" w:rsidRPr="008F48E7">
        <w:rPr>
          <w:rFonts w:ascii="Times New Roman" w:hAnsi="Times New Roman" w:cs="Times New Roman"/>
          <w:b/>
          <w:color w:val="1A1A1A"/>
          <w:sz w:val="20"/>
          <w:szCs w:val="20"/>
          <w:u w:val="single"/>
        </w:rPr>
        <w:t>Economics</w:t>
      </w:r>
      <w:proofErr w:type="spellEnd"/>
      <w:r w:rsidR="0083455D" w:rsidRPr="008F48E7">
        <w:rPr>
          <w:rFonts w:ascii="Times New Roman" w:hAnsi="Times New Roman" w:cs="Times New Roman"/>
          <w:b/>
          <w:color w:val="1A1A1A"/>
          <w:sz w:val="20"/>
          <w:szCs w:val="20"/>
          <w:u w:val="single"/>
        </w:rPr>
        <w:t xml:space="preserve"> - une science idiote ? » </w:t>
      </w:r>
    </w:p>
    <w:p w14:paraId="53455328" w14:textId="77777777" w:rsidR="0065794E" w:rsidRPr="008F48E7" w:rsidRDefault="0065794E" w:rsidP="0065794E">
      <w:pPr>
        <w:rPr>
          <w:rFonts w:ascii="Times New Roman" w:hAnsi="Times New Roman" w:cs="Times New Roman"/>
          <w:color w:val="1A1A1A"/>
          <w:sz w:val="20"/>
          <w:szCs w:val="20"/>
        </w:rPr>
      </w:pPr>
    </w:p>
    <w:p w14:paraId="455A2415" w14:textId="6AFDF0B9" w:rsidR="008514E2" w:rsidRPr="008F48E7" w:rsidRDefault="008514E2" w:rsidP="008514E2">
      <w:pPr>
        <w:pStyle w:val="ListParagraph"/>
        <w:numPr>
          <w:ilvl w:val="0"/>
          <w:numId w:val="2"/>
        </w:numPr>
        <w:rPr>
          <w:rFonts w:ascii="Times New Roman" w:hAnsi="Times New Roman" w:cs="Times New Roman"/>
          <w:color w:val="1A1A1A"/>
          <w:sz w:val="20"/>
          <w:szCs w:val="20"/>
        </w:rPr>
      </w:pPr>
      <w:r w:rsidRPr="008F48E7">
        <w:rPr>
          <w:rFonts w:ascii="Times New Roman" w:hAnsi="Times New Roman" w:cs="Times New Roman"/>
          <w:color w:val="1A1A1A"/>
          <w:sz w:val="20"/>
          <w:szCs w:val="20"/>
        </w:rPr>
        <w:t xml:space="preserve">Tenter de mesurer les effets économiques d’une norme juridique constitue un projet </w:t>
      </w:r>
      <w:r w:rsidR="008F48E7" w:rsidRPr="008F48E7">
        <w:rPr>
          <w:rFonts w:ascii="Times New Roman" w:hAnsi="Times New Roman" w:cs="Times New Roman"/>
          <w:color w:val="1A1A1A"/>
          <w:sz w:val="20"/>
          <w:szCs w:val="20"/>
        </w:rPr>
        <w:t>scientifique</w:t>
      </w:r>
      <w:r w:rsidRPr="008F48E7">
        <w:rPr>
          <w:rFonts w:ascii="Times New Roman" w:hAnsi="Times New Roman" w:cs="Times New Roman"/>
          <w:color w:val="1A1A1A"/>
          <w:sz w:val="20"/>
          <w:szCs w:val="20"/>
        </w:rPr>
        <w:t xml:space="preserve"> de première importance</w:t>
      </w:r>
    </w:p>
    <w:p w14:paraId="5580A2A8" w14:textId="0ACC16E9" w:rsidR="008514E2" w:rsidRPr="008F48E7" w:rsidRDefault="008514E2" w:rsidP="008514E2">
      <w:pPr>
        <w:pStyle w:val="ListParagraph"/>
        <w:numPr>
          <w:ilvl w:val="1"/>
          <w:numId w:val="2"/>
        </w:numPr>
        <w:rPr>
          <w:rFonts w:ascii="Times New Roman" w:hAnsi="Times New Roman" w:cs="Times New Roman"/>
          <w:color w:val="1A1A1A"/>
          <w:sz w:val="20"/>
          <w:szCs w:val="20"/>
        </w:rPr>
      </w:pPr>
      <w:r w:rsidRPr="008F48E7">
        <w:rPr>
          <w:rFonts w:ascii="Times New Roman" w:hAnsi="Times New Roman" w:cs="Times New Roman"/>
          <w:color w:val="1A1A1A"/>
          <w:sz w:val="20"/>
          <w:szCs w:val="20"/>
        </w:rPr>
        <w:t>« </w:t>
      </w:r>
      <w:proofErr w:type="spellStart"/>
      <w:r w:rsidRPr="008F48E7">
        <w:rPr>
          <w:rFonts w:ascii="Times New Roman" w:hAnsi="Times New Roman" w:cs="Times New Roman"/>
          <w:color w:val="1A1A1A"/>
          <w:sz w:val="20"/>
          <w:szCs w:val="20"/>
        </w:rPr>
        <w:t>law</w:t>
      </w:r>
      <w:proofErr w:type="spellEnd"/>
      <w:r w:rsidRPr="008F48E7">
        <w:rPr>
          <w:rFonts w:ascii="Times New Roman" w:hAnsi="Times New Roman" w:cs="Times New Roman"/>
          <w:color w:val="1A1A1A"/>
          <w:sz w:val="20"/>
          <w:szCs w:val="20"/>
        </w:rPr>
        <w:t xml:space="preserve"> and </w:t>
      </w:r>
      <w:proofErr w:type="spellStart"/>
      <w:r w:rsidRPr="008F48E7">
        <w:rPr>
          <w:rFonts w:ascii="Times New Roman" w:hAnsi="Times New Roman" w:cs="Times New Roman"/>
          <w:color w:val="1A1A1A"/>
          <w:sz w:val="20"/>
          <w:szCs w:val="20"/>
        </w:rPr>
        <w:t>economics</w:t>
      </w:r>
      <w:proofErr w:type="spellEnd"/>
      <w:r w:rsidRPr="008F48E7">
        <w:rPr>
          <w:rFonts w:ascii="Times New Roman" w:hAnsi="Times New Roman" w:cs="Times New Roman"/>
          <w:color w:val="1A1A1A"/>
          <w:sz w:val="20"/>
          <w:szCs w:val="20"/>
        </w:rPr>
        <w:t> »</w:t>
      </w:r>
    </w:p>
    <w:p w14:paraId="5297942D" w14:textId="0AF2EC51" w:rsidR="008514E2" w:rsidRPr="008F48E7" w:rsidRDefault="008514E2" w:rsidP="008514E2">
      <w:pPr>
        <w:pStyle w:val="ListParagraph"/>
        <w:numPr>
          <w:ilvl w:val="0"/>
          <w:numId w:val="2"/>
        </w:numPr>
        <w:rPr>
          <w:rFonts w:ascii="Times New Roman" w:hAnsi="Times New Roman" w:cs="Times New Roman"/>
          <w:color w:val="1A1A1A"/>
          <w:sz w:val="20"/>
          <w:szCs w:val="20"/>
        </w:rPr>
      </w:pPr>
      <w:r w:rsidRPr="008F48E7">
        <w:rPr>
          <w:rFonts w:ascii="Times New Roman" w:hAnsi="Times New Roman" w:cs="Times New Roman"/>
          <w:color w:val="1A1A1A"/>
          <w:sz w:val="20"/>
          <w:szCs w:val="20"/>
        </w:rPr>
        <w:t xml:space="preserve">postule la </w:t>
      </w:r>
      <w:proofErr w:type="spellStart"/>
      <w:r w:rsidRPr="008F48E7">
        <w:rPr>
          <w:rFonts w:ascii="Times New Roman" w:hAnsi="Times New Roman" w:cs="Times New Roman"/>
          <w:color w:val="1A1A1A"/>
          <w:sz w:val="20"/>
          <w:szCs w:val="20"/>
        </w:rPr>
        <w:t>suprémacie</w:t>
      </w:r>
      <w:proofErr w:type="spellEnd"/>
      <w:r w:rsidRPr="008F48E7">
        <w:rPr>
          <w:rFonts w:ascii="Times New Roman" w:hAnsi="Times New Roman" w:cs="Times New Roman"/>
          <w:color w:val="1A1A1A"/>
          <w:sz w:val="20"/>
          <w:szCs w:val="20"/>
        </w:rPr>
        <w:t xml:space="preserve"> du </w:t>
      </w:r>
      <w:proofErr w:type="spellStart"/>
      <w:r w:rsidRPr="008F48E7">
        <w:rPr>
          <w:rFonts w:ascii="Times New Roman" w:hAnsi="Times New Roman" w:cs="Times New Roman"/>
          <w:color w:val="1A1A1A"/>
          <w:sz w:val="20"/>
          <w:szCs w:val="20"/>
        </w:rPr>
        <w:t>common</w:t>
      </w:r>
      <w:proofErr w:type="spellEnd"/>
      <w:r w:rsidRPr="008F48E7">
        <w:rPr>
          <w:rFonts w:ascii="Times New Roman" w:hAnsi="Times New Roman" w:cs="Times New Roman"/>
          <w:color w:val="1A1A1A"/>
          <w:sz w:val="20"/>
          <w:szCs w:val="20"/>
        </w:rPr>
        <w:t xml:space="preserve"> </w:t>
      </w:r>
      <w:proofErr w:type="spellStart"/>
      <w:r w:rsidRPr="008F48E7">
        <w:rPr>
          <w:rFonts w:ascii="Times New Roman" w:hAnsi="Times New Roman" w:cs="Times New Roman"/>
          <w:color w:val="1A1A1A"/>
          <w:sz w:val="20"/>
          <w:szCs w:val="20"/>
        </w:rPr>
        <w:t>law</w:t>
      </w:r>
      <w:proofErr w:type="spellEnd"/>
      <w:r w:rsidRPr="008F48E7">
        <w:rPr>
          <w:rFonts w:ascii="Times New Roman" w:hAnsi="Times New Roman" w:cs="Times New Roman"/>
          <w:color w:val="1A1A1A"/>
          <w:sz w:val="20"/>
          <w:szCs w:val="20"/>
        </w:rPr>
        <w:t xml:space="preserve"> sur tout autre système juridique et du marché comme mode de régulation des comportements pour prétendre démontrer scientifiquement des résultats acquis d’</w:t>
      </w:r>
      <w:r w:rsidR="008F48E7" w:rsidRPr="008F48E7">
        <w:rPr>
          <w:rFonts w:ascii="Times New Roman" w:hAnsi="Times New Roman" w:cs="Times New Roman"/>
          <w:color w:val="1A1A1A"/>
          <w:sz w:val="20"/>
          <w:szCs w:val="20"/>
        </w:rPr>
        <w:t>avance</w:t>
      </w:r>
    </w:p>
    <w:p w14:paraId="44FDE6E7" w14:textId="3F485278" w:rsidR="008514E2" w:rsidRPr="008F48E7" w:rsidRDefault="008514E2" w:rsidP="008514E2">
      <w:pPr>
        <w:pStyle w:val="ListParagraph"/>
        <w:numPr>
          <w:ilvl w:val="0"/>
          <w:numId w:val="2"/>
        </w:numPr>
        <w:rPr>
          <w:rFonts w:ascii="Times New Roman" w:hAnsi="Times New Roman" w:cs="Times New Roman"/>
          <w:color w:val="1A1A1A"/>
          <w:sz w:val="20"/>
          <w:szCs w:val="20"/>
        </w:rPr>
      </w:pPr>
      <w:r w:rsidRPr="008F48E7">
        <w:rPr>
          <w:rFonts w:ascii="Times New Roman" w:hAnsi="Times New Roman" w:cs="Times New Roman"/>
          <w:color w:val="1A1A1A"/>
          <w:sz w:val="20"/>
          <w:szCs w:val="20"/>
        </w:rPr>
        <w:t xml:space="preserve">Law and </w:t>
      </w:r>
      <w:proofErr w:type="spellStart"/>
      <w:r w:rsidRPr="008F48E7">
        <w:rPr>
          <w:rFonts w:ascii="Times New Roman" w:hAnsi="Times New Roman" w:cs="Times New Roman"/>
          <w:color w:val="1A1A1A"/>
          <w:sz w:val="20"/>
          <w:szCs w:val="20"/>
        </w:rPr>
        <w:t>economics</w:t>
      </w:r>
      <w:proofErr w:type="spellEnd"/>
      <w:r w:rsidRPr="008F48E7">
        <w:rPr>
          <w:rFonts w:ascii="Times New Roman" w:hAnsi="Times New Roman" w:cs="Times New Roman"/>
          <w:color w:val="1A1A1A"/>
          <w:sz w:val="20"/>
          <w:szCs w:val="20"/>
        </w:rPr>
        <w:t xml:space="preserve"> porterait même une « part des responsabilité dans la crise financière qui secoue la planète »</w:t>
      </w:r>
    </w:p>
    <w:p w14:paraId="259402F9" w14:textId="77777777" w:rsidR="0065794E" w:rsidRPr="008F48E7" w:rsidRDefault="0065794E" w:rsidP="0065794E">
      <w:pPr>
        <w:rPr>
          <w:rFonts w:ascii="Times New Roman" w:hAnsi="Times New Roman" w:cs="Times New Roman"/>
          <w:color w:val="1A1A1A"/>
          <w:sz w:val="20"/>
          <w:szCs w:val="20"/>
        </w:rPr>
      </w:pPr>
    </w:p>
    <w:p w14:paraId="3A42C1FB" w14:textId="77777777" w:rsidR="0065794E" w:rsidRPr="008F48E7" w:rsidRDefault="0065794E" w:rsidP="0065794E">
      <w:pPr>
        <w:rPr>
          <w:rFonts w:ascii="Times New Roman" w:hAnsi="Times New Roman" w:cs="Times New Roman"/>
          <w:color w:val="1A1A1A"/>
          <w:sz w:val="20"/>
          <w:szCs w:val="20"/>
        </w:rPr>
      </w:pPr>
    </w:p>
    <w:p w14:paraId="1A93220D" w14:textId="77777777" w:rsidR="008F48E7" w:rsidRPr="008F48E7" w:rsidRDefault="008F48E7" w:rsidP="0065794E">
      <w:pPr>
        <w:rPr>
          <w:rFonts w:ascii="Times New Roman" w:hAnsi="Times New Roman" w:cs="Times New Roman"/>
          <w:color w:val="1A1A1A"/>
          <w:sz w:val="20"/>
          <w:szCs w:val="20"/>
        </w:rPr>
      </w:pPr>
    </w:p>
    <w:p w14:paraId="198E0166" w14:textId="77777777" w:rsidR="008F48E7" w:rsidRPr="008F48E7" w:rsidRDefault="008F48E7" w:rsidP="0065794E">
      <w:pPr>
        <w:rPr>
          <w:rFonts w:ascii="Times New Roman" w:hAnsi="Times New Roman" w:cs="Times New Roman"/>
          <w:color w:val="1A1A1A"/>
          <w:sz w:val="20"/>
          <w:szCs w:val="20"/>
        </w:rPr>
      </w:pPr>
    </w:p>
    <w:p w14:paraId="2E188484" w14:textId="77777777" w:rsidR="00396E52" w:rsidRPr="008F48E7" w:rsidRDefault="0083455D" w:rsidP="0065794E">
      <w:pPr>
        <w:pStyle w:val="ListParagraph"/>
        <w:numPr>
          <w:ilvl w:val="0"/>
          <w:numId w:val="1"/>
        </w:numPr>
        <w:rPr>
          <w:rFonts w:ascii="Times New Roman" w:hAnsi="Times New Roman" w:cs="Times New Roman"/>
          <w:b/>
          <w:sz w:val="20"/>
          <w:szCs w:val="20"/>
          <w:u w:val="single"/>
          <w:lang w:val="en-GB"/>
        </w:rPr>
      </w:pPr>
      <w:r w:rsidRPr="008F48E7">
        <w:rPr>
          <w:rFonts w:ascii="Times New Roman" w:hAnsi="Times New Roman" w:cs="Times New Roman"/>
          <w:b/>
          <w:color w:val="1A1A1A"/>
          <w:sz w:val="20"/>
          <w:szCs w:val="20"/>
          <w:u w:val="single"/>
          <w:lang w:val="en-GB"/>
        </w:rPr>
        <w:t>« Law and Economics » de Paul H. Rubin.</w:t>
      </w:r>
    </w:p>
    <w:p w14:paraId="7DA0769E" w14:textId="77777777" w:rsidR="0065794E" w:rsidRPr="008F48E7" w:rsidRDefault="0065794E" w:rsidP="0065794E">
      <w:pPr>
        <w:rPr>
          <w:rFonts w:ascii="Times New Roman" w:hAnsi="Times New Roman" w:cs="Times New Roman"/>
          <w:sz w:val="20"/>
          <w:szCs w:val="20"/>
          <w:lang w:val="en-GB"/>
        </w:rPr>
      </w:pPr>
    </w:p>
    <w:p w14:paraId="0FF39439" w14:textId="40C47499" w:rsidR="0065794E" w:rsidRPr="008F48E7" w:rsidRDefault="008F48E7" w:rsidP="008F48E7">
      <w:pPr>
        <w:pStyle w:val="ListParagraph"/>
        <w:numPr>
          <w:ilvl w:val="0"/>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Law and </w:t>
      </w:r>
      <w:proofErr w:type="gramStart"/>
      <w:r w:rsidRPr="008F48E7">
        <w:rPr>
          <w:rFonts w:ascii="Times New Roman" w:hAnsi="Times New Roman" w:cs="Times New Roman"/>
          <w:sz w:val="20"/>
          <w:szCs w:val="20"/>
          <w:lang w:val="en-GB"/>
        </w:rPr>
        <w:t>economics :</w:t>
      </w:r>
      <w:proofErr w:type="gramEnd"/>
      <w:r w:rsidRPr="008F48E7">
        <w:rPr>
          <w:rFonts w:ascii="Times New Roman" w:hAnsi="Times New Roman" w:cs="Times New Roman"/>
          <w:sz w:val="20"/>
          <w:szCs w:val="20"/>
          <w:lang w:val="en-GB"/>
        </w:rPr>
        <w:t xml:space="preserve"> aka : the economic analysis of law, </w:t>
      </w:r>
    </w:p>
    <w:p w14:paraId="584C309D" w14:textId="529DB6F2" w:rsidR="008F48E7" w:rsidRPr="008F48E7" w:rsidRDefault="008F48E7" w:rsidP="008F48E7">
      <w:pPr>
        <w:pStyle w:val="ListParagraph"/>
        <w:numPr>
          <w:ilvl w:val="0"/>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It differs from other forms of legal analysis in two main </w:t>
      </w:r>
      <w:proofErr w:type="gramStart"/>
      <w:r w:rsidRPr="008F48E7">
        <w:rPr>
          <w:rFonts w:ascii="Times New Roman" w:hAnsi="Times New Roman" w:cs="Times New Roman"/>
          <w:sz w:val="20"/>
          <w:szCs w:val="20"/>
          <w:lang w:val="en-GB"/>
        </w:rPr>
        <w:t>ways ;</w:t>
      </w:r>
      <w:proofErr w:type="gramEnd"/>
    </w:p>
    <w:p w14:paraId="07804AAB" w14:textId="051BEFD6" w:rsidR="008F48E7" w:rsidRPr="008F48E7" w:rsidRDefault="008F48E7" w:rsidP="008F48E7">
      <w:pPr>
        <w:pStyle w:val="ListParagraph"/>
        <w:numPr>
          <w:ilvl w:val="1"/>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1st the theoretical analysis focuses on efficiency</w:t>
      </w:r>
    </w:p>
    <w:p w14:paraId="50987DB9" w14:textId="7DACC758" w:rsidR="008F48E7" w:rsidRPr="008F48E7" w:rsidRDefault="008F48E7" w:rsidP="008F48E7">
      <w:pPr>
        <w:pStyle w:val="ListParagraph"/>
        <w:numPr>
          <w:ilvl w:val="2"/>
          <w:numId w:val="2"/>
        </w:numPr>
        <w:rPr>
          <w:rFonts w:ascii="Times New Roman" w:hAnsi="Times New Roman" w:cs="Times New Roman"/>
          <w:sz w:val="20"/>
          <w:szCs w:val="20"/>
          <w:lang w:val="en-GB"/>
        </w:rPr>
      </w:pPr>
      <w:proofErr w:type="gramStart"/>
      <w:r w:rsidRPr="008F48E7">
        <w:rPr>
          <w:rFonts w:ascii="Times New Roman" w:hAnsi="Times New Roman" w:cs="Times New Roman"/>
          <w:sz w:val="20"/>
          <w:szCs w:val="20"/>
          <w:lang w:val="en-GB"/>
        </w:rPr>
        <w:t>id</w:t>
      </w:r>
      <w:proofErr w:type="gramEnd"/>
      <w:r w:rsidRPr="008F48E7">
        <w:rPr>
          <w:rFonts w:ascii="Times New Roman" w:hAnsi="Times New Roman" w:cs="Times New Roman"/>
          <w:sz w:val="20"/>
          <w:szCs w:val="20"/>
          <w:lang w:val="en-GB"/>
        </w:rPr>
        <w:t> : a legal situation is said to be efficient if a right is given to the party who would be willing to pay the most for it</w:t>
      </w:r>
    </w:p>
    <w:p w14:paraId="00EF76CA" w14:textId="0C5E17DC" w:rsidR="008F48E7" w:rsidRPr="008F48E7" w:rsidRDefault="008F48E7" w:rsidP="008F48E7">
      <w:pPr>
        <w:pStyle w:val="ListParagraph"/>
        <w:numPr>
          <w:ilvl w:val="3"/>
          <w:numId w:val="2"/>
        </w:numPr>
        <w:rPr>
          <w:rFonts w:ascii="Times New Roman" w:hAnsi="Times New Roman" w:cs="Times New Roman"/>
          <w:sz w:val="20"/>
          <w:szCs w:val="20"/>
          <w:lang w:val="en-GB"/>
        </w:rPr>
      </w:pPr>
      <w:proofErr w:type="gramStart"/>
      <w:r w:rsidRPr="008F48E7">
        <w:rPr>
          <w:rFonts w:ascii="Times New Roman" w:hAnsi="Times New Roman" w:cs="Times New Roman"/>
          <w:sz w:val="20"/>
          <w:szCs w:val="20"/>
          <w:lang w:val="en-GB"/>
        </w:rPr>
        <w:t>two</w:t>
      </w:r>
      <w:proofErr w:type="gramEnd"/>
      <w:r w:rsidRPr="008F48E7">
        <w:rPr>
          <w:rFonts w:ascii="Times New Roman" w:hAnsi="Times New Roman" w:cs="Times New Roman"/>
          <w:sz w:val="20"/>
          <w:szCs w:val="20"/>
          <w:lang w:val="en-GB"/>
        </w:rPr>
        <w:t xml:space="preserve"> types of theories regarding legal efficiency :</w:t>
      </w:r>
    </w:p>
    <w:p w14:paraId="10C5FFE2" w14:textId="4DA960F1" w:rsidR="008F48E7" w:rsidRPr="008F48E7" w:rsidRDefault="008F48E7" w:rsidP="008F48E7">
      <w:pPr>
        <w:pStyle w:val="ListParagraph"/>
        <w:numPr>
          <w:ilvl w:val="4"/>
          <w:numId w:val="2"/>
        </w:numPr>
        <w:rPr>
          <w:rFonts w:ascii="Times New Roman" w:hAnsi="Times New Roman" w:cs="Times New Roman"/>
          <w:sz w:val="20"/>
          <w:szCs w:val="20"/>
          <w:lang w:val="en-GB"/>
        </w:rPr>
      </w:pPr>
      <w:proofErr w:type="gramStart"/>
      <w:r w:rsidRPr="008F48E7">
        <w:rPr>
          <w:rFonts w:ascii="Times New Roman" w:hAnsi="Times New Roman" w:cs="Times New Roman"/>
          <w:sz w:val="20"/>
          <w:szCs w:val="20"/>
          <w:lang w:val="en-GB"/>
        </w:rPr>
        <w:t>the</w:t>
      </w:r>
      <w:proofErr w:type="gramEnd"/>
      <w:r w:rsidRPr="008F48E7">
        <w:rPr>
          <w:rFonts w:ascii="Times New Roman" w:hAnsi="Times New Roman" w:cs="Times New Roman"/>
          <w:sz w:val="20"/>
          <w:szCs w:val="20"/>
          <w:lang w:val="en-GB"/>
        </w:rPr>
        <w:t xml:space="preserve"> positive theory states that the common law is efficient</w:t>
      </w:r>
    </w:p>
    <w:p w14:paraId="4E2DC9F3" w14:textId="6020B9BD" w:rsidR="008F48E7" w:rsidRPr="008F48E7" w:rsidRDefault="008F48E7" w:rsidP="008F48E7">
      <w:pPr>
        <w:pStyle w:val="ListParagraph"/>
        <w:numPr>
          <w:ilvl w:val="4"/>
          <w:numId w:val="2"/>
        </w:numPr>
        <w:rPr>
          <w:rFonts w:ascii="Times New Roman" w:hAnsi="Times New Roman" w:cs="Times New Roman"/>
          <w:sz w:val="20"/>
          <w:szCs w:val="20"/>
          <w:lang w:val="en-GB"/>
        </w:rPr>
      </w:pPr>
      <w:proofErr w:type="gramStart"/>
      <w:r w:rsidRPr="008F48E7">
        <w:rPr>
          <w:rFonts w:ascii="Times New Roman" w:hAnsi="Times New Roman" w:cs="Times New Roman"/>
          <w:sz w:val="20"/>
          <w:szCs w:val="20"/>
          <w:lang w:val="en-GB"/>
        </w:rPr>
        <w:t>the</w:t>
      </w:r>
      <w:proofErr w:type="gramEnd"/>
      <w:r w:rsidRPr="008F48E7">
        <w:rPr>
          <w:rFonts w:ascii="Times New Roman" w:hAnsi="Times New Roman" w:cs="Times New Roman"/>
          <w:sz w:val="20"/>
          <w:szCs w:val="20"/>
          <w:lang w:val="en-GB"/>
        </w:rPr>
        <w:t xml:space="preserve"> normative theory : the should be efficient</w:t>
      </w:r>
    </w:p>
    <w:p w14:paraId="62827966" w14:textId="7341275F" w:rsidR="008F48E7" w:rsidRPr="008F48E7" w:rsidRDefault="008F48E7" w:rsidP="008F48E7">
      <w:pPr>
        <w:pStyle w:val="ListParagraph"/>
        <w:numPr>
          <w:ilvl w:val="1"/>
          <w:numId w:val="2"/>
        </w:numPr>
        <w:rPr>
          <w:rFonts w:ascii="Times New Roman" w:hAnsi="Times New Roman" w:cs="Times New Roman"/>
          <w:sz w:val="20"/>
          <w:szCs w:val="20"/>
          <w:lang w:val="en-GB"/>
        </w:rPr>
      </w:pPr>
      <w:proofErr w:type="gramStart"/>
      <w:r w:rsidRPr="008F48E7">
        <w:rPr>
          <w:rFonts w:ascii="Times New Roman" w:hAnsi="Times New Roman" w:cs="Times New Roman"/>
          <w:sz w:val="20"/>
          <w:szCs w:val="20"/>
          <w:lang w:val="en-GB"/>
        </w:rPr>
        <w:t>the</w:t>
      </w:r>
      <w:proofErr w:type="gramEnd"/>
      <w:r w:rsidRPr="008F48E7">
        <w:rPr>
          <w:rFonts w:ascii="Times New Roman" w:hAnsi="Times New Roman" w:cs="Times New Roman"/>
          <w:sz w:val="20"/>
          <w:szCs w:val="20"/>
          <w:lang w:val="en-GB"/>
        </w:rPr>
        <w:t xml:space="preserve"> second </w:t>
      </w:r>
      <w:proofErr w:type="spellStart"/>
      <w:r w:rsidRPr="008F48E7">
        <w:rPr>
          <w:rFonts w:ascii="Times New Roman" w:hAnsi="Times New Roman" w:cs="Times New Roman"/>
          <w:sz w:val="20"/>
          <w:szCs w:val="20"/>
          <w:lang w:val="en-GB"/>
        </w:rPr>
        <w:t>caracteristics</w:t>
      </w:r>
      <w:proofErr w:type="spellEnd"/>
      <w:r w:rsidRPr="008F48E7">
        <w:rPr>
          <w:rFonts w:ascii="Times New Roman" w:hAnsi="Times New Roman" w:cs="Times New Roman"/>
          <w:sz w:val="20"/>
          <w:szCs w:val="20"/>
          <w:lang w:val="en-GB"/>
        </w:rPr>
        <w:t xml:space="preserve"> of </w:t>
      </w:r>
      <w:proofErr w:type="spellStart"/>
      <w:r w:rsidRPr="008F48E7">
        <w:rPr>
          <w:rFonts w:ascii="Times New Roman" w:hAnsi="Times New Roman" w:cs="Times New Roman"/>
          <w:sz w:val="20"/>
          <w:szCs w:val="20"/>
          <w:lang w:val="en-GB"/>
        </w:rPr>
        <w:t>l&amp;e</w:t>
      </w:r>
      <w:proofErr w:type="spellEnd"/>
      <w:r w:rsidRPr="008F48E7">
        <w:rPr>
          <w:rFonts w:ascii="Times New Roman" w:hAnsi="Times New Roman" w:cs="Times New Roman"/>
          <w:sz w:val="20"/>
          <w:szCs w:val="20"/>
          <w:lang w:val="en-GB"/>
        </w:rPr>
        <w:t xml:space="preserve"> is its emphasis on incentives and people’s responses to these incentives : the purpose of damage payment in accident law is not to compensate injured parties but rather to provide an incentive for </w:t>
      </w:r>
      <w:proofErr w:type="spellStart"/>
      <w:r w:rsidRPr="008F48E7">
        <w:rPr>
          <w:rFonts w:ascii="Times New Roman" w:hAnsi="Times New Roman" w:cs="Times New Roman"/>
          <w:sz w:val="20"/>
          <w:szCs w:val="20"/>
          <w:lang w:val="en-GB"/>
        </w:rPr>
        <w:t>potention</w:t>
      </w:r>
      <w:proofErr w:type="spellEnd"/>
      <w:r w:rsidRPr="008F48E7">
        <w:rPr>
          <w:rFonts w:ascii="Times New Roman" w:hAnsi="Times New Roman" w:cs="Times New Roman"/>
          <w:sz w:val="20"/>
          <w:szCs w:val="20"/>
          <w:lang w:val="en-GB"/>
        </w:rPr>
        <w:t xml:space="preserve"> injurers to take efficient (cost justified) precautions to </w:t>
      </w:r>
      <w:proofErr w:type="spellStart"/>
      <w:r w:rsidRPr="008F48E7">
        <w:rPr>
          <w:rFonts w:ascii="Times New Roman" w:hAnsi="Times New Roman" w:cs="Times New Roman"/>
          <w:sz w:val="20"/>
          <w:szCs w:val="20"/>
          <w:lang w:val="en-GB"/>
        </w:rPr>
        <w:t>vaoid</w:t>
      </w:r>
      <w:proofErr w:type="spellEnd"/>
      <w:r w:rsidRPr="008F48E7">
        <w:rPr>
          <w:rFonts w:ascii="Times New Roman" w:hAnsi="Times New Roman" w:cs="Times New Roman"/>
          <w:sz w:val="20"/>
          <w:szCs w:val="20"/>
          <w:lang w:val="en-GB"/>
        </w:rPr>
        <w:t xml:space="preserve"> causing the accident</w:t>
      </w:r>
    </w:p>
    <w:p w14:paraId="4021FF05" w14:textId="310FBBFC" w:rsidR="008F48E7" w:rsidRPr="008F48E7" w:rsidRDefault="008F48E7" w:rsidP="008F48E7">
      <w:pPr>
        <w:pStyle w:val="ListParagraph"/>
        <w:numPr>
          <w:ilvl w:val="2"/>
          <w:numId w:val="2"/>
        </w:numPr>
        <w:rPr>
          <w:rFonts w:ascii="Times New Roman" w:hAnsi="Times New Roman" w:cs="Times New Roman"/>
          <w:sz w:val="20"/>
          <w:szCs w:val="20"/>
          <w:lang w:val="en-GB"/>
        </w:rPr>
      </w:pPr>
      <w:proofErr w:type="spellStart"/>
      <w:proofErr w:type="gramStart"/>
      <w:r w:rsidRPr="008F48E7">
        <w:rPr>
          <w:rFonts w:ascii="Times New Roman" w:hAnsi="Times New Roman" w:cs="Times New Roman"/>
          <w:sz w:val="20"/>
          <w:szCs w:val="20"/>
          <w:lang w:val="en-GB"/>
        </w:rPr>
        <w:t>l</w:t>
      </w:r>
      <w:proofErr w:type="gramEnd"/>
      <w:r w:rsidRPr="008F48E7">
        <w:rPr>
          <w:rFonts w:ascii="Times New Roman" w:hAnsi="Times New Roman" w:cs="Times New Roman"/>
          <w:sz w:val="20"/>
          <w:szCs w:val="20"/>
          <w:lang w:val="en-GB"/>
        </w:rPr>
        <w:t>&amp;e</w:t>
      </w:r>
      <w:proofErr w:type="spellEnd"/>
      <w:r w:rsidRPr="008F48E7">
        <w:rPr>
          <w:rFonts w:ascii="Times New Roman" w:hAnsi="Times New Roman" w:cs="Times New Roman"/>
          <w:sz w:val="20"/>
          <w:szCs w:val="20"/>
          <w:lang w:val="en-GB"/>
        </w:rPr>
        <w:t xml:space="preserve"> </w:t>
      </w:r>
      <w:proofErr w:type="spellStart"/>
      <w:r w:rsidRPr="008F48E7">
        <w:rPr>
          <w:rFonts w:ascii="Times New Roman" w:hAnsi="Times New Roman" w:cs="Times New Roman"/>
          <w:sz w:val="20"/>
          <w:szCs w:val="20"/>
          <w:lang w:val="en-GB"/>
        </w:rPr>
        <w:t>sgares</w:t>
      </w:r>
      <w:proofErr w:type="spellEnd"/>
      <w:r w:rsidRPr="008F48E7">
        <w:rPr>
          <w:rFonts w:ascii="Times New Roman" w:hAnsi="Times New Roman" w:cs="Times New Roman"/>
          <w:sz w:val="20"/>
          <w:szCs w:val="20"/>
          <w:lang w:val="en-GB"/>
        </w:rPr>
        <w:t xml:space="preserve"> with other branches of economics the assumption that individuals are rational and respond to incentives</w:t>
      </w:r>
    </w:p>
    <w:p w14:paraId="25906F6F" w14:textId="52C23BCE" w:rsidR="008F48E7" w:rsidRPr="008F48E7" w:rsidRDefault="008F48E7" w:rsidP="008F48E7">
      <w:pPr>
        <w:pStyle w:val="ListParagraph"/>
        <w:numPr>
          <w:ilvl w:val="0"/>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According to </w:t>
      </w:r>
      <w:proofErr w:type="spellStart"/>
      <w:r w:rsidRPr="008F48E7">
        <w:rPr>
          <w:rFonts w:ascii="Times New Roman" w:hAnsi="Times New Roman" w:cs="Times New Roman"/>
          <w:sz w:val="20"/>
          <w:szCs w:val="20"/>
          <w:lang w:val="en-GB"/>
        </w:rPr>
        <w:t>l&amp;</w:t>
      </w:r>
      <w:proofErr w:type="gramStart"/>
      <w:r w:rsidRPr="008F48E7">
        <w:rPr>
          <w:rFonts w:ascii="Times New Roman" w:hAnsi="Times New Roman" w:cs="Times New Roman"/>
          <w:sz w:val="20"/>
          <w:szCs w:val="20"/>
          <w:lang w:val="en-GB"/>
        </w:rPr>
        <w:t>e</w:t>
      </w:r>
      <w:proofErr w:type="spellEnd"/>
      <w:r w:rsidRPr="008F48E7">
        <w:rPr>
          <w:rFonts w:ascii="Times New Roman" w:hAnsi="Times New Roman" w:cs="Times New Roman"/>
          <w:sz w:val="20"/>
          <w:szCs w:val="20"/>
          <w:lang w:val="en-GB"/>
        </w:rPr>
        <w:t> :</w:t>
      </w:r>
      <w:proofErr w:type="gramEnd"/>
      <w:r w:rsidRPr="008F48E7">
        <w:rPr>
          <w:rFonts w:ascii="Times New Roman" w:hAnsi="Times New Roman" w:cs="Times New Roman"/>
          <w:sz w:val="20"/>
          <w:szCs w:val="20"/>
          <w:lang w:val="en-GB"/>
        </w:rPr>
        <w:t xml:space="preserve"> the private legal system must perform three functions : </w:t>
      </w:r>
    </w:p>
    <w:p w14:paraId="776AAED6" w14:textId="1E44AF09" w:rsidR="008F48E7" w:rsidRPr="008F48E7" w:rsidRDefault="008F48E7" w:rsidP="008F48E7">
      <w:pPr>
        <w:pStyle w:val="ListParagraph"/>
        <w:numPr>
          <w:ilvl w:val="1"/>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It must </w:t>
      </w:r>
      <w:proofErr w:type="spellStart"/>
      <w:r w:rsidRPr="008F48E7">
        <w:rPr>
          <w:rFonts w:ascii="Times New Roman" w:hAnsi="Times New Roman" w:cs="Times New Roman"/>
          <w:sz w:val="20"/>
          <w:szCs w:val="20"/>
          <w:lang w:val="en-GB"/>
        </w:rPr>
        <w:t>defineproperty</w:t>
      </w:r>
      <w:proofErr w:type="spellEnd"/>
      <w:r w:rsidRPr="008F48E7">
        <w:rPr>
          <w:rFonts w:ascii="Times New Roman" w:hAnsi="Times New Roman" w:cs="Times New Roman"/>
          <w:sz w:val="20"/>
          <w:szCs w:val="20"/>
          <w:lang w:val="en-GB"/>
        </w:rPr>
        <w:t xml:space="preserve"> </w:t>
      </w:r>
      <w:proofErr w:type="gramStart"/>
      <w:r w:rsidRPr="008F48E7">
        <w:rPr>
          <w:rFonts w:ascii="Times New Roman" w:hAnsi="Times New Roman" w:cs="Times New Roman"/>
          <w:sz w:val="20"/>
          <w:szCs w:val="20"/>
          <w:lang w:val="en-GB"/>
        </w:rPr>
        <w:t>rights :</w:t>
      </w:r>
      <w:proofErr w:type="gramEnd"/>
      <w:r w:rsidRPr="008F48E7">
        <w:rPr>
          <w:rFonts w:ascii="Times New Roman" w:hAnsi="Times New Roman" w:cs="Times New Roman"/>
          <w:sz w:val="20"/>
          <w:szCs w:val="20"/>
          <w:lang w:val="en-GB"/>
        </w:rPr>
        <w:t xml:space="preserve"> property law</w:t>
      </w:r>
    </w:p>
    <w:p w14:paraId="54A77B28" w14:textId="6E06CC2B" w:rsidR="008F48E7" w:rsidRPr="008F48E7" w:rsidRDefault="008F48E7" w:rsidP="008F48E7">
      <w:pPr>
        <w:pStyle w:val="ListParagraph"/>
        <w:numPr>
          <w:ilvl w:val="1"/>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It must allow for transfer of </w:t>
      </w:r>
      <w:proofErr w:type="gramStart"/>
      <w:r w:rsidRPr="008F48E7">
        <w:rPr>
          <w:rFonts w:ascii="Times New Roman" w:hAnsi="Times New Roman" w:cs="Times New Roman"/>
          <w:sz w:val="20"/>
          <w:szCs w:val="20"/>
          <w:lang w:val="en-GB"/>
        </w:rPr>
        <w:t>property :</w:t>
      </w:r>
      <w:proofErr w:type="gramEnd"/>
      <w:r w:rsidRPr="008F48E7">
        <w:rPr>
          <w:rFonts w:ascii="Times New Roman" w:hAnsi="Times New Roman" w:cs="Times New Roman"/>
          <w:sz w:val="20"/>
          <w:szCs w:val="20"/>
          <w:lang w:val="en-GB"/>
        </w:rPr>
        <w:t xml:space="preserve"> contract law</w:t>
      </w:r>
    </w:p>
    <w:p w14:paraId="4BFBA3F1" w14:textId="27F5DA8D" w:rsidR="008F48E7" w:rsidRPr="008F48E7" w:rsidRDefault="008F48E7" w:rsidP="008F48E7">
      <w:pPr>
        <w:pStyle w:val="ListParagraph"/>
        <w:numPr>
          <w:ilvl w:val="1"/>
          <w:numId w:val="2"/>
        </w:numPr>
        <w:rPr>
          <w:rFonts w:ascii="Times New Roman" w:hAnsi="Times New Roman" w:cs="Times New Roman"/>
          <w:sz w:val="20"/>
          <w:szCs w:val="20"/>
          <w:lang w:val="en-GB"/>
        </w:rPr>
      </w:pPr>
      <w:r w:rsidRPr="008F48E7">
        <w:rPr>
          <w:rFonts w:ascii="Times New Roman" w:hAnsi="Times New Roman" w:cs="Times New Roman"/>
          <w:sz w:val="20"/>
          <w:szCs w:val="20"/>
          <w:lang w:val="en-GB"/>
        </w:rPr>
        <w:t xml:space="preserve">And the system must protect property </w:t>
      </w:r>
      <w:proofErr w:type="gramStart"/>
      <w:r w:rsidRPr="008F48E7">
        <w:rPr>
          <w:rFonts w:ascii="Times New Roman" w:hAnsi="Times New Roman" w:cs="Times New Roman"/>
          <w:sz w:val="20"/>
          <w:szCs w:val="20"/>
          <w:lang w:val="en-GB"/>
        </w:rPr>
        <w:t>rights :</w:t>
      </w:r>
      <w:proofErr w:type="gramEnd"/>
      <w:r w:rsidRPr="008F48E7">
        <w:rPr>
          <w:rFonts w:ascii="Times New Roman" w:hAnsi="Times New Roman" w:cs="Times New Roman"/>
          <w:sz w:val="20"/>
          <w:szCs w:val="20"/>
          <w:lang w:val="en-GB"/>
        </w:rPr>
        <w:t xml:space="preserve"> function of tort law and criminal law</w:t>
      </w:r>
    </w:p>
    <w:p w14:paraId="0E89F5E6" w14:textId="77777777" w:rsidR="0065794E" w:rsidRPr="008F48E7" w:rsidRDefault="0065794E" w:rsidP="0065794E">
      <w:pPr>
        <w:rPr>
          <w:rFonts w:ascii="Times New Roman" w:hAnsi="Times New Roman" w:cs="Times New Roman"/>
          <w:sz w:val="20"/>
          <w:szCs w:val="20"/>
          <w:lang w:val="en-GB"/>
        </w:rPr>
      </w:pPr>
    </w:p>
    <w:p w14:paraId="5DAB2BF4" w14:textId="77777777" w:rsidR="0065794E" w:rsidRPr="0065794E" w:rsidRDefault="0065794E" w:rsidP="0065794E">
      <w:pPr>
        <w:rPr>
          <w:rFonts w:ascii="Times New Roman" w:hAnsi="Times New Roman" w:cs="Times New Roman"/>
          <w:sz w:val="20"/>
          <w:szCs w:val="20"/>
        </w:rPr>
      </w:pPr>
      <w:bookmarkStart w:id="0" w:name="_GoBack"/>
      <w:bookmarkEnd w:id="0"/>
    </w:p>
    <w:sectPr w:rsidR="0065794E" w:rsidRPr="0065794E" w:rsidSect="0083455D">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6DA"/>
    <w:multiLevelType w:val="hybridMultilevel"/>
    <w:tmpl w:val="53DC7AA0"/>
    <w:lvl w:ilvl="0" w:tplc="CD8C24F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DC4A5B"/>
    <w:multiLevelType w:val="hybridMultilevel"/>
    <w:tmpl w:val="62F01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27712"/>
    <w:multiLevelType w:val="hybridMultilevel"/>
    <w:tmpl w:val="EAB0EB00"/>
    <w:lvl w:ilvl="0" w:tplc="534AB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AA"/>
    <w:rsid w:val="00146720"/>
    <w:rsid w:val="0025472F"/>
    <w:rsid w:val="00322A63"/>
    <w:rsid w:val="003949F9"/>
    <w:rsid w:val="00396E52"/>
    <w:rsid w:val="003D5E0A"/>
    <w:rsid w:val="004807AA"/>
    <w:rsid w:val="004D5850"/>
    <w:rsid w:val="0065794E"/>
    <w:rsid w:val="006B57C2"/>
    <w:rsid w:val="0083455D"/>
    <w:rsid w:val="008514E2"/>
    <w:rsid w:val="008F48E7"/>
    <w:rsid w:val="00C055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9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urojust.europa.eu/doclibrary/Eurojust-framework/ejdecision/Eurojust%20Decision%20(Council%20Decision%202002-187-JHA)/Eurojust-Council-Decision-2002-187-JHA-FR.pdf" TargetMode="External"/><Relationship Id="rId7" Type="http://schemas.openxmlformats.org/officeDocument/2006/relationships/hyperlink" Target="http://www.eurojust.europa.eu/doclibrary/Eurojust-framework/ejdecision/New%20Eurojust%20Decision%20(Council%20Decision%202009-426-JHA)/Eurojust-Council-Decision-2009-426-JHA-FR.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1327</Words>
  <Characters>7570</Characters>
  <Application>Microsoft Macintosh Word</Application>
  <DocSecurity>0</DocSecurity>
  <Lines>63</Lines>
  <Paragraphs>17</Paragraphs>
  <ScaleCrop>false</ScaleCrop>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2014-09-17T12:51:00Z</dcterms:created>
  <dcterms:modified xsi:type="dcterms:W3CDTF">2014-09-17T14:41:00Z</dcterms:modified>
</cp:coreProperties>
</file>