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ED9" w:rsidRDefault="00252ED9">
      <w:pPr>
        <w:rPr>
          <w:b/>
        </w:rPr>
      </w:pPr>
      <w:bookmarkStart w:id="0" w:name="_GoBack"/>
      <w:r>
        <w:rPr>
          <w:b/>
        </w:rPr>
        <w:t>Notes de cours JP Mignard.</w:t>
      </w:r>
    </w:p>
    <w:p w:rsidR="00252ED9" w:rsidRPr="00252ED9" w:rsidRDefault="000D5F48">
      <w:pPr>
        <w:rPr>
          <w:i/>
        </w:rPr>
      </w:pPr>
      <w:r>
        <w:rPr>
          <w:i/>
        </w:rPr>
        <w:t>Octobre 2014</w:t>
      </w:r>
    </w:p>
    <w:p w:rsidR="00790047" w:rsidRPr="00252ED9" w:rsidRDefault="00790047" w:rsidP="00E578DE">
      <w:pPr>
        <w:jc w:val="both"/>
        <w:rPr>
          <w:i/>
        </w:rPr>
      </w:pPr>
      <w:r w:rsidRPr="007C5627">
        <w:rPr>
          <w:b/>
        </w:rPr>
        <w:t xml:space="preserve">Les infractions spécifiques à </w:t>
      </w:r>
      <w:r w:rsidR="00252ED9">
        <w:rPr>
          <w:b/>
        </w:rPr>
        <w:t>l</w:t>
      </w:r>
      <w:r w:rsidRPr="007C5627">
        <w:rPr>
          <w:b/>
        </w:rPr>
        <w:t>’entreprise</w:t>
      </w:r>
      <w:r w:rsidR="007C5627" w:rsidRPr="007C5627">
        <w:rPr>
          <w:b/>
        </w:rPr>
        <w:t xml:space="preserve"> (</w:t>
      </w:r>
      <w:r w:rsidR="007C5627" w:rsidRPr="00252ED9">
        <w:rPr>
          <w:i/>
        </w:rPr>
        <w:t>hormis la constitution irrégulière du capital et les opérations sur le capital de l’entreprise)</w:t>
      </w:r>
    </w:p>
    <w:p w:rsidR="00790047" w:rsidRDefault="00790047"/>
    <w:p w:rsidR="00A04133" w:rsidRDefault="00790047" w:rsidP="00E578DE">
      <w:pPr>
        <w:jc w:val="both"/>
      </w:pPr>
      <w:r>
        <w:t xml:space="preserve">Il n’existe pas de politique d’agrément d’une constitution </w:t>
      </w:r>
      <w:r w:rsidR="007C5627">
        <w:t>d’entreprise</w:t>
      </w:r>
      <w:r>
        <w:t xml:space="preserve">. En France on doit y satisfaire au risque de </w:t>
      </w:r>
      <w:r w:rsidR="007C5627">
        <w:t>poursuites</w:t>
      </w:r>
      <w:r>
        <w:t xml:space="preserve"> ex post.</w:t>
      </w:r>
      <w:r w:rsidR="00252ED9">
        <w:t xml:space="preserve"> D’où l’importance du droit pénal et son caractère contraignant.</w:t>
      </w:r>
    </w:p>
    <w:p w:rsidR="00790047" w:rsidRDefault="00790047"/>
    <w:p w:rsidR="00790047" w:rsidRDefault="00790047" w:rsidP="00E578DE">
      <w:pPr>
        <w:jc w:val="both"/>
      </w:pPr>
      <w:r>
        <w:t xml:space="preserve">Le </w:t>
      </w:r>
      <w:r w:rsidR="007C5627">
        <w:t>législateur</w:t>
      </w:r>
      <w:r>
        <w:t xml:space="preserve"> a été amené à réduire le risque pénal avec des lois successives  du 15 mai 2001, sur la constitution du capital social, du 1</w:t>
      </w:r>
      <w:r w:rsidRPr="00790047">
        <w:rPr>
          <w:vertAlign w:val="superscript"/>
        </w:rPr>
        <w:t>er</w:t>
      </w:r>
      <w:r>
        <w:t xml:space="preserve"> aout 2003 sur l’initiative </w:t>
      </w:r>
      <w:r w:rsidR="007C5627">
        <w:t>économique</w:t>
      </w:r>
      <w:r>
        <w:t xml:space="preserve">,  et de la sécurité </w:t>
      </w:r>
      <w:r w:rsidR="007C5627">
        <w:t>financière</w:t>
      </w:r>
      <w:r>
        <w:t xml:space="preserve">,  </w:t>
      </w:r>
      <w:r w:rsidR="007C5627">
        <w:t>et des</w:t>
      </w:r>
      <w:r>
        <w:t xml:space="preserve"> ordonnances du 25 mars et 25 juin 2004 ont </w:t>
      </w:r>
      <w:r w:rsidR="00342A5D">
        <w:t>accéléré ce mouvement de dépénalisation.</w:t>
      </w:r>
    </w:p>
    <w:p w:rsidR="00342A5D" w:rsidRDefault="00342A5D" w:rsidP="00E578DE">
      <w:pPr>
        <w:jc w:val="both"/>
      </w:pPr>
      <w:r>
        <w:t xml:space="preserve">Il reste un droit pénal de l’entreprise rigoureux qui concerne </w:t>
      </w:r>
      <w:r w:rsidR="007C5627">
        <w:t>à</w:t>
      </w:r>
      <w:r>
        <w:t xml:space="preserve"> la fois les </w:t>
      </w:r>
      <w:r w:rsidR="007C5627">
        <w:t>industriels</w:t>
      </w:r>
      <w:r>
        <w:t xml:space="preserve"> et </w:t>
      </w:r>
      <w:r w:rsidR="007C5627">
        <w:t>commerçants</w:t>
      </w:r>
      <w:r>
        <w:t xml:space="preserve"> et les personnes </w:t>
      </w:r>
      <w:r w:rsidR="007C5627">
        <w:t>morales</w:t>
      </w:r>
      <w:r>
        <w:t xml:space="preserve"> de droit privé.</w:t>
      </w:r>
    </w:p>
    <w:p w:rsidR="00E578DE" w:rsidRDefault="00E578DE" w:rsidP="00E578DE">
      <w:pPr>
        <w:jc w:val="both"/>
      </w:pPr>
    </w:p>
    <w:p w:rsidR="00342A5D" w:rsidRDefault="00342A5D" w:rsidP="00E578DE">
      <w:pPr>
        <w:jc w:val="both"/>
      </w:pPr>
      <w:r w:rsidRPr="007C5627">
        <w:rPr>
          <w:b/>
        </w:rPr>
        <w:t xml:space="preserve">Régime des interdictions, </w:t>
      </w:r>
      <w:r w:rsidR="007C5627" w:rsidRPr="007C5627">
        <w:rPr>
          <w:b/>
        </w:rPr>
        <w:t>générales</w:t>
      </w:r>
      <w:r w:rsidRPr="007C5627">
        <w:rPr>
          <w:b/>
        </w:rPr>
        <w:t xml:space="preserve"> ou particulières</w:t>
      </w:r>
      <w:r>
        <w:t>.</w:t>
      </w:r>
    </w:p>
    <w:p w:rsidR="00342A5D" w:rsidRDefault="00342A5D" w:rsidP="00E578DE">
      <w:pPr>
        <w:jc w:val="both"/>
      </w:pPr>
      <w:r w:rsidRPr="007C5627">
        <w:rPr>
          <w:u w:val="single"/>
        </w:rPr>
        <w:t>Elles sont générales</w:t>
      </w:r>
      <w:r>
        <w:t xml:space="preserve"> 131-6 et 131-27, 131-28 du CP et applicables aux dirigeants considérés comme inaptes </w:t>
      </w:r>
      <w:r w:rsidR="007C5627">
        <w:t>à</w:t>
      </w:r>
      <w:r>
        <w:t xml:space="preserve"> exercer leur mission au risque de l’entreprise, de ses salariés, de ses clients </w:t>
      </w:r>
      <w:r w:rsidR="007C5627">
        <w:t>et de</w:t>
      </w:r>
      <w:r>
        <w:t xml:space="preserve"> ses </w:t>
      </w:r>
      <w:r w:rsidR="007C5627">
        <w:t>fournisseurs,</w:t>
      </w:r>
      <w:r>
        <w:t xml:space="preserve"> des tiers en général.</w:t>
      </w:r>
    </w:p>
    <w:p w:rsidR="00342A5D" w:rsidRDefault="00342A5D" w:rsidP="00E578DE">
      <w:pPr>
        <w:jc w:val="both"/>
      </w:pPr>
      <w:r w:rsidRPr="007C5627">
        <w:rPr>
          <w:u w:val="single"/>
        </w:rPr>
        <w:lastRenderedPageBreak/>
        <w:t>Elles sont  particulières</w:t>
      </w:r>
      <w:r>
        <w:t xml:space="preserve"> par  exemple et c’est le plus significatif pour ce qui concerne la profession </w:t>
      </w:r>
      <w:r w:rsidR="007C5627">
        <w:t>bancaire</w:t>
      </w:r>
      <w:r>
        <w:t xml:space="preserve"> </w:t>
      </w:r>
      <w:r w:rsidR="007C5627">
        <w:t>(art</w:t>
      </w:r>
      <w:r>
        <w:t xml:space="preserve"> L. 500-1 du CP) ce texte donne effet en </w:t>
      </w:r>
      <w:r w:rsidR="007C5627">
        <w:t>France</w:t>
      </w:r>
      <w:r>
        <w:t xml:space="preserve"> aux </w:t>
      </w:r>
      <w:r w:rsidR="007C5627">
        <w:t>condamnations</w:t>
      </w:r>
      <w:r>
        <w:t xml:space="preserve"> </w:t>
      </w:r>
      <w:r w:rsidR="007C5627">
        <w:t>étrangères</w:t>
      </w:r>
      <w:r>
        <w:t>.</w:t>
      </w:r>
    </w:p>
    <w:p w:rsidR="00342A5D" w:rsidRDefault="00342A5D" w:rsidP="00E578DE">
      <w:pPr>
        <w:jc w:val="both"/>
      </w:pPr>
    </w:p>
    <w:p w:rsidR="00342A5D" w:rsidRDefault="00342A5D" w:rsidP="00E578DE">
      <w:pPr>
        <w:jc w:val="both"/>
      </w:pPr>
      <w:r>
        <w:t xml:space="preserve">D’autres </w:t>
      </w:r>
      <w:r w:rsidR="007C5627">
        <w:t>infractions concernent</w:t>
      </w:r>
      <w:r>
        <w:t xml:space="preserve"> les </w:t>
      </w:r>
      <w:r w:rsidR="007C5627">
        <w:t>opérations</w:t>
      </w:r>
      <w:r>
        <w:t xml:space="preserve">  portant sur les immeubles fonds de commerce,  ou </w:t>
      </w:r>
      <w:r w:rsidR="007C5627">
        <w:t>prohibent</w:t>
      </w:r>
      <w:r>
        <w:t xml:space="preserve"> l’</w:t>
      </w:r>
      <w:r w:rsidR="007C5627">
        <w:t>accès</w:t>
      </w:r>
      <w:r>
        <w:t xml:space="preserve">  a certains condamnés aux professions de courtiers, </w:t>
      </w:r>
      <w:r w:rsidR="007C5627">
        <w:t>rédacteurs</w:t>
      </w:r>
      <w:r>
        <w:t xml:space="preserve"> d’</w:t>
      </w:r>
      <w:r w:rsidR="007C5627">
        <w:t>actes, intermédiaires</w:t>
      </w:r>
      <w:r w:rsidR="00E578DE">
        <w:t>.</w:t>
      </w:r>
    </w:p>
    <w:p w:rsidR="009548F1" w:rsidRDefault="009548F1" w:rsidP="00E578DE">
      <w:pPr>
        <w:jc w:val="both"/>
      </w:pPr>
    </w:p>
    <w:p w:rsidR="009548F1" w:rsidRDefault="009548F1" w:rsidP="00E578DE">
      <w:pPr>
        <w:jc w:val="both"/>
      </w:pPr>
      <w:r w:rsidRPr="007C5627">
        <w:rPr>
          <w:b/>
        </w:rPr>
        <w:t xml:space="preserve">Interdictions de nature para </w:t>
      </w:r>
      <w:r w:rsidR="007C5627" w:rsidRPr="007C5627">
        <w:rPr>
          <w:b/>
        </w:rPr>
        <w:t>pénale</w:t>
      </w:r>
      <w:r w:rsidR="00E578DE">
        <w:t xml:space="preserve"> : </w:t>
      </w:r>
    </w:p>
    <w:p w:rsidR="009548F1" w:rsidRDefault="009548F1" w:rsidP="00E578DE">
      <w:pPr>
        <w:jc w:val="both"/>
      </w:pPr>
      <w:r>
        <w:t>Le</w:t>
      </w:r>
      <w:r w:rsidR="00252ED9">
        <w:t>s</w:t>
      </w:r>
      <w:r>
        <w:t xml:space="preserve"> code</w:t>
      </w:r>
      <w:r w:rsidR="00252ED9">
        <w:t>s</w:t>
      </w:r>
      <w:r>
        <w:t xml:space="preserve"> des </w:t>
      </w:r>
      <w:r w:rsidR="007C5627">
        <w:t>assurances</w:t>
      </w:r>
      <w:r>
        <w:t xml:space="preserve">, de commerce, monétaire et financier </w:t>
      </w:r>
      <w:r w:rsidR="007C5627">
        <w:t>prévoient</w:t>
      </w:r>
      <w:r>
        <w:t xml:space="preserve"> une série d’interdiction identiques </w:t>
      </w:r>
      <w:r w:rsidR="00252ED9">
        <w:t xml:space="preserve">prononcées </w:t>
      </w:r>
      <w:r>
        <w:t xml:space="preserve">par les </w:t>
      </w:r>
      <w:r w:rsidR="007C5627">
        <w:t>juridictions</w:t>
      </w:r>
      <w:r>
        <w:t xml:space="preserve">  commerciales </w:t>
      </w:r>
      <w:r w:rsidR="007C5627">
        <w:t>(actes</w:t>
      </w:r>
      <w:r>
        <w:t xml:space="preserve"> </w:t>
      </w:r>
      <w:r w:rsidR="007C5627">
        <w:t>annulés,</w:t>
      </w:r>
      <w:r>
        <w:t xml:space="preserve"> procédure </w:t>
      </w:r>
      <w:r w:rsidR="007C5627">
        <w:t>collective</w:t>
      </w:r>
      <w:r>
        <w:t xml:space="preserve"> même si </w:t>
      </w:r>
      <w:r w:rsidR="007C5627">
        <w:t>commerçant</w:t>
      </w:r>
      <w:r>
        <w:t xml:space="preserve"> de fait, faillite personnelle en cas de cessation de </w:t>
      </w:r>
      <w:r w:rsidR="007C5627">
        <w:t>paiement</w:t>
      </w:r>
      <w:r>
        <w:t>…)</w:t>
      </w:r>
    </w:p>
    <w:p w:rsidR="009548F1" w:rsidRDefault="009548F1" w:rsidP="00E578DE">
      <w:pPr>
        <w:jc w:val="both"/>
      </w:pPr>
      <w:r>
        <w:t xml:space="preserve">La </w:t>
      </w:r>
      <w:r w:rsidR="007C5627">
        <w:t>faillite</w:t>
      </w:r>
      <w:r>
        <w:t xml:space="preserve"> personnelle entraine </w:t>
      </w:r>
      <w:r w:rsidR="007C5627">
        <w:t>de</w:t>
      </w:r>
      <w:r w:rsidR="009D26A6">
        <w:t xml:space="preserve"> plein droit l’interdictionde gérer. Celle-ci peut etre de surcroit prononcée dans tous les cas énumérés supra.</w:t>
      </w:r>
    </w:p>
    <w:p w:rsidR="009D26A6" w:rsidRDefault="009D26A6" w:rsidP="00E578DE">
      <w:pPr>
        <w:jc w:val="both"/>
      </w:pPr>
    </w:p>
    <w:p w:rsidR="00E578DE" w:rsidRDefault="00E578DE" w:rsidP="00E578DE">
      <w:pPr>
        <w:jc w:val="both"/>
      </w:pPr>
    </w:p>
    <w:p w:rsidR="00E578DE" w:rsidRDefault="00E578DE" w:rsidP="00E578DE">
      <w:pPr>
        <w:jc w:val="both"/>
      </w:pPr>
    </w:p>
    <w:p w:rsidR="00E578DE" w:rsidRDefault="00E578DE" w:rsidP="00E578DE">
      <w:pPr>
        <w:jc w:val="both"/>
      </w:pPr>
    </w:p>
    <w:p w:rsidR="00E578DE" w:rsidRDefault="00E578DE" w:rsidP="00E578DE">
      <w:pPr>
        <w:jc w:val="both"/>
      </w:pPr>
    </w:p>
    <w:p w:rsidR="00E578DE" w:rsidRDefault="00E578DE" w:rsidP="00E578DE">
      <w:pPr>
        <w:jc w:val="both"/>
      </w:pPr>
    </w:p>
    <w:p w:rsidR="009D26A6" w:rsidRPr="00252ED9" w:rsidRDefault="009D26A6" w:rsidP="00E578DE">
      <w:pPr>
        <w:jc w:val="both"/>
        <w:rPr>
          <w:b/>
        </w:rPr>
      </w:pPr>
      <w:r w:rsidRPr="00252ED9">
        <w:rPr>
          <w:b/>
        </w:rPr>
        <w:lastRenderedPageBreak/>
        <w:t>Obligations</w:t>
      </w:r>
      <w:r w:rsidR="00733032" w:rsidRPr="00252ED9">
        <w:rPr>
          <w:b/>
        </w:rPr>
        <w:t xml:space="preserve"> professionnelles et répressiondes manquements</w:t>
      </w:r>
    </w:p>
    <w:p w:rsidR="00E578DE" w:rsidRDefault="00E578DE" w:rsidP="00E578DE">
      <w:pPr>
        <w:jc w:val="both"/>
        <w:rPr>
          <w:u w:val="single"/>
        </w:rPr>
      </w:pPr>
    </w:p>
    <w:p w:rsidR="00733032" w:rsidRPr="00252ED9" w:rsidRDefault="00733032" w:rsidP="00E578DE">
      <w:pPr>
        <w:jc w:val="both"/>
        <w:rPr>
          <w:u w:val="single"/>
        </w:rPr>
      </w:pPr>
      <w:r w:rsidRPr="00252ED9">
        <w:rPr>
          <w:u w:val="single"/>
        </w:rPr>
        <w:t>Omission d’inscription au registre du commerce et</w:t>
      </w:r>
      <w:r w:rsidR="007C5627" w:rsidRPr="00252ED9">
        <w:rPr>
          <w:u w:val="single"/>
        </w:rPr>
        <w:t xml:space="preserve"> </w:t>
      </w:r>
      <w:r w:rsidRPr="00252ED9">
        <w:rPr>
          <w:u w:val="single"/>
        </w:rPr>
        <w:t>des sociétés </w:t>
      </w:r>
    </w:p>
    <w:p w:rsidR="00733032" w:rsidRDefault="00733032" w:rsidP="00E578DE">
      <w:pPr>
        <w:jc w:val="both"/>
      </w:pPr>
      <w:r w:rsidRPr="00252ED9">
        <w:rPr>
          <w:u w:val="single"/>
        </w:rPr>
        <w:t>Defaut d’immatriculation  de mention modificative  ou</w:t>
      </w:r>
      <w:r w:rsidR="00252ED9">
        <w:rPr>
          <w:u w:val="single"/>
        </w:rPr>
        <w:t xml:space="preserve"> </w:t>
      </w:r>
      <w:r w:rsidRPr="00252ED9">
        <w:rPr>
          <w:u w:val="single"/>
        </w:rPr>
        <w:t>de radiation du registre du commerce et</w:t>
      </w:r>
      <w:r w:rsidR="007C5627" w:rsidRPr="00252ED9">
        <w:rPr>
          <w:u w:val="single"/>
        </w:rPr>
        <w:t xml:space="preserve"> </w:t>
      </w:r>
      <w:r w:rsidRPr="00252ED9">
        <w:rPr>
          <w:u w:val="single"/>
        </w:rPr>
        <w:t>des sociétés</w:t>
      </w:r>
      <w:r>
        <w:t xml:space="preserve"> malgre l’injonction du juge commis  à la surveillance du registre.</w:t>
      </w:r>
    </w:p>
    <w:p w:rsidR="00733032" w:rsidRDefault="00733032" w:rsidP="00E578DE">
      <w:pPr>
        <w:jc w:val="both"/>
      </w:pPr>
      <w:r>
        <w:t>(art. L 123-4 du C</w:t>
      </w:r>
      <w:r w:rsidR="00E578DE">
        <w:t>ode</w:t>
      </w:r>
      <w:r>
        <w:t xml:space="preserve"> de com</w:t>
      </w:r>
      <w:r w:rsidR="00E578DE">
        <w:t>merce</w:t>
      </w:r>
      <w:r>
        <w:t>)</w:t>
      </w:r>
    </w:p>
    <w:p w:rsidR="00E578DE" w:rsidRDefault="00E578DE" w:rsidP="00E578DE">
      <w:pPr>
        <w:jc w:val="both"/>
        <w:rPr>
          <w:b/>
        </w:rPr>
      </w:pPr>
    </w:p>
    <w:p w:rsidR="00733032" w:rsidRPr="00252ED9" w:rsidRDefault="00733032" w:rsidP="00E578DE">
      <w:pPr>
        <w:jc w:val="both"/>
        <w:rPr>
          <w:b/>
        </w:rPr>
      </w:pPr>
      <w:r w:rsidRPr="00252ED9">
        <w:rPr>
          <w:b/>
        </w:rPr>
        <w:t>Infractions  de commission  au registre du commerce  et des sociétés</w:t>
      </w:r>
      <w:r w:rsidR="00252ED9">
        <w:rPr>
          <w:b/>
        </w:rPr>
        <w:t xml:space="preserve"> (RCS)</w:t>
      </w:r>
    </w:p>
    <w:p w:rsidR="00733032" w:rsidRDefault="00733032" w:rsidP="00E578DE">
      <w:pPr>
        <w:jc w:val="both"/>
      </w:pPr>
      <w:r>
        <w:t>Art. L 123-1 du C</w:t>
      </w:r>
      <w:r w:rsidR="00E578DE">
        <w:t>ode de commerce.</w:t>
      </w:r>
      <w:r>
        <w:t xml:space="preserve"> Il s’agit d’un délit de declarations inexactes ou d’omissions volontaires </w:t>
      </w:r>
      <w:r w:rsidR="00E578DE">
        <w:t>en vue d’une immatriculation ou</w:t>
      </w:r>
      <w:r w:rsidR="00252ED9">
        <w:t xml:space="preserve"> d’une radiation</w:t>
      </w:r>
      <w:r>
        <w:t>, l’auteur devant avoir agi de mauvaise foi. Si l’on est</w:t>
      </w:r>
      <w:r w:rsidR="007C5627">
        <w:t xml:space="preserve"> </w:t>
      </w:r>
      <w:r>
        <w:t>de bonne foi en cas d’erreur tout simplement je juge a un pouvoir d’injonction. La rsistnace crée alors l’infraction.</w:t>
      </w:r>
    </w:p>
    <w:p w:rsidR="00E578DE" w:rsidRDefault="00E578DE" w:rsidP="00E578DE">
      <w:pPr>
        <w:jc w:val="both"/>
        <w:rPr>
          <w:b/>
        </w:rPr>
      </w:pPr>
    </w:p>
    <w:p w:rsidR="00733032" w:rsidRPr="00252ED9" w:rsidRDefault="009F6FE6" w:rsidP="00E578DE">
      <w:pPr>
        <w:jc w:val="both"/>
        <w:rPr>
          <w:b/>
        </w:rPr>
      </w:pPr>
      <w:r w:rsidRPr="00252ED9">
        <w:rPr>
          <w:b/>
        </w:rPr>
        <w:t>Comptabilité</w:t>
      </w:r>
    </w:p>
    <w:p w:rsidR="009F6FE6" w:rsidRDefault="009F6FE6" w:rsidP="00E578DE">
      <w:pPr>
        <w:jc w:val="both"/>
      </w:pPr>
      <w:r w:rsidRPr="00252ED9">
        <w:rPr>
          <w:u w:val="single"/>
        </w:rPr>
        <w:t>Obligation d’enregistrement comptable des mouvements affectant son patrimoine</w:t>
      </w:r>
      <w:r>
        <w:t xml:space="preserve">. Art L 123-12 du </w:t>
      </w:r>
      <w:r w:rsidR="00E578DE">
        <w:t>C</w:t>
      </w:r>
      <w:r>
        <w:t>ode de com.</w:t>
      </w:r>
    </w:p>
    <w:p w:rsidR="009F6FE6" w:rsidRDefault="009F6FE6" w:rsidP="00E578DE">
      <w:pPr>
        <w:jc w:val="both"/>
      </w:pPr>
      <w:r>
        <w:t xml:space="preserve">Il s’agit d’assurer </w:t>
      </w:r>
      <w:r w:rsidR="007C5627">
        <w:t>la</w:t>
      </w:r>
      <w:r>
        <w:t xml:space="preserve"> bonne foi des </w:t>
      </w:r>
      <w:r w:rsidR="007C5627">
        <w:t>opérations</w:t>
      </w:r>
      <w:r>
        <w:t xml:space="preserve"> de commerce et</w:t>
      </w:r>
      <w:r w:rsidR="007C5627">
        <w:t xml:space="preserve"> </w:t>
      </w:r>
      <w:r>
        <w:t xml:space="preserve">de comptabilité. Un instrument de lutte contre la fraude  </w:t>
      </w:r>
      <w:r w:rsidR="007C5627">
        <w:t>(ordonnance</w:t>
      </w:r>
      <w:r>
        <w:t xml:space="preserve"> de Colbert de 1673).</w:t>
      </w:r>
    </w:p>
    <w:p w:rsidR="009F6FE6" w:rsidRDefault="009F6FE6" w:rsidP="00E578DE">
      <w:pPr>
        <w:jc w:val="both"/>
      </w:pPr>
      <w:r>
        <w:lastRenderedPageBreak/>
        <w:t xml:space="preserve">Elle offre la </w:t>
      </w:r>
      <w:r w:rsidR="007C5627">
        <w:t>visibilité</w:t>
      </w:r>
      <w:r>
        <w:t xml:space="preserve"> de son entreprise à ‘entrepreneur, </w:t>
      </w:r>
      <w:r w:rsidR="007C5627">
        <w:t>à</w:t>
      </w:r>
      <w:r>
        <w:t xml:space="preserve"> ses </w:t>
      </w:r>
      <w:r w:rsidR="007C5627">
        <w:t>clients</w:t>
      </w:r>
      <w:r>
        <w:t>, fournisseurs salariés au fisc et au juge.</w:t>
      </w:r>
    </w:p>
    <w:p w:rsidR="00E578DE" w:rsidRDefault="00E578DE" w:rsidP="00E578DE">
      <w:pPr>
        <w:jc w:val="both"/>
      </w:pPr>
    </w:p>
    <w:p w:rsidR="009F6FE6" w:rsidRDefault="007C5627" w:rsidP="00E578DE">
      <w:pPr>
        <w:jc w:val="both"/>
      </w:pPr>
      <w:r>
        <w:t>Cette</w:t>
      </w:r>
      <w:r w:rsidR="009F6FE6">
        <w:t xml:space="preserve"> obligation se </w:t>
      </w:r>
      <w:r>
        <w:t>décline</w:t>
      </w:r>
      <w:r w:rsidR="009F6FE6">
        <w:t xml:space="preserve"> ainsi :</w:t>
      </w:r>
    </w:p>
    <w:p w:rsidR="009F6FE6" w:rsidRDefault="009F6FE6" w:rsidP="00E578DE">
      <w:pPr>
        <w:jc w:val="both"/>
      </w:pPr>
      <w:r w:rsidRPr="00252ED9">
        <w:rPr>
          <w:u w:val="single"/>
        </w:rPr>
        <w:t>Bilan</w:t>
      </w:r>
      <w:r w:rsidR="00252ED9" w:rsidRPr="00252ED9">
        <w:rPr>
          <w:u w:val="single"/>
        </w:rPr>
        <w:t>,</w:t>
      </w:r>
      <w:r w:rsidRPr="00252ED9">
        <w:rPr>
          <w:u w:val="single"/>
        </w:rPr>
        <w:t xml:space="preserve"> compte de </w:t>
      </w:r>
      <w:r w:rsidR="007C5627" w:rsidRPr="00252ED9">
        <w:rPr>
          <w:u w:val="single"/>
        </w:rPr>
        <w:t>résultat</w:t>
      </w:r>
      <w:r w:rsidRPr="00252ED9">
        <w:rPr>
          <w:u w:val="single"/>
        </w:rPr>
        <w:t xml:space="preserve"> et annexe</w:t>
      </w:r>
      <w:r>
        <w:t>.</w:t>
      </w:r>
      <w:r w:rsidR="00252ED9">
        <w:t xml:space="preserve"> Ils do</w:t>
      </w:r>
      <w:r w:rsidR="00E578DE">
        <w:t>ivent obligatoirement y figurer.</w:t>
      </w:r>
    </w:p>
    <w:p w:rsidR="00E578DE" w:rsidRDefault="00E578DE" w:rsidP="00E578DE">
      <w:pPr>
        <w:jc w:val="both"/>
      </w:pPr>
    </w:p>
    <w:p w:rsidR="009F6FE6" w:rsidRDefault="009F6FE6" w:rsidP="00E578DE">
      <w:pPr>
        <w:jc w:val="both"/>
      </w:pPr>
      <w:r w:rsidRPr="00252ED9">
        <w:rPr>
          <w:u w:val="single"/>
        </w:rPr>
        <w:t xml:space="preserve">Principes de régularité de sincérité </w:t>
      </w:r>
      <w:r w:rsidR="00252ED9" w:rsidRPr="00252ED9">
        <w:rPr>
          <w:u w:val="single"/>
        </w:rPr>
        <w:t xml:space="preserve">et </w:t>
      </w:r>
      <w:r w:rsidR="007C5627" w:rsidRPr="00252ED9">
        <w:rPr>
          <w:u w:val="single"/>
        </w:rPr>
        <w:t>de</w:t>
      </w:r>
      <w:r w:rsidRPr="00252ED9">
        <w:rPr>
          <w:u w:val="single"/>
        </w:rPr>
        <w:t xml:space="preserve"> fidélité des comptes</w:t>
      </w:r>
      <w:r>
        <w:t>.</w:t>
      </w:r>
    </w:p>
    <w:p w:rsidR="009F6FE6" w:rsidRDefault="009F6FE6" w:rsidP="00E578DE">
      <w:pPr>
        <w:jc w:val="both"/>
      </w:pPr>
      <w:r>
        <w:t xml:space="preserve">Sanctions </w:t>
      </w:r>
      <w:r w:rsidR="007C5627">
        <w:t>pénales</w:t>
      </w:r>
      <w:r>
        <w:t xml:space="preserve"> civiles </w:t>
      </w:r>
      <w:r w:rsidR="007C5627">
        <w:t>administratives</w:t>
      </w:r>
      <w:r>
        <w:t xml:space="preserve"> et fiscales du code de </w:t>
      </w:r>
      <w:r w:rsidR="007C5627">
        <w:t>com.</w:t>
      </w:r>
      <w:r>
        <w:t xml:space="preserve"> (art L 123 -19 à -23) et de l’Autorité des marchés financiers </w:t>
      </w:r>
      <w:r w:rsidR="007C5627">
        <w:t>(623</w:t>
      </w:r>
      <w:r>
        <w:t xml:space="preserve">-1 du </w:t>
      </w:r>
      <w:r w:rsidR="007C5627">
        <w:t>Règlement</w:t>
      </w:r>
      <w:r>
        <w:t>)</w:t>
      </w:r>
      <w:r w:rsidR="00E578DE">
        <w:t>.</w:t>
      </w:r>
    </w:p>
    <w:p w:rsidR="00E578DE" w:rsidRDefault="00E578DE" w:rsidP="00E578DE">
      <w:pPr>
        <w:jc w:val="both"/>
      </w:pPr>
    </w:p>
    <w:p w:rsidR="009F6FE6" w:rsidRPr="00252ED9" w:rsidRDefault="009F6FE6" w:rsidP="00E578DE">
      <w:pPr>
        <w:jc w:val="both"/>
        <w:rPr>
          <w:b/>
        </w:rPr>
      </w:pPr>
      <w:r w:rsidRPr="00252ED9">
        <w:rPr>
          <w:b/>
        </w:rPr>
        <w:t>Infractions fiscales</w:t>
      </w:r>
      <w:r w:rsidR="00E578DE">
        <w:rPr>
          <w:b/>
        </w:rPr>
        <w:t xml:space="preserve"> : </w:t>
      </w:r>
    </w:p>
    <w:p w:rsidR="009F6FE6" w:rsidRDefault="009F6FE6" w:rsidP="00E578DE">
      <w:pPr>
        <w:jc w:val="both"/>
      </w:pPr>
      <w:r w:rsidRPr="00252ED9">
        <w:rPr>
          <w:u w:val="single"/>
        </w:rPr>
        <w:t>Délit d’</w:t>
      </w:r>
      <w:r w:rsidR="007C5627" w:rsidRPr="00252ED9">
        <w:rPr>
          <w:u w:val="single"/>
        </w:rPr>
        <w:t>omission</w:t>
      </w:r>
      <w:r w:rsidRPr="00252ED9">
        <w:rPr>
          <w:u w:val="single"/>
        </w:rPr>
        <w:t xml:space="preserve">  d’</w:t>
      </w:r>
      <w:r w:rsidR="007C5627" w:rsidRPr="00252ED9">
        <w:rPr>
          <w:u w:val="single"/>
        </w:rPr>
        <w:t>écriture</w:t>
      </w:r>
      <w:r w:rsidRPr="00252ED9">
        <w:rPr>
          <w:u w:val="single"/>
        </w:rPr>
        <w:t xml:space="preserve"> </w:t>
      </w:r>
      <w:r w:rsidR="00252ED9">
        <w:rPr>
          <w:u w:val="single"/>
        </w:rPr>
        <w:t>ou de</w:t>
      </w:r>
      <w:r w:rsidRPr="00252ED9">
        <w:rPr>
          <w:u w:val="single"/>
        </w:rPr>
        <w:t xml:space="preserve"> passation d’</w:t>
      </w:r>
      <w:r w:rsidR="007C5627" w:rsidRPr="00252ED9">
        <w:rPr>
          <w:u w:val="single"/>
        </w:rPr>
        <w:t>écritures</w:t>
      </w:r>
      <w:r>
        <w:t xml:space="preserve"> </w:t>
      </w:r>
      <w:r w:rsidRPr="00252ED9">
        <w:rPr>
          <w:u w:val="single"/>
        </w:rPr>
        <w:t>inexactes</w:t>
      </w:r>
      <w:r>
        <w:t xml:space="preserve"> (</w:t>
      </w:r>
      <w:r w:rsidR="007C5627">
        <w:t>Art</w:t>
      </w:r>
      <w:r>
        <w:t xml:space="preserve"> L 1743,1 du CGI)</w:t>
      </w:r>
    </w:p>
    <w:p w:rsidR="00174093" w:rsidRDefault="00174093" w:rsidP="00E578DE">
      <w:pPr>
        <w:jc w:val="both"/>
      </w:pPr>
      <w:r>
        <w:t xml:space="preserve">Il s’agit d’un </w:t>
      </w:r>
      <w:r w:rsidR="007C5627">
        <w:t>délit</w:t>
      </w:r>
      <w:r>
        <w:t xml:space="preserve"> volontaire et d’un délit obstacle </w:t>
      </w:r>
      <w:r w:rsidR="007C5627">
        <w:t>(visant</w:t>
      </w:r>
      <w:r>
        <w:t xml:space="preserve"> à prévenir une autre infraction dont celle-ci serait le support</w:t>
      </w:r>
      <w:r w:rsidR="007C5627">
        <w:t>) :</w:t>
      </w:r>
      <w:r>
        <w:t xml:space="preserve"> minoration des ventes, inclusion de charges dans le cadre d’une imposition forfaitaire etc…</w:t>
      </w:r>
    </w:p>
    <w:p w:rsidR="001B796A" w:rsidRDefault="00174093" w:rsidP="00E578DE">
      <w:pPr>
        <w:jc w:val="both"/>
      </w:pPr>
      <w:r>
        <w:t xml:space="preserve">Il faudra </w:t>
      </w:r>
      <w:r w:rsidR="007C5627">
        <w:t>néanmoins</w:t>
      </w:r>
      <w:r>
        <w:t xml:space="preserve"> démontrer qu’il ne s’agit pas d’une erreur et que l’omission ne pouvait être </w:t>
      </w:r>
      <w:r w:rsidR="007C5627">
        <w:t>ignorée</w:t>
      </w:r>
      <w:r>
        <w:t xml:space="preserve"> ce qui est un tempérament apporté par les juges </w:t>
      </w:r>
      <w:r w:rsidR="007C5627">
        <w:t>à</w:t>
      </w:r>
      <w:r>
        <w:t xml:space="preserve"> l’inflexibilité de  la loi. </w:t>
      </w:r>
      <w:r w:rsidR="007C5627">
        <w:t>Néanmoins</w:t>
      </w:r>
      <w:r>
        <w:t xml:space="preserve"> l’ignorance</w:t>
      </w:r>
      <w:r w:rsidR="001B796A">
        <w:t xml:space="preserve"> ni la crédulité de l’auteur de l’infraction n’</w:t>
      </w:r>
      <w:r w:rsidR="007C5627">
        <w:t>exonèrent</w:t>
      </w:r>
      <w:r w:rsidR="001B796A">
        <w:t xml:space="preserve"> sa </w:t>
      </w:r>
      <w:r w:rsidR="007C5627">
        <w:t>responsabilité</w:t>
      </w:r>
      <w:r w:rsidR="001B796A">
        <w:t>.</w:t>
      </w:r>
    </w:p>
    <w:p w:rsidR="00E578DE" w:rsidRDefault="00E578DE" w:rsidP="00E578DE">
      <w:pPr>
        <w:jc w:val="both"/>
      </w:pPr>
    </w:p>
    <w:p w:rsidR="00174093" w:rsidRPr="00252ED9" w:rsidRDefault="00D67215" w:rsidP="00E578DE">
      <w:pPr>
        <w:jc w:val="both"/>
        <w:rPr>
          <w:u w:val="single"/>
        </w:rPr>
      </w:pPr>
      <w:r w:rsidRPr="00252ED9">
        <w:rPr>
          <w:u w:val="single"/>
        </w:rPr>
        <w:lastRenderedPageBreak/>
        <w:t>Délit d’organisation de fausse comptabilité</w:t>
      </w:r>
    </w:p>
    <w:p w:rsidR="00D67215" w:rsidRDefault="00D67215" w:rsidP="00E578DE">
      <w:pPr>
        <w:jc w:val="both"/>
      </w:pPr>
      <w:r>
        <w:t xml:space="preserve">Art 1772-1 du CGI. L’élément matériel consiste à établir ou aider à établir de faux documents ou de fausses </w:t>
      </w:r>
      <w:r w:rsidR="007C5627">
        <w:t>déclarations</w:t>
      </w:r>
      <w:r>
        <w:t>.</w:t>
      </w:r>
    </w:p>
    <w:p w:rsidR="00E578DE" w:rsidRDefault="00E578DE" w:rsidP="00E578DE">
      <w:pPr>
        <w:jc w:val="both"/>
        <w:rPr>
          <w:b/>
        </w:rPr>
      </w:pPr>
    </w:p>
    <w:p w:rsidR="00D67215" w:rsidRPr="00252ED9" w:rsidRDefault="00D67215" w:rsidP="00E578DE">
      <w:pPr>
        <w:jc w:val="both"/>
        <w:rPr>
          <w:b/>
        </w:rPr>
      </w:pPr>
      <w:r w:rsidRPr="00252ED9">
        <w:rPr>
          <w:b/>
        </w:rPr>
        <w:t>Autres infractions</w:t>
      </w:r>
    </w:p>
    <w:p w:rsidR="00D67215" w:rsidRPr="00252ED9" w:rsidRDefault="00D67215" w:rsidP="00E578DE">
      <w:pPr>
        <w:jc w:val="both"/>
        <w:rPr>
          <w:i/>
        </w:rPr>
      </w:pPr>
      <w:r w:rsidRPr="00252ED9">
        <w:rPr>
          <w:i/>
        </w:rPr>
        <w:t>Code pénal</w:t>
      </w:r>
    </w:p>
    <w:p w:rsidR="00D67215" w:rsidRPr="00252ED9" w:rsidRDefault="00D67215" w:rsidP="00E578DE">
      <w:pPr>
        <w:jc w:val="both"/>
        <w:rPr>
          <w:u w:val="single"/>
        </w:rPr>
      </w:pPr>
      <w:r w:rsidRPr="00252ED9">
        <w:rPr>
          <w:u w:val="single"/>
        </w:rPr>
        <w:t>Escroquerie par présentation de faux documents comptables </w:t>
      </w:r>
    </w:p>
    <w:p w:rsidR="00D67215" w:rsidRDefault="00D67215" w:rsidP="00E578DE">
      <w:pPr>
        <w:jc w:val="both"/>
      </w:pPr>
      <w:r w:rsidRPr="00252ED9">
        <w:rPr>
          <w:u w:val="single"/>
        </w:rPr>
        <w:t>Faux par falsification de documents comptables</w:t>
      </w:r>
      <w:r>
        <w:t xml:space="preserve"> Art 441-1 du CP. La </w:t>
      </w:r>
      <w:r w:rsidR="007C5627">
        <w:t>pièce</w:t>
      </w:r>
      <w:r>
        <w:t xml:space="preserve"> comptable contrefaite ou falsifiée doit avoir causé un dommage à un tiers.</w:t>
      </w:r>
    </w:p>
    <w:p w:rsidR="00D67215" w:rsidRDefault="00D67215" w:rsidP="00E578DE">
      <w:pPr>
        <w:jc w:val="both"/>
      </w:pPr>
      <w:r w:rsidRPr="00252ED9">
        <w:rPr>
          <w:u w:val="single"/>
        </w:rPr>
        <w:t>Destruction ou dissimulation de documents comptables</w:t>
      </w:r>
      <w:r>
        <w:t xml:space="preserve">  (art</w:t>
      </w:r>
      <w:r w:rsidR="00E578DE">
        <w:t>icle</w:t>
      </w:r>
      <w:r>
        <w:t xml:space="preserve"> 434-4 2° du CP. Peine de 3 ans d’emprisonnement  et amende de 45</w:t>
      </w:r>
      <w:r w:rsidR="00E578DE">
        <w:t>.</w:t>
      </w:r>
      <w:r>
        <w:t>000€.</w:t>
      </w:r>
    </w:p>
    <w:p w:rsidR="00D67215" w:rsidRPr="00252ED9" w:rsidRDefault="007C5627" w:rsidP="00E578DE">
      <w:pPr>
        <w:jc w:val="both"/>
        <w:rPr>
          <w:u w:val="single"/>
        </w:rPr>
      </w:pPr>
      <w:r w:rsidRPr="00252ED9">
        <w:rPr>
          <w:u w:val="single"/>
        </w:rPr>
        <w:t>Défaut</w:t>
      </w:r>
      <w:r w:rsidR="00D67215" w:rsidRPr="00252ED9">
        <w:rPr>
          <w:u w:val="single"/>
        </w:rPr>
        <w:t xml:space="preserve"> d’</w:t>
      </w:r>
      <w:r w:rsidRPr="00252ED9">
        <w:rPr>
          <w:u w:val="single"/>
        </w:rPr>
        <w:t>établissement</w:t>
      </w:r>
      <w:r w:rsidR="00D67215" w:rsidRPr="00252ED9">
        <w:rPr>
          <w:u w:val="single"/>
        </w:rPr>
        <w:t xml:space="preserve"> des comptes annuels</w:t>
      </w:r>
    </w:p>
    <w:p w:rsidR="00D67215" w:rsidRDefault="007C5627" w:rsidP="00E578DE">
      <w:pPr>
        <w:jc w:val="both"/>
      </w:pPr>
      <w:r w:rsidRPr="00252ED9">
        <w:rPr>
          <w:u w:val="single"/>
        </w:rPr>
        <w:t>Présentation</w:t>
      </w:r>
      <w:r w:rsidR="00D67215" w:rsidRPr="00252ED9">
        <w:rPr>
          <w:u w:val="single"/>
        </w:rPr>
        <w:t xml:space="preserve"> de bilan inexact</w:t>
      </w:r>
      <w:r w:rsidR="00252ED9">
        <w:rPr>
          <w:u w:val="single"/>
        </w:rPr>
        <w:t> :</w:t>
      </w:r>
      <w:r w:rsidR="00D67215">
        <w:t xml:space="preserve"> par ex</w:t>
      </w:r>
      <w:r w:rsidR="00E578DE">
        <w:t>,</w:t>
      </w:r>
      <w:r w:rsidR="00D67215">
        <w:t xml:space="preserve"> majoration des </w:t>
      </w:r>
      <w:r>
        <w:t>immobilisations,</w:t>
      </w:r>
      <w:r w:rsidR="00D67215">
        <w:t xml:space="preserve"> omission de constitution de provisions, des amortisseme</w:t>
      </w:r>
      <w:r>
        <w:t>nts necessaires</w:t>
      </w:r>
      <w:r w:rsidR="00D67215">
        <w:t xml:space="preserve">, </w:t>
      </w:r>
      <w:r>
        <w:t>sous-évaluation</w:t>
      </w:r>
      <w:r w:rsidR="00D67215">
        <w:t xml:space="preserve"> des stocks, actifs fictifs ou cédés y figurant encore.</w:t>
      </w:r>
    </w:p>
    <w:p w:rsidR="00D67215" w:rsidRDefault="007C5627" w:rsidP="00E578DE">
      <w:pPr>
        <w:jc w:val="both"/>
      </w:pPr>
      <w:r>
        <w:t>Au passif dissimulation de rémunérations occultes, omission d’inscription de dettes certaines</w:t>
      </w:r>
    </w:p>
    <w:p w:rsidR="007C5627" w:rsidRPr="00252ED9" w:rsidRDefault="007C5627" w:rsidP="00E578DE">
      <w:pPr>
        <w:jc w:val="both"/>
        <w:rPr>
          <w:u w:val="single"/>
        </w:rPr>
      </w:pPr>
      <w:r w:rsidRPr="00252ED9">
        <w:rPr>
          <w:u w:val="single"/>
        </w:rPr>
        <w:t>Répartition de dividendes fictifs</w:t>
      </w:r>
    </w:p>
    <w:p w:rsidR="007C5627" w:rsidRDefault="007C5627" w:rsidP="00E578DE">
      <w:pPr>
        <w:jc w:val="both"/>
      </w:pPr>
      <w:r w:rsidRPr="00252ED9">
        <w:rPr>
          <w:u w:val="single"/>
        </w:rPr>
        <w:t>Banqueroute par comptabilité fictive</w:t>
      </w:r>
      <w:r>
        <w:t xml:space="preserve"> ou </w:t>
      </w:r>
      <w:r w:rsidRPr="00252ED9">
        <w:rPr>
          <w:u w:val="single"/>
        </w:rPr>
        <w:t>tenue d’une comptabilité manifestement irréguliere ou incomplete</w:t>
      </w:r>
    </w:p>
    <w:p w:rsidR="00733032" w:rsidRPr="00E578DE" w:rsidRDefault="007C5627" w:rsidP="00E578DE">
      <w:pPr>
        <w:jc w:val="both"/>
      </w:pPr>
      <w:r w:rsidRPr="00252ED9">
        <w:rPr>
          <w:u w:val="single"/>
        </w:rPr>
        <w:t xml:space="preserve">Non dépôt des comptes sociaux au greffe du T. </w:t>
      </w:r>
      <w:r w:rsidRPr="00E578DE">
        <w:rPr>
          <w:u w:val="single"/>
        </w:rPr>
        <w:t>com</w:t>
      </w:r>
      <w:r w:rsidR="00E578DE" w:rsidRPr="00E578DE">
        <w:rPr>
          <w:u w:val="single"/>
        </w:rPr>
        <w:t>merce</w:t>
      </w:r>
      <w:r w:rsidR="00E578DE">
        <w:t>.</w:t>
      </w:r>
    </w:p>
    <w:bookmarkEnd w:id="0"/>
    <w:sectPr w:rsidR="00733032" w:rsidRPr="00E578DE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F48" w:rsidRDefault="000D5F48" w:rsidP="000D5F48">
      <w:pPr>
        <w:spacing w:after="0" w:line="240" w:lineRule="auto"/>
      </w:pPr>
      <w:r>
        <w:separator/>
      </w:r>
    </w:p>
  </w:endnote>
  <w:endnote w:type="continuationSeparator" w:id="0">
    <w:p w:rsidR="000D5F48" w:rsidRDefault="000D5F48" w:rsidP="000D5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66988384"/>
      <w:docPartObj>
        <w:docPartGallery w:val="Page Numbers (Bottom of Page)"/>
        <w:docPartUnique/>
      </w:docPartObj>
    </w:sdtPr>
    <w:sdtEndPr/>
    <w:sdtContent>
      <w:p w:rsidR="000D5F48" w:rsidRDefault="000D5F4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3293">
          <w:rPr>
            <w:noProof/>
          </w:rPr>
          <w:t>1</w:t>
        </w:r>
        <w:r>
          <w:fldChar w:fldCharType="end"/>
        </w:r>
      </w:p>
    </w:sdtContent>
  </w:sdt>
  <w:p w:rsidR="000D5F48" w:rsidRDefault="000D5F4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F48" w:rsidRDefault="000D5F48" w:rsidP="000D5F48">
      <w:pPr>
        <w:spacing w:after="0" w:line="240" w:lineRule="auto"/>
      </w:pPr>
      <w:r>
        <w:separator/>
      </w:r>
    </w:p>
  </w:footnote>
  <w:footnote w:type="continuationSeparator" w:id="0">
    <w:p w:rsidR="000D5F48" w:rsidRDefault="000D5F48" w:rsidP="000D5F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047"/>
    <w:rsid w:val="000C1679"/>
    <w:rsid w:val="000D5F48"/>
    <w:rsid w:val="00123062"/>
    <w:rsid w:val="00167349"/>
    <w:rsid w:val="00174093"/>
    <w:rsid w:val="001B796A"/>
    <w:rsid w:val="001C368E"/>
    <w:rsid w:val="002101B0"/>
    <w:rsid w:val="00252ED9"/>
    <w:rsid w:val="00273293"/>
    <w:rsid w:val="00280CFE"/>
    <w:rsid w:val="00342A5D"/>
    <w:rsid w:val="003A3B47"/>
    <w:rsid w:val="003F61F3"/>
    <w:rsid w:val="00467FC8"/>
    <w:rsid w:val="005E41F2"/>
    <w:rsid w:val="006111AB"/>
    <w:rsid w:val="006D55C3"/>
    <w:rsid w:val="00704FF2"/>
    <w:rsid w:val="00717955"/>
    <w:rsid w:val="00720F59"/>
    <w:rsid w:val="00733032"/>
    <w:rsid w:val="00790047"/>
    <w:rsid w:val="007C5627"/>
    <w:rsid w:val="00842CBE"/>
    <w:rsid w:val="00886E31"/>
    <w:rsid w:val="009223F2"/>
    <w:rsid w:val="009548F1"/>
    <w:rsid w:val="009D26A6"/>
    <w:rsid w:val="009F13E6"/>
    <w:rsid w:val="009F6FE6"/>
    <w:rsid w:val="00A04133"/>
    <w:rsid w:val="00A40670"/>
    <w:rsid w:val="00A40703"/>
    <w:rsid w:val="00A8586D"/>
    <w:rsid w:val="00B00BCB"/>
    <w:rsid w:val="00C3215F"/>
    <w:rsid w:val="00C557DE"/>
    <w:rsid w:val="00D04EC9"/>
    <w:rsid w:val="00D67215"/>
    <w:rsid w:val="00D8702A"/>
    <w:rsid w:val="00E578DE"/>
    <w:rsid w:val="00E944E2"/>
    <w:rsid w:val="00EC4C31"/>
    <w:rsid w:val="00ED0F46"/>
    <w:rsid w:val="00EE291F"/>
    <w:rsid w:val="00EF2606"/>
    <w:rsid w:val="00FD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36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F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F4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F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F48"/>
  </w:style>
  <w:style w:type="paragraph" w:styleId="Footer">
    <w:name w:val="footer"/>
    <w:basedOn w:val="Normal"/>
    <w:link w:val="FooterChar"/>
    <w:uiPriority w:val="99"/>
    <w:unhideWhenUsed/>
    <w:rsid w:val="000D5F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F4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36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F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F4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F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F48"/>
  </w:style>
  <w:style w:type="paragraph" w:styleId="Footer">
    <w:name w:val="footer"/>
    <w:basedOn w:val="Normal"/>
    <w:link w:val="FooterChar"/>
    <w:uiPriority w:val="99"/>
    <w:unhideWhenUsed/>
    <w:rsid w:val="000D5F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769</Words>
  <Characters>4384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5143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 Lysias</dc:creator>
  <cp:lastModifiedBy>Sophia Allouache</cp:lastModifiedBy>
  <cp:revision>2</cp:revision>
  <cp:lastPrinted>2014-10-11T16:37:00Z</cp:lastPrinted>
  <dcterms:created xsi:type="dcterms:W3CDTF">2014-10-20T13:48:00Z</dcterms:created>
  <dcterms:modified xsi:type="dcterms:W3CDTF">2014-10-20T13:48:00Z</dcterms:modified>
</cp:coreProperties>
</file>