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880" w:rsidRDefault="00B06880" w:rsidP="00B06880">
      <w:pPr>
        <w:widowControl w:val="0"/>
        <w:autoSpaceDE w:val="0"/>
        <w:autoSpaceDN w:val="0"/>
        <w:adjustRightInd w:val="0"/>
        <w:spacing w:after="200"/>
        <w:rPr>
          <w:rFonts w:ascii="Georgia" w:hAnsi="Georgia" w:cs="Georgia"/>
          <w:b/>
          <w:bCs/>
          <w:color w:val="0E0E0E"/>
          <w:sz w:val="64"/>
          <w:szCs w:val="64"/>
          <w:lang w:val="en-US"/>
        </w:rPr>
      </w:pPr>
      <w:r>
        <w:rPr>
          <w:rFonts w:ascii="Georgia" w:hAnsi="Georgia" w:cs="Georgia"/>
          <w:b/>
          <w:bCs/>
          <w:color w:val="0E0E0E"/>
          <w:sz w:val="64"/>
          <w:szCs w:val="64"/>
          <w:lang w:val="en-US"/>
        </w:rPr>
        <w:t>Évasion fiscale: le Luxembourg a passé des accords secrets avec 340 multinationales pour minimiser leurs impôts</w:t>
      </w:r>
    </w:p>
    <w:p w:rsidR="00B06880" w:rsidRDefault="00B06880" w:rsidP="00B06880">
      <w:pPr>
        <w:widowControl w:val="0"/>
        <w:autoSpaceDE w:val="0"/>
        <w:autoSpaceDN w:val="0"/>
        <w:adjustRightInd w:val="0"/>
        <w:rPr>
          <w:rFonts w:ascii="Arial" w:hAnsi="Arial" w:cs="Arial"/>
          <w:color w:val="878787"/>
          <w:lang w:val="en-US"/>
        </w:rPr>
      </w:pPr>
      <w:r>
        <w:rPr>
          <w:rFonts w:ascii="Arial" w:hAnsi="Arial" w:cs="Arial"/>
          <w:b/>
          <w:bCs/>
          <w:color w:val="878787"/>
          <w:lang w:val="en-US"/>
        </w:rPr>
        <w:t>AFP</w:t>
      </w:r>
    </w:p>
    <w:p w:rsidR="00B06880" w:rsidRDefault="00B06880" w:rsidP="00B06880">
      <w:pPr>
        <w:widowControl w:val="0"/>
        <w:autoSpaceDE w:val="0"/>
        <w:autoSpaceDN w:val="0"/>
        <w:adjustRightInd w:val="0"/>
        <w:rPr>
          <w:rFonts w:ascii="Arial" w:hAnsi="Arial" w:cs="Arial"/>
          <w:color w:val="878787"/>
          <w:sz w:val="22"/>
          <w:szCs w:val="22"/>
          <w:lang w:val="en-US"/>
        </w:rPr>
      </w:pPr>
      <w:r>
        <w:rPr>
          <w:rFonts w:ascii="Arial" w:hAnsi="Arial" w:cs="Arial"/>
          <w:color w:val="878787"/>
          <w:sz w:val="22"/>
          <w:szCs w:val="22"/>
          <w:lang w:val="en-US"/>
        </w:rPr>
        <w:t>Publication: 06/11/2014 07h52 CET Mis à jour: 06/11/2014 09h39 CET</w:t>
      </w:r>
    </w:p>
    <w:p w:rsidR="00B06880" w:rsidRDefault="00B06880" w:rsidP="00B06880">
      <w:pPr>
        <w:widowControl w:val="0"/>
        <w:autoSpaceDE w:val="0"/>
        <w:autoSpaceDN w:val="0"/>
        <w:adjustRightInd w:val="0"/>
        <w:jc w:val="center"/>
        <w:rPr>
          <w:rFonts w:ascii="Arial" w:hAnsi="Arial" w:cs="Arial"/>
          <w:color w:val="1A1A1A"/>
          <w:sz w:val="26"/>
          <w:szCs w:val="26"/>
          <w:lang w:val="en-US"/>
        </w:rPr>
      </w:pPr>
      <w:r>
        <w:rPr>
          <w:rFonts w:ascii="Arial" w:hAnsi="Arial" w:cs="Arial"/>
          <w:noProof/>
          <w:color w:val="1A1A1A"/>
          <w:sz w:val="26"/>
          <w:szCs w:val="26"/>
          <w:lang w:val="en-US"/>
        </w:rPr>
        <w:drawing>
          <wp:inline distT="0" distB="0" distL="0" distR="0">
            <wp:extent cx="7237730" cy="3021965"/>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7730" cy="3021965"/>
                    </a:xfrm>
                    <a:prstGeom prst="rect">
                      <a:avLst/>
                    </a:prstGeom>
                    <a:noFill/>
                    <a:ln>
                      <a:noFill/>
                    </a:ln>
                  </pic:spPr>
                </pic:pic>
              </a:graphicData>
            </a:graphic>
          </wp:inline>
        </w:drawing>
      </w:r>
    </w:p>
    <w:tbl>
      <w:tblPr>
        <w:tblW w:w="0" w:type="auto"/>
        <w:tblBorders>
          <w:top w:val="nil"/>
          <w:left w:val="nil"/>
          <w:right w:val="nil"/>
        </w:tblBorders>
        <w:tblLayout w:type="fixed"/>
        <w:tblLook w:val="0000" w:firstRow="0" w:lastRow="0" w:firstColumn="0" w:lastColumn="0" w:noHBand="0" w:noVBand="0"/>
      </w:tblPr>
      <w:tblGrid>
        <w:gridCol w:w="1200"/>
      </w:tblGrid>
      <w:tr w:rsidR="00B06880">
        <w:tblPrEx>
          <w:tblCellMar>
            <w:top w:w="0" w:type="dxa"/>
            <w:bottom w:w="0" w:type="dxa"/>
          </w:tblCellMar>
        </w:tblPrEx>
        <w:tc>
          <w:tcPr>
            <w:tcW w:w="1200" w:type="dxa"/>
            <w:vAlign w:val="center"/>
          </w:tcPr>
          <w:p w:rsidR="00B06880" w:rsidRDefault="00B06880">
            <w:pPr>
              <w:widowControl w:val="0"/>
              <w:numPr>
                <w:ilvl w:val="0"/>
                <w:numId w:val="1"/>
              </w:numPr>
              <w:tabs>
                <w:tab w:val="left" w:pos="220"/>
                <w:tab w:val="left" w:pos="720"/>
              </w:tabs>
              <w:autoSpaceDE w:val="0"/>
              <w:autoSpaceDN w:val="0"/>
              <w:adjustRightInd w:val="0"/>
              <w:ind w:hanging="720"/>
              <w:jc w:val="center"/>
              <w:rPr>
                <w:rFonts w:ascii="Arial" w:hAnsi="Arial" w:cs="Arial"/>
                <w:color w:val="3D4452"/>
                <w:sz w:val="26"/>
                <w:szCs w:val="26"/>
                <w:lang w:val="en-US"/>
              </w:rPr>
            </w:pPr>
            <w:r>
              <w:rPr>
                <w:rFonts w:ascii="Arial" w:hAnsi="Arial" w:cs="Arial"/>
                <w:color w:val="3D4452"/>
                <w:sz w:val="26"/>
                <w:szCs w:val="26"/>
                <w:lang w:val="en-US"/>
              </w:rPr>
              <w:tab/>
            </w:r>
            <w:r>
              <w:rPr>
                <w:rFonts w:ascii="Arial" w:hAnsi="Arial" w:cs="Arial"/>
                <w:color w:val="3D4452"/>
                <w:sz w:val="26"/>
                <w:szCs w:val="26"/>
                <w:lang w:val="en-US"/>
              </w:rPr>
              <w:tab/>
            </w:r>
            <w:hyperlink r:id="rId7" w:history="1">
              <w:r>
                <w:rPr>
                  <w:rFonts w:ascii="Arial" w:hAnsi="Arial" w:cs="Arial"/>
                  <w:color w:val="3D4452"/>
                  <w:sz w:val="26"/>
                  <w:szCs w:val="26"/>
                  <w:lang w:val="en-US"/>
                </w:rPr>
                <w:t>150  </w:t>
              </w:r>
              <w:r>
                <w:rPr>
                  <w:rFonts w:ascii="Arial" w:hAnsi="Arial" w:cs="Arial"/>
                  <w:strike/>
                  <w:color w:val="10131A"/>
                  <w:sz w:val="22"/>
                  <w:szCs w:val="22"/>
                  <w:lang w:val="en-US"/>
                </w:rPr>
                <w:t> </w:t>
              </w:r>
              <w:r>
                <w:rPr>
                  <w:rFonts w:ascii="Arial" w:hAnsi="Arial" w:cs="Arial"/>
                  <w:i/>
                  <w:iCs/>
                  <w:color w:val="10131A"/>
                  <w:sz w:val="22"/>
                  <w:szCs w:val="22"/>
                  <w:lang w:val="en-US"/>
                </w:rPr>
                <w:t> </w:t>
              </w:r>
              <w:r>
                <w:rPr>
                  <w:rFonts w:ascii="Arial" w:hAnsi="Arial" w:cs="Arial"/>
                  <w:color w:val="10131A"/>
                  <w:sz w:val="22"/>
                  <w:szCs w:val="22"/>
                  <w:lang w:val="en-US"/>
                </w:rPr>
                <w:t> </w:t>
              </w:r>
            </w:hyperlink>
          </w:p>
        </w:tc>
      </w:tr>
      <w:tr w:rsidR="00B06880">
        <w:tblPrEx>
          <w:tblCellMar>
            <w:top w:w="0" w:type="dxa"/>
            <w:bottom w:w="0" w:type="dxa"/>
          </w:tblCellMar>
        </w:tblPrEx>
        <w:tc>
          <w:tcPr>
            <w:tcW w:w="1200" w:type="dxa"/>
            <w:vAlign w:val="center"/>
          </w:tcPr>
          <w:p w:rsidR="00B06880" w:rsidRDefault="00B06880">
            <w:pPr>
              <w:widowControl w:val="0"/>
              <w:numPr>
                <w:ilvl w:val="0"/>
                <w:numId w:val="1"/>
              </w:numPr>
              <w:tabs>
                <w:tab w:val="left" w:pos="220"/>
                <w:tab w:val="left" w:pos="720"/>
              </w:tabs>
              <w:autoSpaceDE w:val="0"/>
              <w:autoSpaceDN w:val="0"/>
              <w:adjustRightInd w:val="0"/>
              <w:ind w:hanging="720"/>
              <w:jc w:val="center"/>
              <w:rPr>
                <w:rFonts w:ascii="Arial" w:hAnsi="Arial" w:cs="Arial"/>
                <w:b/>
                <w:bCs/>
                <w:color w:val="FFFFFF"/>
                <w:sz w:val="22"/>
                <w:szCs w:val="22"/>
                <w:lang w:val="en-US"/>
              </w:rPr>
            </w:pPr>
            <w:r>
              <w:rPr>
                <w:rFonts w:ascii="Arial" w:hAnsi="Arial" w:cs="Arial"/>
                <w:b/>
                <w:bCs/>
                <w:color w:val="FFFFFF"/>
                <w:sz w:val="22"/>
                <w:szCs w:val="22"/>
                <w:lang w:val="en-US"/>
              </w:rPr>
              <w:tab/>
            </w:r>
            <w:r>
              <w:rPr>
                <w:rFonts w:ascii="Arial" w:hAnsi="Arial" w:cs="Arial"/>
                <w:b/>
                <w:bCs/>
                <w:color w:val="FFFFFF"/>
                <w:sz w:val="22"/>
                <w:szCs w:val="22"/>
                <w:lang w:val="en-US"/>
              </w:rPr>
              <w:tab/>
            </w:r>
            <w:hyperlink r:id="rId8" w:history="1">
              <w:r w:rsidRPr="00B06880">
                <w:rPr>
                  <w:rFonts w:ascii="Arial" w:hAnsi="Arial" w:cs="Arial"/>
                  <w:b/>
                  <w:bCs/>
                  <w:sz w:val="22"/>
                  <w:szCs w:val="22"/>
                  <w:lang w:val="en-US"/>
                  <w14:shadow w14:blurRad="50800" w14:dist="38100" w14:dir="2700000" w14:sx="100000" w14:sy="100000" w14:kx="0" w14:ky="0" w14:algn="tl">
                    <w14:srgbClr w14:val="000000">
                      <w14:alpha w14:val="60000"/>
                    </w14:srgbClr>
                  </w14:shadow>
                  <w14:textFill>
                    <w14:solidFill>
                      <w14:srgbClr w14:val="FFFFFF"/>
                    </w14:solidFill>
                  </w14:textFill>
                </w:rPr>
                <w:t>J’aime   </w:t>
              </w:r>
              <w:r>
                <w:rPr>
                  <w:rFonts w:ascii="Arial" w:hAnsi="Arial" w:cs="Arial"/>
                  <w:color w:val="10131A"/>
                  <w:sz w:val="22"/>
                  <w:szCs w:val="22"/>
                  <w:lang w:val="en-US"/>
                </w:rPr>
                <w:t>  </w:t>
              </w:r>
            </w:hyperlink>
          </w:p>
        </w:tc>
      </w:tr>
    </w:tbl>
    <w:p w:rsidR="00B06880" w:rsidRDefault="00B06880" w:rsidP="00B06880">
      <w:pPr>
        <w:widowControl w:val="0"/>
        <w:numPr>
          <w:ilvl w:val="0"/>
          <w:numId w:val="1"/>
        </w:numPr>
        <w:tabs>
          <w:tab w:val="left" w:pos="220"/>
          <w:tab w:val="left" w:pos="720"/>
        </w:tabs>
        <w:autoSpaceDE w:val="0"/>
        <w:autoSpaceDN w:val="0"/>
        <w:adjustRightInd w:val="0"/>
        <w:ind w:hanging="720"/>
        <w:rPr>
          <w:rFonts w:ascii="Arial" w:hAnsi="Arial" w:cs="Arial"/>
          <w:color w:val="1A1A1A"/>
          <w:sz w:val="26"/>
          <w:szCs w:val="26"/>
          <w:lang w:val="en-US"/>
        </w:rPr>
      </w:pPr>
      <w:r>
        <w:rPr>
          <w:rFonts w:ascii="Arial" w:hAnsi="Arial" w:cs="Arial"/>
          <w:color w:val="10131A"/>
          <w:sz w:val="22"/>
          <w:szCs w:val="22"/>
          <w:lang w:val="en-US"/>
        </w:rPr>
        <w:tab/>
      </w:r>
      <w:r>
        <w:rPr>
          <w:rFonts w:ascii="Arial" w:hAnsi="Arial" w:cs="Arial"/>
          <w:color w:val="10131A"/>
          <w:sz w:val="22"/>
          <w:szCs w:val="22"/>
          <w:lang w:val="en-US"/>
        </w:rPr>
        <w:tab/>
      </w:r>
      <w:hyperlink r:id="rId9" w:history="1">
        <w:r>
          <w:rPr>
            <w:rFonts w:ascii="Arial" w:hAnsi="Arial" w:cs="Arial"/>
            <w:color w:val="10131A"/>
            <w:sz w:val="22"/>
            <w:szCs w:val="22"/>
            <w:lang w:val="en-US"/>
          </w:rPr>
          <w:t>  </w:t>
        </w:r>
        <w:r>
          <w:rPr>
            <w:rFonts w:ascii="Lucida Grande" w:hAnsi="Lucida Grande" w:cs="Lucida Grande"/>
            <w:color w:val="10131A"/>
            <w:sz w:val="22"/>
            <w:szCs w:val="22"/>
            <w:lang w:val="en-US"/>
          </w:rPr>
          <w:t>  </w:t>
        </w:r>
        <w:r>
          <w:rPr>
            <w:rFonts w:ascii="Times" w:hAnsi="Times" w:cs="Times"/>
            <w:sz w:val="32"/>
            <w:szCs w:val="32"/>
            <w:lang w:val="en-US"/>
          </w:rPr>
          <w:t> </w:t>
        </w:r>
      </w:hyperlink>
    </w:p>
    <w:p w:rsidR="00B06880" w:rsidRDefault="00B06880" w:rsidP="00B06880">
      <w:pPr>
        <w:widowControl w:val="0"/>
        <w:numPr>
          <w:ilvl w:val="0"/>
          <w:numId w:val="1"/>
        </w:numPr>
        <w:tabs>
          <w:tab w:val="left" w:pos="220"/>
          <w:tab w:val="left" w:pos="720"/>
        </w:tabs>
        <w:autoSpaceDE w:val="0"/>
        <w:autoSpaceDN w:val="0"/>
        <w:adjustRightInd w:val="0"/>
        <w:ind w:hanging="720"/>
        <w:jc w:val="center"/>
        <w:rPr>
          <w:rFonts w:ascii="Arial" w:hAnsi="Arial" w:cs="Arial"/>
          <w:color w:val="1A1A1A"/>
          <w:sz w:val="26"/>
          <w:szCs w:val="26"/>
          <w:lang w:val="en-US"/>
        </w:rPr>
      </w:pPr>
      <w:r>
        <w:rPr>
          <w:rFonts w:ascii="Arial" w:hAnsi="Arial" w:cs="Arial"/>
          <w:color w:val="FFFFFF"/>
          <w:sz w:val="18"/>
          <w:szCs w:val="18"/>
          <w:lang w:val="en-US"/>
        </w:rPr>
        <w:tab/>
      </w:r>
      <w:r>
        <w:rPr>
          <w:rFonts w:ascii="Arial" w:hAnsi="Arial" w:cs="Arial"/>
          <w:color w:val="FFFFFF"/>
          <w:sz w:val="18"/>
          <w:szCs w:val="18"/>
          <w:lang w:val="en-US"/>
        </w:rPr>
        <w:tab/>
      </w:r>
      <w:hyperlink r:id="rId10" w:history="1">
        <w:r>
          <w:rPr>
            <w:rFonts w:ascii="Arial" w:hAnsi="Arial" w:cs="Arial"/>
            <w:color w:val="FFFFFF"/>
            <w:sz w:val="18"/>
            <w:szCs w:val="18"/>
            <w:lang w:val="en-US"/>
          </w:rPr>
          <w:t>Partager </w:t>
        </w:r>
        <w:r>
          <w:rPr>
            <w:rFonts w:ascii="Arial" w:hAnsi="Arial" w:cs="Arial"/>
            <w:b/>
            <w:bCs/>
            <w:color w:val="1A1A1A"/>
            <w:sz w:val="28"/>
            <w:szCs w:val="28"/>
            <w:lang w:val="en-US"/>
          </w:rPr>
          <w:t>48</w:t>
        </w:r>
      </w:hyperlink>
    </w:p>
    <w:p w:rsidR="00B06880" w:rsidRDefault="00B06880" w:rsidP="00B06880">
      <w:pPr>
        <w:widowControl w:val="0"/>
        <w:numPr>
          <w:ilvl w:val="0"/>
          <w:numId w:val="1"/>
        </w:numPr>
        <w:tabs>
          <w:tab w:val="left" w:pos="220"/>
          <w:tab w:val="left" w:pos="720"/>
        </w:tabs>
        <w:autoSpaceDE w:val="0"/>
        <w:autoSpaceDN w:val="0"/>
        <w:adjustRightInd w:val="0"/>
        <w:ind w:hanging="720"/>
        <w:jc w:val="center"/>
        <w:rPr>
          <w:rFonts w:ascii="Arial" w:hAnsi="Arial" w:cs="Arial"/>
          <w:color w:val="1A1A1A"/>
          <w:sz w:val="26"/>
          <w:szCs w:val="26"/>
          <w:lang w:val="en-US"/>
        </w:rPr>
      </w:pPr>
      <w:r>
        <w:rPr>
          <w:rFonts w:ascii="Arial" w:hAnsi="Arial" w:cs="Arial"/>
          <w:color w:val="FFFFFF"/>
          <w:sz w:val="18"/>
          <w:szCs w:val="18"/>
          <w:lang w:val="en-US"/>
        </w:rPr>
        <w:tab/>
      </w:r>
      <w:r>
        <w:rPr>
          <w:rFonts w:ascii="Arial" w:hAnsi="Arial" w:cs="Arial"/>
          <w:color w:val="FFFFFF"/>
          <w:sz w:val="18"/>
          <w:szCs w:val="18"/>
          <w:lang w:val="en-US"/>
        </w:rPr>
        <w:tab/>
      </w:r>
      <w:hyperlink r:id="rId11" w:history="1">
        <w:r>
          <w:rPr>
            <w:rFonts w:ascii="Arial" w:hAnsi="Arial" w:cs="Arial"/>
            <w:color w:val="FFFFFF"/>
            <w:sz w:val="18"/>
            <w:szCs w:val="18"/>
            <w:lang w:val="en-US"/>
          </w:rPr>
          <w:t>Tweeter </w:t>
        </w:r>
        <w:r>
          <w:rPr>
            <w:rFonts w:ascii="Arial" w:hAnsi="Arial" w:cs="Arial"/>
            <w:b/>
            <w:bCs/>
            <w:color w:val="1A1A1A"/>
            <w:sz w:val="28"/>
            <w:szCs w:val="28"/>
            <w:lang w:val="en-US"/>
          </w:rPr>
          <w:t>8 </w:t>
        </w:r>
      </w:hyperlink>
    </w:p>
    <w:tbl>
      <w:tblPr>
        <w:tblW w:w="0" w:type="auto"/>
        <w:tblBorders>
          <w:top w:val="nil"/>
          <w:left w:val="nil"/>
          <w:right w:val="nil"/>
        </w:tblBorders>
        <w:tblLayout w:type="fixed"/>
        <w:tblLook w:val="0000" w:firstRow="0" w:lastRow="0" w:firstColumn="0" w:lastColumn="0" w:noHBand="0" w:noVBand="0"/>
      </w:tblPr>
      <w:tblGrid>
        <w:gridCol w:w="1380"/>
      </w:tblGrid>
      <w:tr w:rsidR="00B06880">
        <w:tblPrEx>
          <w:tblCellMar>
            <w:top w:w="0" w:type="dxa"/>
            <w:bottom w:w="0" w:type="dxa"/>
          </w:tblCellMar>
        </w:tblPrEx>
        <w:tc>
          <w:tcPr>
            <w:tcW w:w="1380" w:type="dxa"/>
            <w:vAlign w:val="center"/>
          </w:tcPr>
          <w:p w:rsidR="00B06880" w:rsidRDefault="00B06880">
            <w:pPr>
              <w:widowControl w:val="0"/>
              <w:numPr>
                <w:ilvl w:val="0"/>
                <w:numId w:val="1"/>
              </w:numPr>
              <w:tabs>
                <w:tab w:val="left" w:pos="220"/>
                <w:tab w:val="left" w:pos="720"/>
              </w:tabs>
              <w:autoSpaceDE w:val="0"/>
              <w:autoSpaceDN w:val="0"/>
              <w:adjustRightInd w:val="0"/>
              <w:ind w:hanging="720"/>
              <w:jc w:val="center"/>
              <w:rPr>
                <w:rFonts w:ascii="Times" w:hAnsi="Times" w:cs="Times"/>
                <w:sz w:val="32"/>
                <w:szCs w:val="32"/>
                <w:lang w:val="en-US"/>
              </w:rPr>
            </w:pPr>
            <w:r>
              <w:rPr>
                <w:rFonts w:ascii="Times" w:hAnsi="Times" w:cs="Times"/>
                <w:color w:val="535353"/>
                <w:sz w:val="30"/>
                <w:szCs w:val="30"/>
                <w:lang w:val="en-US"/>
              </w:rPr>
              <w:lastRenderedPageBreak/>
              <w:tab/>
            </w:r>
            <w:r>
              <w:rPr>
                <w:rFonts w:ascii="Times" w:hAnsi="Times" w:cs="Times"/>
                <w:color w:val="535353"/>
                <w:sz w:val="30"/>
                <w:szCs w:val="30"/>
                <w:lang w:val="en-US"/>
              </w:rPr>
              <w:tab/>
              <w:t>1</w:t>
            </w:r>
            <w:r>
              <w:rPr>
                <w:rFonts w:ascii="Times" w:hAnsi="Times" w:cs="Times"/>
                <w:sz w:val="30"/>
                <w:szCs w:val="30"/>
                <w:lang w:val="en-US"/>
              </w:rPr>
              <w:t> </w:t>
            </w:r>
          </w:p>
        </w:tc>
      </w:tr>
      <w:tr w:rsidR="00B06880">
        <w:tblPrEx>
          <w:tblCellMar>
            <w:top w:w="0" w:type="dxa"/>
            <w:bottom w:w="0" w:type="dxa"/>
          </w:tblCellMar>
        </w:tblPrEx>
        <w:tc>
          <w:tcPr>
            <w:tcW w:w="1380" w:type="dxa"/>
            <w:vAlign w:val="center"/>
          </w:tcPr>
          <w:p w:rsidR="00B06880" w:rsidRDefault="00B06880">
            <w:pPr>
              <w:widowControl w:val="0"/>
              <w:numPr>
                <w:ilvl w:val="0"/>
                <w:numId w:val="1"/>
              </w:numPr>
              <w:tabs>
                <w:tab w:val="left" w:pos="220"/>
                <w:tab w:val="left" w:pos="720"/>
              </w:tabs>
              <w:autoSpaceDE w:val="0"/>
              <w:autoSpaceDN w:val="0"/>
              <w:adjustRightInd w:val="0"/>
              <w:ind w:hanging="720"/>
              <w:jc w:val="center"/>
              <w:rPr>
                <w:rFonts w:ascii="Times" w:hAnsi="Times" w:cs="Times"/>
                <w:sz w:val="32"/>
                <w:szCs w:val="32"/>
                <w:lang w:val="en-US"/>
              </w:rPr>
            </w:pPr>
            <w:r>
              <w:rPr>
                <w:rFonts w:ascii="Times" w:hAnsi="Times" w:cs="Times"/>
                <w:color w:val="1D1D1D"/>
                <w:sz w:val="32"/>
                <w:szCs w:val="32"/>
                <w:lang w:val="en-US"/>
              </w:rPr>
              <w:tab/>
            </w:r>
            <w:r>
              <w:rPr>
                <w:rFonts w:ascii="Times" w:hAnsi="Times" w:cs="Times"/>
                <w:color w:val="1D1D1D"/>
                <w:sz w:val="32"/>
                <w:szCs w:val="32"/>
                <w:lang w:val="en-US"/>
              </w:rPr>
              <w:tab/>
              <w:t>   </w:t>
            </w:r>
            <w:r>
              <w:rPr>
                <w:rFonts w:ascii="Times" w:hAnsi="Times" w:cs="Times"/>
                <w:b/>
                <w:bCs/>
                <w:color w:val="1D1D1D"/>
                <w:sz w:val="20"/>
                <w:szCs w:val="20"/>
                <w:lang w:val="en-US"/>
              </w:rPr>
              <w:t>Partager</w:t>
            </w:r>
            <w:r>
              <w:rPr>
                <w:rFonts w:ascii="Times" w:hAnsi="Times" w:cs="Times"/>
                <w:color w:val="1D1D1D"/>
                <w:sz w:val="32"/>
                <w:szCs w:val="32"/>
                <w:lang w:val="en-US"/>
              </w:rPr>
              <w:t> </w:t>
            </w:r>
          </w:p>
        </w:tc>
      </w:tr>
    </w:tbl>
    <w:p w:rsidR="00B06880" w:rsidRDefault="00B06880" w:rsidP="00B06880">
      <w:pPr>
        <w:widowControl w:val="0"/>
        <w:numPr>
          <w:ilvl w:val="0"/>
          <w:numId w:val="1"/>
        </w:numPr>
        <w:tabs>
          <w:tab w:val="left" w:pos="220"/>
          <w:tab w:val="left" w:pos="720"/>
        </w:tabs>
        <w:autoSpaceDE w:val="0"/>
        <w:autoSpaceDN w:val="0"/>
        <w:adjustRightInd w:val="0"/>
        <w:ind w:hanging="720"/>
        <w:rPr>
          <w:rFonts w:ascii="Arial" w:hAnsi="Arial" w:cs="Arial"/>
          <w:color w:val="1A1A1A"/>
          <w:sz w:val="26"/>
          <w:szCs w:val="26"/>
          <w:lang w:val="en-US"/>
        </w:rPr>
      </w:pPr>
      <w:r>
        <w:rPr>
          <w:rFonts w:ascii="Times" w:hAnsi="Times" w:cs="Times"/>
          <w:sz w:val="32"/>
          <w:szCs w:val="32"/>
          <w:lang w:val="en-US"/>
        </w:rPr>
        <w:tab/>
      </w:r>
      <w:r>
        <w:rPr>
          <w:rFonts w:ascii="Times" w:hAnsi="Times" w:cs="Times"/>
          <w:sz w:val="32"/>
          <w:szCs w:val="32"/>
          <w:lang w:val="en-US"/>
        </w:rPr>
        <w:tab/>
        <w:t>   </w:t>
      </w:r>
    </w:p>
    <w:p w:rsidR="00B06880" w:rsidRDefault="00B06880" w:rsidP="00B06880">
      <w:pPr>
        <w:widowControl w:val="0"/>
        <w:numPr>
          <w:ilvl w:val="0"/>
          <w:numId w:val="1"/>
        </w:numPr>
        <w:tabs>
          <w:tab w:val="left" w:pos="220"/>
          <w:tab w:val="left" w:pos="720"/>
        </w:tabs>
        <w:autoSpaceDE w:val="0"/>
        <w:autoSpaceDN w:val="0"/>
        <w:adjustRightInd w:val="0"/>
        <w:ind w:hanging="720"/>
        <w:jc w:val="center"/>
        <w:rPr>
          <w:rFonts w:ascii="Arial" w:hAnsi="Arial" w:cs="Arial"/>
          <w:color w:val="1A1A1A"/>
          <w:sz w:val="26"/>
          <w:szCs w:val="26"/>
          <w:lang w:val="en-US"/>
        </w:rPr>
      </w:pPr>
      <w:r>
        <w:rPr>
          <w:rFonts w:ascii="Arial" w:hAnsi="Arial" w:cs="Arial"/>
          <w:color w:val="FFFFFF"/>
          <w:sz w:val="18"/>
          <w:szCs w:val="18"/>
          <w:lang w:val="en-US"/>
        </w:rPr>
        <w:tab/>
      </w:r>
      <w:r>
        <w:rPr>
          <w:rFonts w:ascii="Arial" w:hAnsi="Arial" w:cs="Arial"/>
          <w:color w:val="FFFFFF"/>
          <w:sz w:val="18"/>
          <w:szCs w:val="18"/>
          <w:lang w:val="en-US"/>
        </w:rPr>
        <w:tab/>
        <w:t>E-Mail </w:t>
      </w:r>
      <w:r>
        <w:rPr>
          <w:rFonts w:ascii="Arial" w:hAnsi="Arial" w:cs="Arial"/>
          <w:b/>
          <w:bCs/>
          <w:color w:val="1A1A1A"/>
          <w:sz w:val="28"/>
          <w:szCs w:val="28"/>
          <w:lang w:val="en-US"/>
        </w:rPr>
        <w:t>2 </w:t>
      </w:r>
    </w:p>
    <w:p w:rsidR="00B06880" w:rsidRDefault="00B06880" w:rsidP="00B06880">
      <w:pPr>
        <w:widowControl w:val="0"/>
        <w:numPr>
          <w:ilvl w:val="0"/>
          <w:numId w:val="1"/>
        </w:numPr>
        <w:tabs>
          <w:tab w:val="left" w:pos="220"/>
          <w:tab w:val="left" w:pos="720"/>
        </w:tabs>
        <w:autoSpaceDE w:val="0"/>
        <w:autoSpaceDN w:val="0"/>
        <w:adjustRightInd w:val="0"/>
        <w:ind w:hanging="720"/>
        <w:jc w:val="center"/>
        <w:rPr>
          <w:rFonts w:ascii="Arial" w:hAnsi="Arial" w:cs="Arial"/>
          <w:color w:val="1A1A1A"/>
          <w:sz w:val="26"/>
          <w:szCs w:val="26"/>
          <w:lang w:val="en-US"/>
        </w:rPr>
      </w:pPr>
      <w:r>
        <w:rPr>
          <w:rFonts w:ascii="Arial" w:hAnsi="Arial" w:cs="Arial"/>
          <w:color w:val="FFFFFF"/>
          <w:sz w:val="18"/>
          <w:szCs w:val="18"/>
          <w:lang w:val="en-US"/>
        </w:rPr>
        <w:tab/>
      </w:r>
      <w:r>
        <w:rPr>
          <w:rFonts w:ascii="Arial" w:hAnsi="Arial" w:cs="Arial"/>
          <w:color w:val="FFFFFF"/>
          <w:sz w:val="18"/>
          <w:szCs w:val="18"/>
          <w:lang w:val="en-US"/>
        </w:rPr>
        <w:tab/>
        <w:t>Commenter </w:t>
      </w:r>
      <w:r>
        <w:rPr>
          <w:rFonts w:ascii="Arial" w:hAnsi="Arial" w:cs="Arial"/>
          <w:b/>
          <w:bCs/>
          <w:color w:val="1A1A1A"/>
          <w:sz w:val="28"/>
          <w:szCs w:val="28"/>
          <w:lang w:val="en-US"/>
        </w:rPr>
        <w:t>9 </w:t>
      </w:r>
    </w:p>
    <w:p w:rsidR="00B06880" w:rsidRDefault="00B06880" w:rsidP="00B06880">
      <w:pPr>
        <w:widowControl w:val="0"/>
        <w:numPr>
          <w:ilvl w:val="0"/>
          <w:numId w:val="2"/>
        </w:numPr>
        <w:tabs>
          <w:tab w:val="left" w:pos="220"/>
          <w:tab w:val="left" w:pos="720"/>
        </w:tabs>
        <w:autoSpaceDE w:val="0"/>
        <w:autoSpaceDN w:val="0"/>
        <w:adjustRightInd w:val="0"/>
        <w:ind w:hanging="720"/>
        <w:jc w:val="center"/>
        <w:rPr>
          <w:rFonts w:ascii="Arial" w:hAnsi="Arial" w:cs="Arial"/>
          <w:color w:val="1A1A1A"/>
          <w:sz w:val="26"/>
          <w:szCs w:val="26"/>
          <w:lang w:val="en-US"/>
        </w:rPr>
      </w:pPr>
      <w:r>
        <w:rPr>
          <w:rFonts w:ascii="Arial" w:hAnsi="Arial" w:cs="Arial"/>
          <w:color w:val="0A4D3F"/>
          <w:sz w:val="2"/>
          <w:szCs w:val="2"/>
          <w:lang w:val="en-US"/>
        </w:rPr>
        <w:tab/>
      </w:r>
      <w:r>
        <w:rPr>
          <w:rFonts w:ascii="Arial" w:hAnsi="Arial" w:cs="Arial"/>
          <w:color w:val="0A4D3F"/>
          <w:sz w:val="2"/>
          <w:szCs w:val="2"/>
          <w:lang w:val="en-US"/>
        </w:rPr>
        <w:tab/>
      </w:r>
      <w:hyperlink r:id="rId12" w:history="1">
        <w:r>
          <w:rPr>
            <w:rFonts w:ascii="Arial" w:hAnsi="Arial" w:cs="Arial"/>
            <w:color w:val="0A4D3F"/>
            <w:sz w:val="2"/>
            <w:szCs w:val="2"/>
            <w:lang w:val="en-US"/>
          </w:rPr>
          <w:t>in </w:t>
        </w:r>
        <w:r w:rsidRPr="00B06880">
          <w:rPr>
            <w:rFonts w:ascii="Arial" w:hAnsi="Arial" w:cs="Arial"/>
            <w:b/>
            <w:bCs/>
            <w:color w:val="262626"/>
            <w:sz w:val="22"/>
            <w:szCs w:val="22"/>
            <w:lang w:val="en-US"/>
            <w14:shadow w14:blurRad="50800" w14:dist="38100" w14:dir="2700000" w14:sx="100000" w14:sy="100000" w14:kx="0" w14:ky="0" w14:algn="tl">
              <w14:srgbClr w14:val="000000">
                <w14:alpha w14:val="60000"/>
              </w14:srgbClr>
            </w14:shadow>
          </w:rPr>
          <w:t>Share</w:t>
        </w:r>
        <w:r w:rsidRPr="00B06880">
          <w:rPr>
            <w:rFonts w:ascii="Arial" w:hAnsi="Arial" w:cs="Arial"/>
            <w:color w:val="262626"/>
            <w:sz w:val="2"/>
            <w:szCs w:val="2"/>
            <w:lang w:val="en-US"/>
            <w14:shadow w14:blurRad="50800" w14:dist="38100" w14:dir="2700000" w14:sx="100000" w14:sy="100000" w14:kx="0" w14:ky="0" w14:algn="tl">
              <w14:srgbClr w14:val="000000">
                <w14:alpha w14:val="60000"/>
              </w14:srgbClr>
            </w14:shadow>
          </w:rPr>
          <w:t> </w:t>
        </w:r>
      </w:hyperlink>
      <w:r>
        <w:rPr>
          <w:rFonts w:ascii="Arial" w:hAnsi="Arial" w:cs="Arial"/>
          <w:color w:val="0A4D3F"/>
          <w:sz w:val="2"/>
          <w:szCs w:val="2"/>
          <w:lang w:val="en-US"/>
        </w:rPr>
        <w:t> </w:t>
      </w:r>
      <w:r>
        <w:rPr>
          <w:rFonts w:ascii="Arial" w:hAnsi="Arial" w:cs="Arial"/>
          <w:color w:val="1A1A1A"/>
          <w:sz w:val="2"/>
          <w:szCs w:val="2"/>
          <w:lang w:val="en-US"/>
        </w:rPr>
        <w:t> </w:t>
      </w:r>
      <w:r>
        <w:rPr>
          <w:rFonts w:ascii="Arial" w:hAnsi="Arial" w:cs="Arial"/>
          <w:color w:val="1A1A1A"/>
          <w:sz w:val="26"/>
          <w:szCs w:val="26"/>
          <w:lang w:val="en-US"/>
        </w:rPr>
        <w:t>  </w:t>
      </w:r>
      <w:r>
        <w:rPr>
          <w:rFonts w:ascii="Lucida Grande" w:hAnsi="Lucida Grande" w:cs="Lucida Grande"/>
          <w:color w:val="0A4D3F"/>
          <w:sz w:val="22"/>
          <w:szCs w:val="22"/>
          <w:lang w:val="en-US"/>
        </w:rPr>
        <w:t> </w:t>
      </w:r>
      <w:r>
        <w:rPr>
          <w:rFonts w:ascii="Arial" w:hAnsi="Arial" w:cs="Arial"/>
          <w:b/>
          <w:bCs/>
          <w:color w:val="262626"/>
          <w:sz w:val="28"/>
          <w:szCs w:val="28"/>
          <w:lang w:val="en-US"/>
        </w:rPr>
        <w:t> </w:t>
      </w:r>
      <w:r>
        <w:rPr>
          <w:rFonts w:ascii="Arial" w:hAnsi="Arial" w:cs="Arial"/>
          <w:b/>
          <w:bCs/>
          <w:color w:val="FD9409"/>
          <w:sz w:val="22"/>
          <w:szCs w:val="22"/>
          <w:lang w:val="en-US"/>
        </w:rPr>
        <w:t>0</w:t>
      </w:r>
      <w:r>
        <w:rPr>
          <w:rFonts w:ascii="Arial" w:hAnsi="Arial" w:cs="Arial"/>
          <w:b/>
          <w:bCs/>
          <w:color w:val="262626"/>
          <w:sz w:val="28"/>
          <w:szCs w:val="28"/>
          <w:lang w:val="en-US"/>
        </w:rPr>
        <w:t xml:space="preserve">  </w:t>
      </w:r>
      <w:r>
        <w:rPr>
          <w:rFonts w:ascii="Lucida Grande" w:hAnsi="Lucida Grande" w:cs="Lucida Grande"/>
          <w:color w:val="262626"/>
          <w:sz w:val="22"/>
          <w:szCs w:val="22"/>
          <w:lang w:val="en-US"/>
        </w:rPr>
        <w:t>  </w:t>
      </w:r>
      <w:r>
        <w:rPr>
          <w:rFonts w:ascii="Arial" w:hAnsi="Arial" w:cs="Arial"/>
          <w:color w:val="1A1A1A"/>
          <w:sz w:val="26"/>
          <w:szCs w:val="26"/>
          <w:lang w:val="en-US"/>
        </w:rPr>
        <w:t> </w:t>
      </w:r>
    </w:p>
    <w:p w:rsidR="00B06880" w:rsidRDefault="00B06880" w:rsidP="00B06880">
      <w:pPr>
        <w:widowControl w:val="0"/>
        <w:autoSpaceDE w:val="0"/>
        <w:autoSpaceDN w:val="0"/>
        <w:adjustRightInd w:val="0"/>
        <w:rPr>
          <w:rFonts w:ascii="Arial" w:hAnsi="Arial" w:cs="Arial"/>
          <w:color w:val="1A1A1A"/>
          <w:sz w:val="26"/>
          <w:szCs w:val="26"/>
          <w:lang w:val="en-US"/>
        </w:rPr>
      </w:pPr>
    </w:p>
    <w:p w:rsidR="00B06880" w:rsidRDefault="00B06880" w:rsidP="00B06880">
      <w:pPr>
        <w:widowControl w:val="0"/>
        <w:autoSpaceDE w:val="0"/>
        <w:autoSpaceDN w:val="0"/>
        <w:adjustRightInd w:val="0"/>
        <w:rPr>
          <w:rFonts w:ascii="Arial" w:hAnsi="Arial" w:cs="Arial"/>
          <w:color w:val="1A1A1A"/>
          <w:sz w:val="26"/>
          <w:szCs w:val="26"/>
          <w:lang w:val="en-US"/>
        </w:rPr>
      </w:pPr>
    </w:p>
    <w:p w:rsidR="00B06880" w:rsidRDefault="00B06880" w:rsidP="00B06880">
      <w:pPr>
        <w:widowControl w:val="0"/>
        <w:autoSpaceDE w:val="0"/>
        <w:autoSpaceDN w:val="0"/>
        <w:adjustRightInd w:val="0"/>
        <w:rPr>
          <w:rFonts w:ascii="Georgia" w:hAnsi="Georgia" w:cs="Georgia"/>
          <w:color w:val="1A1A1A"/>
          <w:sz w:val="30"/>
          <w:szCs w:val="30"/>
          <w:lang w:val="en-US"/>
        </w:rPr>
      </w:pPr>
    </w:p>
    <w:p w:rsidR="00B06880" w:rsidRDefault="00B06880" w:rsidP="00B06880">
      <w:pPr>
        <w:widowControl w:val="0"/>
        <w:autoSpaceDE w:val="0"/>
        <w:autoSpaceDN w:val="0"/>
        <w:adjustRightInd w:val="0"/>
        <w:spacing w:after="300"/>
        <w:rPr>
          <w:rFonts w:ascii="Georgia" w:hAnsi="Georgia" w:cs="Georgia"/>
          <w:color w:val="262626"/>
          <w:sz w:val="30"/>
          <w:szCs w:val="30"/>
          <w:lang w:val="en-US"/>
        </w:rPr>
      </w:pPr>
      <w:r>
        <w:rPr>
          <w:rFonts w:ascii="Georgia" w:hAnsi="Georgia" w:cs="Georgia"/>
          <w:color w:val="262626"/>
          <w:sz w:val="30"/>
          <w:szCs w:val="30"/>
          <w:lang w:val="en-US"/>
        </w:rPr>
        <w:t>ÉCONOMIE - Des accords fiscaux secrets entre le Luxembourg et 340 multinationales, dont Apple, Amazon, Ikea, Pepsi ou Axa, afin de minimiser leurs impôts, sont révélés jeudi 6 novembre par 40 médias internationaux s'appuyant sur des documents obtenus par le Consortium international des journalistes d'investigation (ICIJ).</w:t>
      </w:r>
    </w:p>
    <w:p w:rsidR="00B06880" w:rsidRDefault="00B06880" w:rsidP="00B06880">
      <w:pPr>
        <w:widowControl w:val="0"/>
        <w:autoSpaceDE w:val="0"/>
        <w:autoSpaceDN w:val="0"/>
        <w:adjustRightInd w:val="0"/>
        <w:spacing w:after="300"/>
        <w:rPr>
          <w:rFonts w:ascii="Georgia" w:hAnsi="Georgia" w:cs="Georgia"/>
          <w:color w:val="262626"/>
          <w:sz w:val="30"/>
          <w:szCs w:val="30"/>
          <w:lang w:val="en-US"/>
        </w:rPr>
      </w:pPr>
      <w:r>
        <w:rPr>
          <w:rFonts w:ascii="Georgia" w:hAnsi="Georgia" w:cs="Georgia"/>
          <w:color w:val="262626"/>
          <w:sz w:val="30"/>
          <w:szCs w:val="30"/>
          <w:lang w:val="en-US"/>
        </w:rPr>
        <w:t xml:space="preserve">Ces accords, passés entre 2002 et 2010, représentent des milliards d'euros de recettes fiscales perdues pour les Etats où ces entreprises réalisent des bénéfices, selon l'ICIJ et ses médias partenaires, </w:t>
      </w:r>
      <w:hyperlink r:id="rId13" w:history="1">
        <w:r>
          <w:rPr>
            <w:rFonts w:ascii="Georgia" w:hAnsi="Georgia" w:cs="Georgia"/>
            <w:color w:val="0A4D3F"/>
            <w:sz w:val="30"/>
            <w:szCs w:val="30"/>
            <w:lang w:val="en-US"/>
          </w:rPr>
          <w:t xml:space="preserve">dont </w:t>
        </w:r>
        <w:r>
          <w:rPr>
            <w:rFonts w:ascii="Georgia" w:hAnsi="Georgia" w:cs="Georgia"/>
            <w:i/>
            <w:iCs/>
            <w:color w:val="0A4D3F"/>
            <w:sz w:val="30"/>
            <w:szCs w:val="30"/>
            <w:lang w:val="en-US"/>
          </w:rPr>
          <w:t>Le Monde</w:t>
        </w:r>
        <w:r>
          <w:rPr>
            <w:rFonts w:ascii="Georgia" w:hAnsi="Georgia" w:cs="Georgia"/>
            <w:color w:val="0A4D3F"/>
            <w:sz w:val="30"/>
            <w:szCs w:val="30"/>
            <w:lang w:val="en-US"/>
          </w:rPr>
          <w:t xml:space="preserve"> en France</w:t>
        </w:r>
      </w:hyperlink>
      <w:r>
        <w:rPr>
          <w:rFonts w:ascii="Georgia" w:hAnsi="Georgia" w:cs="Georgia"/>
          <w:color w:val="262626"/>
          <w:sz w:val="30"/>
          <w:szCs w:val="30"/>
          <w:lang w:val="en-US"/>
        </w:rPr>
        <w:t xml:space="preserve">, </w:t>
      </w:r>
      <w:r>
        <w:rPr>
          <w:rFonts w:ascii="Georgia" w:hAnsi="Georgia" w:cs="Georgia"/>
          <w:i/>
          <w:iCs/>
          <w:color w:val="262626"/>
          <w:sz w:val="30"/>
          <w:szCs w:val="30"/>
          <w:lang w:val="en-US"/>
        </w:rPr>
        <w:t>The Guardian</w:t>
      </w:r>
      <w:r>
        <w:rPr>
          <w:rFonts w:ascii="Georgia" w:hAnsi="Georgia" w:cs="Georgia"/>
          <w:color w:val="262626"/>
          <w:sz w:val="30"/>
          <w:szCs w:val="30"/>
          <w:lang w:val="en-US"/>
        </w:rPr>
        <w:t xml:space="preserve"> au Royaume-Uni, le </w:t>
      </w:r>
      <w:r>
        <w:rPr>
          <w:rFonts w:ascii="Georgia" w:hAnsi="Georgia" w:cs="Georgia"/>
          <w:i/>
          <w:iCs/>
          <w:color w:val="262626"/>
          <w:sz w:val="30"/>
          <w:szCs w:val="30"/>
          <w:lang w:val="en-US"/>
        </w:rPr>
        <w:t>Süddeutsche Zeitung</w:t>
      </w:r>
      <w:r>
        <w:rPr>
          <w:rFonts w:ascii="Georgia" w:hAnsi="Georgia" w:cs="Georgia"/>
          <w:color w:val="262626"/>
          <w:sz w:val="30"/>
          <w:szCs w:val="30"/>
          <w:lang w:val="en-US"/>
        </w:rPr>
        <w:t xml:space="preserve"> en Allemagne, l'</w:t>
      </w:r>
      <w:r>
        <w:rPr>
          <w:rFonts w:ascii="Georgia" w:hAnsi="Georgia" w:cs="Georgia"/>
          <w:i/>
          <w:iCs/>
          <w:color w:val="262626"/>
          <w:sz w:val="30"/>
          <w:szCs w:val="30"/>
          <w:lang w:val="en-US"/>
        </w:rPr>
        <w:t>Asahi Shimbun</w:t>
      </w:r>
      <w:r>
        <w:rPr>
          <w:rFonts w:ascii="Georgia" w:hAnsi="Georgia" w:cs="Georgia"/>
          <w:color w:val="262626"/>
          <w:sz w:val="30"/>
          <w:szCs w:val="30"/>
          <w:lang w:val="en-US"/>
        </w:rPr>
        <w:t xml:space="preserve"> au Japon. L'ICIJ avait dévoilé en janvier les placements de dignitaires chinois dans les paradis fiscaux.</w:t>
      </w:r>
    </w:p>
    <w:p w:rsidR="00B06880" w:rsidRDefault="00B06880" w:rsidP="00B06880">
      <w:pPr>
        <w:widowControl w:val="0"/>
        <w:autoSpaceDE w:val="0"/>
        <w:autoSpaceDN w:val="0"/>
        <w:adjustRightInd w:val="0"/>
        <w:spacing w:after="300"/>
        <w:rPr>
          <w:rFonts w:ascii="Georgia" w:hAnsi="Georgia" w:cs="Georgia"/>
          <w:color w:val="262626"/>
          <w:sz w:val="30"/>
          <w:szCs w:val="30"/>
          <w:lang w:val="en-US"/>
        </w:rPr>
      </w:pPr>
      <w:r>
        <w:rPr>
          <w:rFonts w:ascii="Georgia" w:hAnsi="Georgia" w:cs="Georgia"/>
          <w:b/>
          <w:bCs/>
          <w:color w:val="262626"/>
          <w:sz w:val="30"/>
          <w:szCs w:val="30"/>
          <w:lang w:val="en-US"/>
        </w:rPr>
        <w:t>La pratique controversée du "tax ruling"</w:t>
      </w:r>
    </w:p>
    <w:p w:rsidR="00B06880" w:rsidRDefault="00B06880" w:rsidP="00B06880">
      <w:pPr>
        <w:widowControl w:val="0"/>
        <w:autoSpaceDE w:val="0"/>
        <w:autoSpaceDN w:val="0"/>
        <w:adjustRightInd w:val="0"/>
        <w:spacing w:after="300"/>
        <w:rPr>
          <w:rFonts w:ascii="Georgia" w:hAnsi="Georgia" w:cs="Georgia"/>
          <w:color w:val="262626"/>
          <w:sz w:val="30"/>
          <w:szCs w:val="30"/>
          <w:lang w:val="en-US"/>
        </w:rPr>
      </w:pPr>
      <w:r>
        <w:rPr>
          <w:rFonts w:ascii="Georgia" w:hAnsi="Georgia" w:cs="Georgia"/>
          <w:color w:val="262626"/>
          <w:sz w:val="30"/>
          <w:szCs w:val="30"/>
          <w:lang w:val="en-US"/>
        </w:rPr>
        <w:t xml:space="preserve">Dans son enquête de six mois baptisée "Luxembourg Leaks" ou "LuxLeaks", l'ICIJ a eu accès à 28.000 pages de documents de "tax ruling" montrant comment de grandes entreprises "s'appuient sur le Luxembourg et ses règles fiscales souples, mais aussi sur les déficiences de la réglementation internationale, pour y transférer des profits afin qu'ils n'y soient pas taxés, ou très faiblement", écrit </w:t>
      </w:r>
      <w:r>
        <w:rPr>
          <w:rFonts w:ascii="Georgia" w:hAnsi="Georgia" w:cs="Georgia"/>
          <w:i/>
          <w:iCs/>
          <w:color w:val="262626"/>
          <w:sz w:val="30"/>
          <w:szCs w:val="30"/>
          <w:lang w:val="en-US"/>
        </w:rPr>
        <w:t>Le Monde</w:t>
      </w:r>
      <w:r>
        <w:rPr>
          <w:rFonts w:ascii="Georgia" w:hAnsi="Georgia" w:cs="Georgia"/>
          <w:color w:val="262626"/>
          <w:sz w:val="30"/>
          <w:szCs w:val="30"/>
          <w:lang w:val="en-US"/>
        </w:rPr>
        <w:t>.</w:t>
      </w:r>
    </w:p>
    <w:p w:rsidR="00B06880" w:rsidRDefault="00B06880" w:rsidP="00B06880">
      <w:pPr>
        <w:widowControl w:val="0"/>
        <w:autoSpaceDE w:val="0"/>
        <w:autoSpaceDN w:val="0"/>
        <w:adjustRightInd w:val="0"/>
        <w:rPr>
          <w:rFonts w:ascii="Georgia" w:hAnsi="Georgia" w:cs="Georgia"/>
          <w:color w:val="1A1A1A"/>
          <w:sz w:val="20"/>
          <w:szCs w:val="20"/>
          <w:lang w:val="en-US"/>
        </w:rPr>
      </w:pPr>
      <w:r>
        <w:rPr>
          <w:rFonts w:ascii="Georgia" w:hAnsi="Georgia" w:cs="Georgia"/>
          <w:noProof/>
          <w:color w:val="1A1A1A"/>
          <w:sz w:val="20"/>
          <w:szCs w:val="20"/>
          <w:lang w:val="en-US"/>
        </w:rPr>
        <w:drawing>
          <wp:inline distT="0" distB="0" distL="0" distR="0">
            <wp:extent cx="774700" cy="658495"/>
            <wp:effectExtent l="0" t="0" r="1270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4700" cy="658495"/>
                    </a:xfrm>
                    <a:prstGeom prst="rect">
                      <a:avLst/>
                    </a:prstGeom>
                    <a:noFill/>
                    <a:ln>
                      <a:noFill/>
                    </a:ln>
                  </pic:spPr>
                </pic:pic>
              </a:graphicData>
            </a:graphic>
          </wp:inline>
        </w:drawing>
      </w:r>
      <w:r>
        <w:rPr>
          <w:rFonts w:ascii="Georgia" w:hAnsi="Georgia" w:cs="Georgia"/>
          <w:color w:val="1A1A1A"/>
          <w:sz w:val="20"/>
          <w:szCs w:val="20"/>
          <w:lang w:val="en-US"/>
        </w:rPr>
        <w:t>Proposé par la CCI de Marseille</w:t>
      </w:r>
    </w:p>
    <w:tbl>
      <w:tblPr>
        <w:tblW w:w="0" w:type="auto"/>
        <w:tblBorders>
          <w:top w:val="nil"/>
          <w:left w:val="nil"/>
          <w:right w:val="nil"/>
        </w:tblBorders>
        <w:tblLayout w:type="fixed"/>
        <w:tblLook w:val="0000" w:firstRow="0" w:lastRow="0" w:firstColumn="0" w:lastColumn="0" w:noHBand="0" w:noVBand="0"/>
      </w:tblPr>
      <w:tblGrid>
        <w:gridCol w:w="1480"/>
        <w:gridCol w:w="4320"/>
      </w:tblGrid>
      <w:tr w:rsidR="00B06880">
        <w:tblPrEx>
          <w:tblCellMar>
            <w:top w:w="0" w:type="dxa"/>
            <w:bottom w:w="0" w:type="dxa"/>
          </w:tblCellMar>
        </w:tblPrEx>
        <w:tc>
          <w:tcPr>
            <w:tcW w:w="1480" w:type="dxa"/>
            <w:vAlign w:val="center"/>
          </w:tcPr>
          <w:p w:rsidR="00B06880" w:rsidRDefault="00B06880">
            <w:pPr>
              <w:widowControl w:val="0"/>
              <w:autoSpaceDE w:val="0"/>
              <w:autoSpaceDN w:val="0"/>
              <w:adjustRightInd w:val="0"/>
              <w:rPr>
                <w:rFonts w:ascii="Arial" w:hAnsi="Arial" w:cs="Arial"/>
                <w:color w:val="0A4D3F"/>
                <w:sz w:val="26"/>
                <w:szCs w:val="26"/>
                <w:lang w:val="en-US"/>
              </w:rPr>
            </w:pPr>
            <w:r>
              <w:rPr>
                <w:rFonts w:ascii="Arial" w:hAnsi="Arial" w:cs="Arial"/>
                <w:noProof/>
                <w:color w:val="0A4D3F"/>
                <w:sz w:val="26"/>
                <w:szCs w:val="26"/>
                <w:lang w:val="en-US"/>
              </w:rPr>
              <w:drawing>
                <wp:inline distT="0" distB="0" distL="0" distR="0">
                  <wp:extent cx="937895" cy="735965"/>
                  <wp:effectExtent l="0" t="0" r="190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7895" cy="735965"/>
                          </a:xfrm>
                          <a:prstGeom prst="rect">
                            <a:avLst/>
                          </a:prstGeom>
                          <a:noFill/>
                          <a:ln>
                            <a:noFill/>
                          </a:ln>
                        </pic:spPr>
                      </pic:pic>
                    </a:graphicData>
                  </a:graphic>
                </wp:inline>
              </w:drawing>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B06880" w:rsidRDefault="00B06880">
            <w:pPr>
              <w:widowControl w:val="0"/>
              <w:autoSpaceDE w:val="0"/>
              <w:autoSpaceDN w:val="0"/>
              <w:adjustRightInd w:val="0"/>
              <w:rPr>
                <w:rFonts w:ascii="Arial" w:hAnsi="Arial" w:cs="Arial"/>
                <w:color w:val="262626"/>
                <w:sz w:val="26"/>
                <w:szCs w:val="26"/>
                <w:lang w:val="en-US"/>
              </w:rPr>
            </w:pPr>
            <w:r>
              <w:rPr>
                <w:rFonts w:ascii="Arial" w:hAnsi="Arial" w:cs="Arial"/>
                <w:b/>
                <w:bCs/>
                <w:color w:val="262626"/>
                <w:sz w:val="26"/>
                <w:szCs w:val="26"/>
                <w:lang w:val="en-US"/>
              </w:rPr>
              <w:t>Marseille : les dessous du plus gros réseau</w:t>
            </w:r>
          </w:p>
          <w:p w:rsidR="00B06880" w:rsidRDefault="00B06880">
            <w:pPr>
              <w:widowControl w:val="0"/>
              <w:autoSpaceDE w:val="0"/>
              <w:autoSpaceDN w:val="0"/>
              <w:adjustRightInd w:val="0"/>
              <w:rPr>
                <w:rFonts w:ascii="Arial" w:hAnsi="Arial" w:cs="Arial"/>
                <w:color w:val="262626"/>
                <w:sz w:val="26"/>
                <w:szCs w:val="26"/>
                <w:lang w:val="en-US"/>
              </w:rPr>
            </w:pPr>
            <w:r>
              <w:rPr>
                <w:rFonts w:ascii="Arial" w:hAnsi="Arial" w:cs="Arial"/>
                <w:color w:val="262626"/>
                <w:sz w:val="26"/>
                <w:szCs w:val="26"/>
                <w:lang w:val="en-US"/>
              </w:rPr>
              <w:t>…de distribution de e-tickets en France. L’entreprise marseillaise est le leader du e-ticket en France pour l’accès à la culture et aux loisirs</w:t>
            </w:r>
          </w:p>
        </w:tc>
      </w:tr>
    </w:tbl>
    <w:p w:rsidR="00B06880" w:rsidRDefault="00B06880" w:rsidP="00B06880">
      <w:pPr>
        <w:widowControl w:val="0"/>
        <w:autoSpaceDE w:val="0"/>
        <w:autoSpaceDN w:val="0"/>
        <w:adjustRightInd w:val="0"/>
        <w:spacing w:after="300"/>
        <w:rPr>
          <w:rFonts w:ascii="Georgia" w:hAnsi="Georgia" w:cs="Georgia"/>
          <w:color w:val="262626"/>
          <w:sz w:val="30"/>
          <w:szCs w:val="30"/>
          <w:lang w:val="en-US"/>
        </w:rPr>
      </w:pPr>
      <w:r>
        <w:rPr>
          <w:rFonts w:ascii="Georgia" w:hAnsi="Georgia" w:cs="Georgia"/>
          <w:color w:val="262626"/>
          <w:sz w:val="30"/>
          <w:szCs w:val="30"/>
          <w:lang w:val="en-US"/>
        </w:rPr>
        <w:t>La pratique du "tax ruling", qui est légale, permet à une entreprise de demander à l'avance comment sa situation sera traitée par l'administration fiscale d'un pays, et d'obtenir certaines garanties juridiques. Les groupes concernés - sont cités notamment Apple, Amazon, Verizon, AIG, Heinz, Pepsi, Ikea - réalisent ainsi des milliards d'euros d'économies chaque année grâce à la création d'une filiale, d'une holding ou au déplacement d'un siège social sur le territoire du Grand-Duché. Avec pour but de payer le moins d'impôt possible.</w:t>
      </w:r>
    </w:p>
    <w:p w:rsidR="00B06880" w:rsidRDefault="00B06880" w:rsidP="00B06880">
      <w:pPr>
        <w:widowControl w:val="0"/>
        <w:autoSpaceDE w:val="0"/>
        <w:autoSpaceDN w:val="0"/>
        <w:adjustRightInd w:val="0"/>
        <w:spacing w:after="300"/>
        <w:rPr>
          <w:rFonts w:ascii="Georgia" w:hAnsi="Georgia" w:cs="Georgia"/>
          <w:color w:val="262626"/>
          <w:sz w:val="30"/>
          <w:szCs w:val="30"/>
          <w:lang w:val="en-US"/>
        </w:rPr>
      </w:pPr>
      <w:r>
        <w:rPr>
          <w:rFonts w:ascii="Georgia" w:hAnsi="Georgia" w:cs="Georgia"/>
          <w:color w:val="262626"/>
          <w:sz w:val="30"/>
          <w:szCs w:val="30"/>
          <w:lang w:val="en-US"/>
        </w:rPr>
        <w:t xml:space="preserve">Les groupes français Axa et Crédit agricole apparaissent "dans les données émanant de PwC", le cabinet d'audit et de conseil PricewaterhouseCoopers (PwC) qui a établi entre 2002 et 2010 les documents obtenus par l'ICIJ, "mais à un moindre niveau", selon </w:t>
      </w:r>
      <w:r>
        <w:rPr>
          <w:rFonts w:ascii="Georgia" w:hAnsi="Georgia" w:cs="Georgia"/>
          <w:i/>
          <w:iCs/>
          <w:color w:val="262626"/>
          <w:sz w:val="30"/>
          <w:szCs w:val="30"/>
          <w:lang w:val="en-US"/>
        </w:rPr>
        <w:t>Le Monde</w:t>
      </w:r>
      <w:r>
        <w:rPr>
          <w:rFonts w:ascii="Georgia" w:hAnsi="Georgia" w:cs="Georgia"/>
          <w:color w:val="262626"/>
          <w:sz w:val="30"/>
          <w:szCs w:val="30"/>
          <w:lang w:val="en-US"/>
        </w:rPr>
        <w:t>. "Ils profitent d'un environnement favorable à la gestion de fonds d'investissement", ajoute le quotidien.</w:t>
      </w:r>
    </w:p>
    <w:p w:rsidR="00B06880" w:rsidRDefault="00B06880" w:rsidP="00B06880">
      <w:pPr>
        <w:widowControl w:val="0"/>
        <w:autoSpaceDE w:val="0"/>
        <w:autoSpaceDN w:val="0"/>
        <w:adjustRightInd w:val="0"/>
        <w:spacing w:after="300"/>
        <w:rPr>
          <w:rFonts w:ascii="Georgia" w:hAnsi="Georgia" w:cs="Georgia"/>
          <w:color w:val="262626"/>
          <w:sz w:val="30"/>
          <w:szCs w:val="30"/>
          <w:lang w:val="en-US"/>
        </w:rPr>
      </w:pPr>
      <w:r>
        <w:rPr>
          <w:rFonts w:ascii="Georgia" w:hAnsi="Georgia" w:cs="Georgia"/>
          <w:color w:val="262626"/>
          <w:sz w:val="30"/>
          <w:szCs w:val="30"/>
          <w:lang w:val="en-US"/>
        </w:rPr>
        <w:t xml:space="preserve">PwC a rédigé ces documents "et en a négocié les termes avec l'administration luxembourgeoise", précise </w:t>
      </w:r>
      <w:r>
        <w:rPr>
          <w:rFonts w:ascii="Georgia" w:hAnsi="Georgia" w:cs="Georgia"/>
          <w:i/>
          <w:iCs/>
          <w:color w:val="262626"/>
          <w:sz w:val="30"/>
          <w:szCs w:val="30"/>
          <w:lang w:val="en-US"/>
        </w:rPr>
        <w:t>Le Monde</w:t>
      </w:r>
      <w:r>
        <w:rPr>
          <w:rFonts w:ascii="Georgia" w:hAnsi="Georgia" w:cs="Georgia"/>
          <w:color w:val="262626"/>
          <w:sz w:val="30"/>
          <w:szCs w:val="30"/>
          <w:lang w:val="en-US"/>
        </w:rPr>
        <w:t>. "Le Luxembourg garde ces accords fiscaux secrets" et "ne le notifie pas à ses partenaires européens" bien qu'il soit "mis au courant, de fait, par ces multinationales, de leur stratégie d'évitement de l'impôt", poursuit le quotidien.</w:t>
      </w:r>
    </w:p>
    <w:p w:rsidR="00B06880" w:rsidRDefault="00B06880" w:rsidP="00B06880">
      <w:pPr>
        <w:widowControl w:val="0"/>
        <w:autoSpaceDE w:val="0"/>
        <w:autoSpaceDN w:val="0"/>
        <w:adjustRightInd w:val="0"/>
        <w:spacing w:after="300"/>
        <w:rPr>
          <w:rFonts w:ascii="Georgia" w:hAnsi="Georgia" w:cs="Georgia"/>
          <w:color w:val="262626"/>
          <w:sz w:val="30"/>
          <w:szCs w:val="30"/>
          <w:lang w:val="en-US"/>
        </w:rPr>
      </w:pPr>
      <w:r>
        <w:rPr>
          <w:rFonts w:ascii="Georgia" w:hAnsi="Georgia" w:cs="Georgia"/>
          <w:b/>
          <w:bCs/>
          <w:color w:val="262626"/>
          <w:sz w:val="30"/>
          <w:szCs w:val="30"/>
          <w:lang w:val="en-US"/>
        </w:rPr>
        <w:t>Quatre enquêtes en cours</w:t>
      </w:r>
    </w:p>
    <w:p w:rsidR="00B06880" w:rsidRDefault="00B06880" w:rsidP="00B06880">
      <w:pPr>
        <w:widowControl w:val="0"/>
        <w:autoSpaceDE w:val="0"/>
        <w:autoSpaceDN w:val="0"/>
        <w:adjustRightInd w:val="0"/>
        <w:spacing w:after="300"/>
        <w:rPr>
          <w:rFonts w:ascii="Georgia" w:hAnsi="Georgia" w:cs="Georgia"/>
          <w:color w:val="262626"/>
          <w:sz w:val="30"/>
          <w:szCs w:val="30"/>
          <w:lang w:val="en-US"/>
        </w:rPr>
      </w:pPr>
      <w:r>
        <w:rPr>
          <w:rFonts w:ascii="Georgia" w:hAnsi="Georgia" w:cs="Georgia"/>
          <w:color w:val="262626"/>
          <w:sz w:val="30"/>
          <w:szCs w:val="30"/>
          <w:lang w:val="en-US"/>
        </w:rPr>
        <w:t xml:space="preserve">En Australie, l'analyse détaillée des documents de l'ICIJ a d'ores et déjà commencé, a fait savoir jeudi Chris Jordan, haut responsable de l'administration fiscale. Il s'agit de "vérifier que les entreprises paient le juste montant d'impôt" que leur activité justifie. Le </w:t>
      </w:r>
      <w:r>
        <w:rPr>
          <w:rFonts w:ascii="Georgia" w:hAnsi="Georgia" w:cs="Georgia"/>
          <w:i/>
          <w:iCs/>
          <w:color w:val="262626"/>
          <w:sz w:val="30"/>
          <w:szCs w:val="30"/>
          <w:lang w:val="en-US"/>
        </w:rPr>
        <w:t>Guardian</w:t>
      </w:r>
      <w:r>
        <w:rPr>
          <w:rFonts w:ascii="Georgia" w:hAnsi="Georgia" w:cs="Georgia"/>
          <w:color w:val="262626"/>
          <w:sz w:val="30"/>
          <w:szCs w:val="30"/>
          <w:lang w:val="en-US"/>
        </w:rPr>
        <w:t xml:space="preserve"> estime que "ces révélations seront embarrassantes pour le nouveau président de la Commission européenne Jean-Claude Juncker, qui a été Premier ministre du Luxembourg entre 1995 et 2013", soit pendant la période où les accords mentionnés par l'ICIJ ont été signés.</w:t>
      </w:r>
    </w:p>
    <w:p w:rsidR="00B06880" w:rsidRDefault="00B06880" w:rsidP="00B06880">
      <w:pPr>
        <w:widowControl w:val="0"/>
        <w:autoSpaceDE w:val="0"/>
        <w:autoSpaceDN w:val="0"/>
        <w:adjustRightInd w:val="0"/>
        <w:spacing w:after="300"/>
        <w:rPr>
          <w:rFonts w:ascii="Georgia" w:hAnsi="Georgia" w:cs="Georgia"/>
          <w:color w:val="262626"/>
          <w:sz w:val="30"/>
          <w:szCs w:val="30"/>
          <w:lang w:val="en-US"/>
        </w:rPr>
      </w:pPr>
      <w:r>
        <w:rPr>
          <w:rFonts w:ascii="Georgia" w:hAnsi="Georgia" w:cs="Georgia"/>
          <w:color w:val="262626"/>
          <w:sz w:val="30"/>
          <w:szCs w:val="30"/>
          <w:lang w:val="en-US"/>
        </w:rPr>
        <w:t>La Commission européenne a ouvert en juin quatre enquêtes sur la pratique fiscale de "tax ruling" visant des Etats membres. L'une vise l'Irlande et concerne des accords passés entre l'administration fiscale et le géant américain d'internet Apple, soupçonné d'avoir bénéficié d'un traitement de faveur contraire aux règles européennes de la concurrence. Une deuxième concerne des soupçons d'avantages fiscaux accordés par les Pays-Bas à la chaîne de cafés Starbucks. La troisième porte sur des accords passés par le Luxembourg avec Fiat Finance and Trade, qui fournit des services de gestion de trésorerie au groupe automobile Fiat. La dernière, ouverte en octobre, vise Gibraltar.</w:t>
      </w:r>
    </w:p>
    <w:p w:rsidR="00B06880" w:rsidRDefault="00B06880" w:rsidP="00B06880">
      <w:pPr>
        <w:widowControl w:val="0"/>
        <w:autoSpaceDE w:val="0"/>
        <w:autoSpaceDN w:val="0"/>
        <w:adjustRightInd w:val="0"/>
        <w:spacing w:after="300"/>
        <w:rPr>
          <w:rFonts w:ascii="Georgia" w:hAnsi="Georgia" w:cs="Georgia"/>
          <w:color w:val="262626"/>
          <w:sz w:val="30"/>
          <w:szCs w:val="30"/>
          <w:lang w:val="en-US"/>
        </w:rPr>
      </w:pPr>
      <w:r>
        <w:rPr>
          <w:rFonts w:ascii="Georgia" w:hAnsi="Georgia" w:cs="Georgia"/>
          <w:b/>
          <w:bCs/>
          <w:color w:val="262626"/>
          <w:sz w:val="30"/>
          <w:szCs w:val="30"/>
          <w:lang w:val="en-US"/>
        </w:rPr>
        <w:t>Le "tax ruling" "fait partie de notre patrimoine</w:t>
      </w:r>
    </w:p>
    <w:p w:rsidR="00B06880" w:rsidRDefault="00B06880" w:rsidP="00B06880">
      <w:pPr>
        <w:widowControl w:val="0"/>
        <w:autoSpaceDE w:val="0"/>
        <w:autoSpaceDN w:val="0"/>
        <w:adjustRightInd w:val="0"/>
        <w:spacing w:after="300"/>
        <w:rPr>
          <w:rFonts w:ascii="Georgia" w:hAnsi="Georgia" w:cs="Georgia"/>
          <w:color w:val="262626"/>
          <w:sz w:val="30"/>
          <w:szCs w:val="30"/>
          <w:lang w:val="en-US"/>
        </w:rPr>
      </w:pPr>
      <w:r>
        <w:rPr>
          <w:rFonts w:ascii="Georgia" w:hAnsi="Georgia" w:cs="Georgia"/>
          <w:color w:val="262626"/>
          <w:sz w:val="30"/>
          <w:szCs w:val="30"/>
          <w:lang w:val="en-US"/>
        </w:rPr>
        <w:t xml:space="preserve">Dans </w:t>
      </w:r>
      <w:r>
        <w:rPr>
          <w:rFonts w:ascii="Georgia" w:hAnsi="Georgia" w:cs="Georgia"/>
          <w:i/>
          <w:iCs/>
          <w:color w:val="262626"/>
          <w:sz w:val="30"/>
          <w:szCs w:val="30"/>
          <w:lang w:val="en-US"/>
        </w:rPr>
        <w:t>Le Monde</w:t>
      </w:r>
      <w:r>
        <w:rPr>
          <w:rFonts w:ascii="Georgia" w:hAnsi="Georgia" w:cs="Georgia"/>
          <w:color w:val="262626"/>
          <w:sz w:val="30"/>
          <w:szCs w:val="30"/>
          <w:lang w:val="en-US"/>
        </w:rPr>
        <w:t xml:space="preserve"> du 29 octobre, le ministre luxembourgeois des Finances, Pierre Gramegna, a défendu la pratique de "tax ruling". Elle "fait partie de notre patrimoine et nous voulons la perpétuer dans le respect des règles". "Le maintien d'une certaine compétitivité, loyale, entre les Etats dans le domaine fiscal est indispensable", ajoutait le ministre du Grand-Duché.</w:t>
      </w:r>
    </w:p>
    <w:p w:rsidR="00396E52" w:rsidRDefault="00B06880" w:rsidP="00B06880">
      <w:r>
        <w:rPr>
          <w:rFonts w:ascii="Georgia" w:hAnsi="Georgia" w:cs="Georgia"/>
          <w:color w:val="262626"/>
          <w:sz w:val="30"/>
          <w:szCs w:val="30"/>
          <w:lang w:val="en-US"/>
        </w:rPr>
        <w:t>De son côté, l'OCDE a publié en septembre à destination du G20 des recommandations contre l'optimisation fiscale, ces stratégies sophistiquées et le plus souvent légales permettant aux multinationales de payer le moins d'impôts possible. L'OCDE milite pour rétablir "la souveraineté fiscale" à savoir que les bénéfices doivent être taxés là où ils sont réalisés.</w:t>
      </w:r>
      <w:bookmarkStart w:id="0" w:name="_GoBack"/>
      <w:bookmarkEnd w:id="0"/>
    </w:p>
    <w:sectPr w:rsidR="00396E52" w:rsidSect="0025472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880"/>
    <w:rsid w:val="0025472F"/>
    <w:rsid w:val="00396E52"/>
    <w:rsid w:val="00B0688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0C35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68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688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68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688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twitter.com/intent/tweet?lang=fr&amp;text=Luxembourg%3A+des+accords+secrets+avec+340+multinationales+pour+minimiser+leurs+imp%C3%B4ts+http%3A%2F%2Fhuff.to%2F1qqPFYR" TargetMode="External"/><Relationship Id="rId12" Type="http://schemas.openxmlformats.org/officeDocument/2006/relationships/hyperlink" Target="javascript:void(0);" TargetMode="External"/><Relationship Id="rId13" Type="http://schemas.openxmlformats.org/officeDocument/2006/relationships/hyperlink" Target="http://www.lemonde.fr/economie-mondiale/article/2014/11/05/evasion-fiscale-tout-sur-les-secrets-du-luxembourg_4518895_1656941.html" TargetMode="External"/><Relationship Id="rId14" Type="http://schemas.openxmlformats.org/officeDocument/2006/relationships/image" Target="media/image2.png"/><Relationship Id="rId15" Type="http://schemas.openxmlformats.org/officeDocument/2006/relationships/image" Target="media/image3.jpe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javscript:void(0)" TargetMode="External"/><Relationship Id="rId8" Type="http://schemas.openxmlformats.org/officeDocument/2006/relationships/hyperlink" Target="javscript:void(0)" TargetMode="External"/><Relationship Id="rId9" Type="http://schemas.openxmlformats.org/officeDocument/2006/relationships/hyperlink" Target="javscript:void(0)" TargetMode="External"/><Relationship Id="rId10" Type="http://schemas.openxmlformats.org/officeDocument/2006/relationships/hyperlink" Target="https://www.facebook.com/sharer/sharer.php?u=http%3A%2F%2Fwww.huffingtonpost.fr%2F2014%2F11%2F06%2Fluxembourg-plaque-tournante-evasion-fiscale_n_611215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845</Words>
  <Characters>4818</Characters>
  <Application>Microsoft Macintosh Word</Application>
  <DocSecurity>0</DocSecurity>
  <Lines>40</Lines>
  <Paragraphs>11</Paragraphs>
  <ScaleCrop>false</ScaleCrop>
  <Company/>
  <LinksUpToDate>false</LinksUpToDate>
  <CharactersWithSpaces>5652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1</cp:revision>
  <dcterms:created xsi:type="dcterms:W3CDTF">2014-11-18T15:37:00Z</dcterms:created>
  <dcterms:modified xsi:type="dcterms:W3CDTF">2014-11-18T15:38:00Z</dcterms:modified>
</cp:coreProperties>
</file>