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39" w:rsidRDefault="00063839" w:rsidP="00063839">
      <w:pPr>
        <w:widowControl w:val="0"/>
        <w:autoSpaceDE w:val="0"/>
        <w:autoSpaceDN w:val="0"/>
        <w:adjustRightInd w:val="0"/>
        <w:rPr>
          <w:rFonts w:ascii="Georgia" w:hAnsi="Georgia" w:cs="Georgia"/>
          <w:color w:val="1A224E"/>
          <w:sz w:val="50"/>
          <w:szCs w:val="50"/>
          <w:lang w:val="en-US"/>
        </w:rPr>
      </w:pPr>
      <w:proofErr w:type="spellStart"/>
      <w:proofErr w:type="gramStart"/>
      <w:r>
        <w:rPr>
          <w:rFonts w:ascii="Georgia" w:hAnsi="Georgia" w:cs="Georgia"/>
          <w:color w:val="1A224E"/>
          <w:sz w:val="50"/>
          <w:szCs w:val="50"/>
          <w:lang w:val="en-US"/>
        </w:rPr>
        <w:t>Luxleaks</w:t>
      </w:r>
      <w:proofErr w:type="spellEnd"/>
      <w:r>
        <w:rPr>
          <w:rFonts w:ascii="Georgia" w:hAnsi="Georgia" w:cs="Georgia"/>
          <w:color w:val="1A224E"/>
          <w:sz w:val="50"/>
          <w:szCs w:val="50"/>
          <w:lang w:val="en-US"/>
        </w:rPr>
        <w:t xml:space="preserve"> :</w:t>
      </w:r>
      <w:proofErr w:type="gramEnd"/>
      <w:r>
        <w:rPr>
          <w:rFonts w:ascii="Georgia" w:hAnsi="Georgia" w:cs="Georgia"/>
          <w:color w:val="1A224E"/>
          <w:sz w:val="50"/>
          <w:szCs w:val="50"/>
          <w:lang w:val="en-US"/>
        </w:rPr>
        <w:t xml:space="preserve"> </w:t>
      </w:r>
      <w:proofErr w:type="spellStart"/>
      <w:r>
        <w:rPr>
          <w:rFonts w:ascii="Georgia" w:hAnsi="Georgia" w:cs="Georgia"/>
          <w:color w:val="1A224E"/>
          <w:sz w:val="50"/>
          <w:szCs w:val="50"/>
          <w:lang w:val="en-US"/>
        </w:rPr>
        <w:t>Juncker</w:t>
      </w:r>
      <w:proofErr w:type="spellEnd"/>
      <w:r>
        <w:rPr>
          <w:rFonts w:ascii="Georgia" w:hAnsi="Georgia" w:cs="Georgia"/>
          <w:color w:val="1A224E"/>
          <w:sz w:val="50"/>
          <w:szCs w:val="50"/>
          <w:lang w:val="en-US"/>
        </w:rPr>
        <w:t xml:space="preserve"> strikes back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noProof/>
          <w:color w:val="1A224E"/>
          <w:sz w:val="32"/>
          <w:szCs w:val="32"/>
          <w:lang w:val="en-US"/>
        </w:rPr>
        <w:drawing>
          <wp:inline distT="0" distB="0" distL="0" distR="0">
            <wp:extent cx="1524000" cy="859790"/>
            <wp:effectExtent l="0" t="0" r="0" b="381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sz w:val="32"/>
          <w:szCs w:val="32"/>
          <w:lang w:val="en-US"/>
        </w:rPr>
        <w:t xml:space="preserve"> Jean-Claude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Juncker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cause pour son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rôle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Luxleaks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», en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convient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l’évasion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permet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aux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d’échapper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partie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« ne correspond pas aux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normes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éthiques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morales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généralement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admises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». Pour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autant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 nouveau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président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Commission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démord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pas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le « tax ruling »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déclaration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anticipée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pratiquée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échelle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par le Grand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Duché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lorsqu’il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dirigeait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conforme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droit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luxembourgeois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international :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je ne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m’excuse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pas pour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j’ai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fait pour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mon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pays »</w:t>
      </w:r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Contre-attaquant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défi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États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membres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relancer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l’harmonisation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totalement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enlisée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depuis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20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car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verrouillée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par le vote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l’unanimité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26"/>
          <w:szCs w:val="26"/>
          <w:lang w:val="en-US"/>
        </w:rPr>
        <w:t> 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Il aura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fallu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semaine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après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révélation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l’affaire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Luxleaks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 pour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Juncker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décide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prendre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taureau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par les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cornes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descendu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mercredi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midi, à la surprise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générale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salle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presse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Commission et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affronté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l’après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-midi,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lors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d’un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débat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organisé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l’urgence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députés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européens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réunis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session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plénière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Bruxelles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Son message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simple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pas question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démissionner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demandent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curieuse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alliance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circonstance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certains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médias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libéraux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anglo-saxons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la gauche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radicale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puisqu’aucune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faute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n’aurait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commise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Les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décisions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fiscales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lastRenderedPageBreak/>
        <w:t>anticipées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pratique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bien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établie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22 pays »</w:t>
      </w:r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28, a-t-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rappelé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«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 La Commission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elle-même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les a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déclaré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 », par le passé </w:t>
      </w:r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plusieurs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reprises, « 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conformes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droit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communautaire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dès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lors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n’y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a pas de discrimination entre les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 xml:space="preserve"> qui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bénéficient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(par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exemple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réservant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traitement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préférentiel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aux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seules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sociétés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étrangères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).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Je ne </w:t>
      </w:r>
      <w:proofErr w:type="spellStart"/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>suis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pas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l’architecte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du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modèle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luxembourgeois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même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je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suis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politiquement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responsable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qui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s’est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passé ».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Il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néanmoins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admis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>« 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l’interaction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entre les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règles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nationales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uns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règles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nationales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autres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peut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conduire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à des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taux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d’imposition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très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faibles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>« 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c’est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résultat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auquel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conduit la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logique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 non-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harmonisation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sein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l’Union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européenne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>.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Celui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qui refuse d’être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décrit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>« 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l’ami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du grand capital »</w:t>
      </w:r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reconnaît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y a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>« 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urgence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agir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 xml:space="preserve">, car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>« 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l'impression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qui se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dégage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l'injustice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insuffisamment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combattue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en Europe </w:t>
      </w:r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>» </w:t>
      </w:r>
      <w:r>
        <w:rPr>
          <w:rFonts w:ascii="Verdana" w:hAnsi="Verdana" w:cs="Verdana"/>
          <w:sz w:val="32"/>
          <w:szCs w:val="32"/>
          <w:lang w:val="en-US"/>
        </w:rPr>
        <w:t>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nombreux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citoyens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qu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i « ne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comprennent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pas la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différence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qui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existe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entre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l'assainissement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des finances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publiques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l'imposition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sociétés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».</w:t>
      </w:r>
      <w:r>
        <w:rPr>
          <w:rFonts w:ascii="Verdana" w:hAnsi="Verdana" w:cs="Verdana"/>
          <w:sz w:val="32"/>
          <w:szCs w:val="32"/>
          <w:lang w:val="en-US"/>
        </w:rPr>
        <w:t xml:space="preserve"> Il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affirme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avoir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agi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tout au long de </w:t>
      </w:r>
      <w:proofErr w:type="spellStart"/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>sa</w:t>
      </w:r>
      <w:proofErr w:type="spellEnd"/>
      <w:proofErr w:type="gram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vie pour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l’harmonisation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rappelant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sous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présidence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luxembourgeoise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TVA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harmonisée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(en 1991)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qu’un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hyperlink r:id="rId7" w:history="1"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« code de bonne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conduite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 »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visant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à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lutter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contre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la concurrence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fiscale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déloyale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a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été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</w:t>
        </w:r>
        <w:proofErr w:type="spellStart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>adopté</w:t>
        </w:r>
        <w:proofErr w:type="spellEnd"/>
        <w:r>
          <w:rPr>
            <w:rFonts w:ascii="Verdana" w:hAnsi="Verdana" w:cs="Verdana"/>
            <w:color w:val="1A224E"/>
            <w:sz w:val="32"/>
            <w:szCs w:val="32"/>
            <w:u w:val="single" w:color="1A224E"/>
            <w:lang w:val="en-US"/>
          </w:rPr>
          <w:t xml:space="preserve"> (en 1997)</w:t>
        </w:r>
      </w:hyperlink>
      <w:r>
        <w:rPr>
          <w:rFonts w:ascii="Verdana" w:hAnsi="Verdana" w:cs="Verdana"/>
          <w:sz w:val="32"/>
          <w:szCs w:val="32"/>
          <w:lang w:val="en-US"/>
        </w:rPr>
        <w:t xml:space="preserve">. Il a,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revanche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omis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rappeler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opposé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levée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secret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bancaire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pour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comptes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particuliers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finalement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acceptée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année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par son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successeur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…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changé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promet-il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puisqu’il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porte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désormais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habits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président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Commission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la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lutte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contre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fraude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l’évasion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priorités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« Et </w:t>
      </w:r>
      <w:proofErr w:type="spellStart"/>
      <w:proofErr w:type="gramStart"/>
      <w:r>
        <w:rPr>
          <w:rFonts w:ascii="Verdana" w:hAnsi="Verdana" w:cs="Verdana"/>
          <w:i/>
          <w:iCs/>
          <w:sz w:val="32"/>
          <w:szCs w:val="32"/>
          <w:lang w:val="en-US"/>
        </w:rPr>
        <w:t>ce</w:t>
      </w:r>
      <w:proofErr w:type="spellEnd"/>
      <w:proofErr w:type="gram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ne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 xml:space="preserve"> pas des paroles en </w:t>
      </w:r>
      <w:proofErr w:type="spellStart"/>
      <w:r>
        <w:rPr>
          <w:rFonts w:ascii="Verdana" w:hAnsi="Verdana" w:cs="Verdana"/>
          <w:i/>
          <w:iCs/>
          <w:sz w:val="32"/>
          <w:szCs w:val="32"/>
          <w:lang w:val="en-US"/>
        </w:rPr>
        <w:t>l’air</w:t>
      </w:r>
      <w:proofErr w:type="spellEnd"/>
      <w:r>
        <w:rPr>
          <w:rFonts w:ascii="Verdana" w:hAnsi="Verdana" w:cs="Verdana"/>
          <w:i/>
          <w:iCs/>
          <w:sz w:val="32"/>
          <w:szCs w:val="32"/>
          <w:lang w:val="en-US"/>
        </w:rPr>
        <w:t> »</w:t>
      </w:r>
      <w:r>
        <w:rPr>
          <w:rFonts w:ascii="Verdana" w:hAnsi="Verdana" w:cs="Verdana"/>
          <w:sz w:val="32"/>
          <w:szCs w:val="32"/>
          <w:lang w:val="en-US"/>
        </w:rPr>
        <w:t xml:space="preserve">. Il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annoncé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allait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remettre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table la proposition de directive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harmonisant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définition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l’assiette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en carafe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depuis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2011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pas par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faute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Grand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Duché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, a-t-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rappelé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même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a bon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espoir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révision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directive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mère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filiale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» (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harmonisation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taxation des flux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dividendes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travers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), qui vise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insérer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clause anti-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abus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sanctionner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montages complexes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permettant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d’échapper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adoptée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d’ici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la fin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l’année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Vendredi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dernier,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Royaume-Uni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les Pays-Bas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Belgique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s’y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opposés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nouvelle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fois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…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directive sera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prochainement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proposée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d’instaurer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un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échange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automatique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d’informations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entre les administrations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déclarations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anticipées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négociées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par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un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système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souhaite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étendre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reste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monde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suggérer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lors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G20 de Brisbane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semaine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pas le « grand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 fiscal,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Juncker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veut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tester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volonté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États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d’agir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26"/>
          <w:szCs w:val="26"/>
          <w:lang w:val="en-US"/>
        </w:rPr>
        <w:t> 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>Photo: Reuters</w:t>
      </w:r>
    </w:p>
    <w:p w:rsidR="00396E52" w:rsidRDefault="00063839" w:rsidP="00063839">
      <w:pPr>
        <w:rPr>
          <w:rFonts w:ascii="Verdana" w:hAnsi="Verdana" w:cs="Verdana"/>
          <w:sz w:val="32"/>
          <w:szCs w:val="32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N.B.: version longue de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mon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article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Libération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13/11</w:t>
      </w:r>
    </w:p>
    <w:p w:rsidR="00063839" w:rsidRDefault="00063839" w:rsidP="00063839">
      <w:pPr>
        <w:rPr>
          <w:rFonts w:ascii="Verdana" w:hAnsi="Verdana" w:cs="Verdana"/>
          <w:sz w:val="32"/>
          <w:szCs w:val="32"/>
          <w:lang w:val="en-US"/>
        </w:rPr>
      </w:pPr>
    </w:p>
    <w:p w:rsidR="00063839" w:rsidRDefault="00063839" w:rsidP="00063839">
      <w:pPr>
        <w:rPr>
          <w:rFonts w:ascii="Verdana" w:hAnsi="Verdana" w:cs="Verdana"/>
          <w:sz w:val="32"/>
          <w:szCs w:val="32"/>
          <w:lang w:val="en-US"/>
        </w:rPr>
      </w:pPr>
    </w:p>
    <w:p w:rsidR="00063839" w:rsidRDefault="00063839" w:rsidP="00063839">
      <w:pPr>
        <w:widowControl w:val="0"/>
        <w:autoSpaceDE w:val="0"/>
        <w:autoSpaceDN w:val="0"/>
        <w:adjustRightInd w:val="0"/>
        <w:rPr>
          <w:rFonts w:ascii="Verdana" w:hAnsi="Verdana" w:cs="Verdana"/>
          <w:color w:val="6D6D6D"/>
          <w:sz w:val="22"/>
          <w:szCs w:val="22"/>
          <w:lang w:val="en-US"/>
        </w:rPr>
      </w:pPr>
      <w:r>
        <w:rPr>
          <w:rFonts w:ascii="Verdana" w:hAnsi="Verdana" w:cs="Verdana"/>
          <w:color w:val="6D6D6D"/>
          <w:sz w:val="22"/>
          <w:szCs w:val="22"/>
          <w:lang w:val="en-US"/>
        </w:rPr>
        <w:t>09 NOVEMBRE 2014</w:t>
      </w:r>
    </w:p>
    <w:p w:rsidR="00063839" w:rsidRDefault="00063839" w:rsidP="00063839">
      <w:pPr>
        <w:widowControl w:val="0"/>
        <w:autoSpaceDE w:val="0"/>
        <w:autoSpaceDN w:val="0"/>
        <w:adjustRightInd w:val="0"/>
        <w:rPr>
          <w:rFonts w:ascii="Georgia" w:hAnsi="Georgia" w:cs="Georgia"/>
          <w:color w:val="1A224E"/>
          <w:sz w:val="50"/>
          <w:szCs w:val="50"/>
          <w:lang w:val="en-US"/>
        </w:rPr>
      </w:pPr>
      <w:r>
        <w:rPr>
          <w:rFonts w:ascii="Georgia" w:hAnsi="Georgia" w:cs="Georgia"/>
          <w:color w:val="1A224E"/>
          <w:sz w:val="50"/>
          <w:szCs w:val="50"/>
          <w:lang w:val="en-US"/>
        </w:rPr>
        <w:t>"</w:t>
      </w:r>
      <w:proofErr w:type="spellStart"/>
      <w:r>
        <w:rPr>
          <w:rFonts w:ascii="Georgia" w:hAnsi="Georgia" w:cs="Georgia"/>
          <w:color w:val="1A224E"/>
          <w:sz w:val="50"/>
          <w:szCs w:val="50"/>
          <w:lang w:val="en-US"/>
        </w:rPr>
        <w:t>Luxleaks</w:t>
      </w:r>
      <w:proofErr w:type="spellEnd"/>
      <w:r>
        <w:rPr>
          <w:rFonts w:ascii="Georgia" w:hAnsi="Georgia" w:cs="Georgia"/>
          <w:color w:val="1A224E"/>
          <w:sz w:val="50"/>
          <w:szCs w:val="50"/>
          <w:lang w:val="en-US"/>
        </w:rPr>
        <w:t xml:space="preserve">": le </w:t>
      </w:r>
      <w:proofErr w:type="spellStart"/>
      <w:proofErr w:type="gramStart"/>
      <w:r>
        <w:rPr>
          <w:rFonts w:ascii="Georgia" w:hAnsi="Georgia" w:cs="Georgia"/>
          <w:color w:val="1A224E"/>
          <w:sz w:val="50"/>
          <w:szCs w:val="50"/>
          <w:lang w:val="en-US"/>
        </w:rPr>
        <w:t>bal</w:t>
      </w:r>
      <w:proofErr w:type="spellEnd"/>
      <w:proofErr w:type="gramEnd"/>
      <w:r>
        <w:rPr>
          <w:rFonts w:ascii="Georgia" w:hAnsi="Georgia" w:cs="Georgia"/>
          <w:color w:val="1A224E"/>
          <w:sz w:val="50"/>
          <w:szCs w:val="50"/>
          <w:lang w:val="en-US"/>
        </w:rPr>
        <w:t xml:space="preserve"> des hypocrites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noProof/>
          <w:color w:val="1A224E"/>
          <w:sz w:val="32"/>
          <w:szCs w:val="32"/>
          <w:lang w:val="en-US"/>
        </w:rPr>
        <w:drawing>
          <wp:inline distT="0" distB="0" distL="0" distR="0">
            <wp:extent cx="6346190" cy="5344795"/>
            <wp:effectExtent l="0" t="0" r="3810" b="0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sz w:val="32"/>
          <w:szCs w:val="32"/>
          <w:lang w:val="en-US"/>
        </w:rPr>
        <w:t> 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existait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un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concours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Eurovision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l’hypocrisie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Vingt-huit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pourraient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prétendre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victoire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 Car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l’optimisation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juge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morale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non,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nullement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l’apanage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Luxembourg,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pourrait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faire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croire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Luxleaks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 et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cris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d’orfraie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poussés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certains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politiques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Etats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en Europe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ailleurs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font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preuve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même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imagination pour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attirer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retenir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capitaux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infiniment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plus mobiles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travail.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disent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favorables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un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désarmement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pratiques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dommageables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condition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lieu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d’abord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chez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voisins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…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clair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l’évasion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différencier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fraude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des plus riches,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personnes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morales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physiques,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possible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gouvernements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veulent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bien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y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remédier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notamment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niveau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européen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serait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aisé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volonté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politique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existait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pas le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cas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aujourd’hui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alors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même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citoyens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doivent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serrer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ceinture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26"/>
          <w:szCs w:val="26"/>
          <w:lang w:val="en-US"/>
        </w:rPr>
        <w:t> 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Jean-Claude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Juncker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 nouveau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président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Commission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européenne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n’ignore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évidemment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rien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pratiques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luxembourgeoises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domaine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fiscal,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puisqu’il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ministre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finances du Grand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Duché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entre 1989 et 2009,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aussi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Premier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ministre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entre 1995 et 2013,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droit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bottes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Le « ruling »,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technique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permet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aux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d’échapper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partie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conforme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droit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luxembourgeois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viole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aucune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loi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européenne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aucune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règle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internationale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Il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aussi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d’autres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pays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pratiquent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ce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type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d’exercice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Irlande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Pays-Bas, Grande-Bretagne,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Allemagne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France et Suisse),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rappelé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l’actuel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titulaire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portefeuille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finances du Grand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Duché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Pierre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Gramegna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(Le Monde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7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novembre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).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Surtout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Juncker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parfaitement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personne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peut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vraiment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crier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scandale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puisque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chacun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cherche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rendre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plus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attractif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possible.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Ainsi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Belgique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un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enfer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fiscal pour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travailleurs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un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paradis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fiscal non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seulement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pour le capital,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aussi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pour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grâce,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notamment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au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mécanisme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complexe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intérêts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notionnels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étude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réalisée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2012  par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le think tank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Itinera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montré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sociétés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n’était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pas de 33,9 %,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de… 9,8 %.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Citons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aussi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Pays-Bas,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très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accueillants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pour les holdings,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encore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Royaume-Uni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champions de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l’optimisation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» 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pays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abrite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même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paradis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plus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célèbres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planète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îles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Caïmans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Quant à la France,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l’avant-garde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pays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réclamant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sans merci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l’évasion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pas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dernière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offrir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conditions en or aux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grands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groupes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y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compris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français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Total,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parviennent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sans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difficulté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éluder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totalement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partiellement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sociétés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(IS) grâce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série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niches… 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peut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particulier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citer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crédit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recherche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(CIR)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permet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déduire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30 %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dépenses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recherche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encore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investissements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DOM-TOM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vrai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paradis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 xml:space="preserve">Paris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recule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devant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opérations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ponctuelles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l’exonération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d’impôts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vient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d’être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accordée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l’UEFA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bénéfices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autour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900 millions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attendus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)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qu’elle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tirera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l’Euro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français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2016.</w:t>
      </w:r>
      <w:proofErr w:type="gramEnd"/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l’Europe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tout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ça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?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Certes,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Etats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donné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compétence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limitée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(TVA,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accises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revenus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l’épargne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sociétés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),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verrouiller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tout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décider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l’unanimité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D’où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progression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millimétrique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l’harmonisation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chacun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soupçonnant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l’autre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vouloir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faire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renoncer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son « 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avantage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compétitif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 tout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conservant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sien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l’harmonisation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revenus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l’épargne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personnes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physiques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donc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30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voir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jour…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domaine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entreprises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fait du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-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place 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en 1997,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ministres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Finances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contenté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d’adopter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un simple « code de bonne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conduite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 (non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obligatoire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)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lutter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« concurrence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dommageable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 » :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s’agit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d’interdire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concurrence,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d’empêcher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qu’elle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nuise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aux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autres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pays.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Ainsi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recommandé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ne pas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créer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facilités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pour les non-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résidents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avantages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l’absence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activité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économique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réelle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Luxleaks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montre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bel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bien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resté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lettre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morte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Au début des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années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2000, la Commission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bien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essayé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d’aller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plus loin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proposant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un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texte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harmonisant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non pas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non pas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l’assiette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définition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l’assiette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sociétés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pouvoir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comparer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utilement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Échec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Qu’à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cela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tienne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plusieurs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États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France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l’Allemagne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proclamé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qu’ils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allaient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lancer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coopération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renforcée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Échec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nouveau.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Qu’à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cela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tienne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Paris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Berlin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annoncé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août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2011,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serait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harmonisé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entre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1</w:t>
      </w:r>
      <w:r>
        <w:rPr>
          <w:rFonts w:ascii="Verdana" w:hAnsi="Verdana" w:cs="Verdana"/>
          <w:sz w:val="26"/>
          <w:szCs w:val="26"/>
          <w:vertAlign w:val="superscript"/>
          <w:lang w:val="en-US"/>
        </w:rPr>
        <w:t>er</w:t>
      </w:r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janvier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…2013. On attend encore.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32"/>
          <w:szCs w:val="32"/>
          <w:lang w:val="en-US"/>
        </w:rPr>
        <w:t xml:space="preserve">Faire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pression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tel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tel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pays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s’avère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improductif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: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alors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l’Irlande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genoux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et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n’a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dû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sa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survie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qu’à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l’aide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financière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zone euro,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elle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refusé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toucher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son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12,5 %. Elle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seulement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accepté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mettre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fin,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d’ici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2020,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une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disposition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permettait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aux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multinationales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 xml:space="preserve">non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seulement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d’éviter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l’impôt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frauder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(le «double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irish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»). Et encore,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il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fallu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États-Unis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donnent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voix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proofErr w:type="gramStart"/>
      <w:r>
        <w:rPr>
          <w:rFonts w:ascii="Verdana" w:hAnsi="Verdana" w:cs="Verdana"/>
          <w:sz w:val="32"/>
          <w:szCs w:val="32"/>
          <w:lang w:val="en-US"/>
        </w:rPr>
        <w:t xml:space="preserve">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seul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moyen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surmonter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blocages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nationaux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serait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donc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gouvernements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amendant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traités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- à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l’unanimité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–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afin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se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décide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majorité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qualifiée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On en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loin,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même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ministre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des finances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luxembourgeois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reconnu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hier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que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"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qui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légal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aujourd'hui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n'est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peut-être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plus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souhaitable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considéré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comme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éthiquement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compatible". En attendant, la Commission 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décidé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passer par la face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nord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attaquant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dispositifs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d’évasion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par 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biais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du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droit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la concurrence.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effet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les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distorsions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fiscalité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peuvent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être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assimilées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à des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aides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d’État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qui, certes, ne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interdites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en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soi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mais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soigneusement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encadrées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Le Luxembourg (pour Amazon et Fiat),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l'Irlande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(Apple) </w:t>
      </w:r>
      <w:proofErr w:type="gramStart"/>
      <w:r>
        <w:rPr>
          <w:rFonts w:ascii="Verdana" w:hAnsi="Verdana" w:cs="Verdana"/>
          <w:sz w:val="32"/>
          <w:szCs w:val="32"/>
          <w:lang w:val="en-US"/>
        </w:rPr>
        <w:t>et</w:t>
      </w:r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les Pays-Bas (Starbucks)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sont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sur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la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sellette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.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Juridiquement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osé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>.</w:t>
      </w:r>
    </w:p>
    <w:p w:rsidR="00063839" w:rsidRDefault="00063839" w:rsidP="00063839">
      <w:pPr>
        <w:widowControl w:val="0"/>
        <w:autoSpaceDE w:val="0"/>
        <w:autoSpaceDN w:val="0"/>
        <w:adjustRightInd w:val="0"/>
        <w:spacing w:after="200"/>
        <w:jc w:val="both"/>
        <w:rPr>
          <w:rFonts w:ascii="Verdana" w:hAnsi="Verdana" w:cs="Verdana"/>
          <w:sz w:val="26"/>
          <w:szCs w:val="26"/>
          <w:lang w:val="en-US"/>
        </w:rPr>
      </w:pPr>
      <w:r>
        <w:rPr>
          <w:rFonts w:ascii="Verdana" w:hAnsi="Verdana" w:cs="Verdana"/>
          <w:sz w:val="26"/>
          <w:szCs w:val="26"/>
          <w:lang w:val="en-US"/>
        </w:rPr>
        <w:t> </w:t>
      </w:r>
    </w:p>
    <w:p w:rsidR="00063839" w:rsidRDefault="00063839" w:rsidP="00063839">
      <w:r>
        <w:rPr>
          <w:rFonts w:ascii="Verdana" w:hAnsi="Verdana" w:cs="Verdana"/>
          <w:sz w:val="32"/>
          <w:szCs w:val="32"/>
          <w:lang w:val="en-US"/>
        </w:rPr>
        <w:t xml:space="preserve">N.B.: version longue de </w:t>
      </w:r>
      <w:proofErr w:type="spellStart"/>
      <w:proofErr w:type="gramStart"/>
      <w:r>
        <w:rPr>
          <w:rFonts w:ascii="Verdana" w:hAnsi="Verdana" w:cs="Verdana"/>
          <w:sz w:val="32"/>
          <w:szCs w:val="32"/>
          <w:lang w:val="en-US"/>
        </w:rPr>
        <w:t>mon</w:t>
      </w:r>
      <w:proofErr w:type="spellEnd"/>
      <w:proofErr w:type="gramEnd"/>
      <w:r>
        <w:rPr>
          <w:rFonts w:ascii="Verdana" w:hAnsi="Verdana" w:cs="Verdana"/>
          <w:sz w:val="32"/>
          <w:szCs w:val="32"/>
          <w:lang w:val="en-US"/>
        </w:rPr>
        <w:t xml:space="preserve"> article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paru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dans</w:t>
      </w:r>
      <w:proofErr w:type="spellEnd"/>
      <w:r>
        <w:rPr>
          <w:rFonts w:ascii="Verdana" w:hAnsi="Verdana" w:cs="Verdana"/>
          <w:sz w:val="32"/>
          <w:szCs w:val="32"/>
          <w:lang w:val="en-US"/>
        </w:rPr>
        <w:t xml:space="preserve"> le journal de </w:t>
      </w:r>
      <w:proofErr w:type="spellStart"/>
      <w:r>
        <w:rPr>
          <w:rFonts w:ascii="Verdana" w:hAnsi="Verdana" w:cs="Verdana"/>
          <w:sz w:val="32"/>
          <w:szCs w:val="32"/>
          <w:lang w:val="en-US"/>
        </w:rPr>
        <w:t>vendredi</w:t>
      </w:r>
      <w:bookmarkStart w:id="0" w:name="_GoBack"/>
      <w:bookmarkEnd w:id="0"/>
      <w:proofErr w:type="spellEnd"/>
    </w:p>
    <w:sectPr w:rsidR="00063839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39"/>
    <w:rsid w:val="00063839"/>
    <w:rsid w:val="0025472F"/>
    <w:rsid w:val="00396E52"/>
    <w:rsid w:val="00A2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C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uxelles.blogs.liberation.fr/.a/6a00d83451b56c69e201bb07abeb72970d-pi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ec.europa.eu/taxation_customs/taxation/company_tax/harmful_tax_practices/index_fr.htm" TargetMode="External"/><Relationship Id="rId8" Type="http://schemas.openxmlformats.org/officeDocument/2006/relationships/hyperlink" Target="http://bruxelles.blogs.liberation.fr/.a/6a00d83451b56c69e201b7c70317e0970b-pi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1616</Words>
  <Characters>9217</Characters>
  <Application>Microsoft Macintosh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</cp:revision>
  <dcterms:created xsi:type="dcterms:W3CDTF">2014-11-18T17:02:00Z</dcterms:created>
  <dcterms:modified xsi:type="dcterms:W3CDTF">2014-11-18T17:31:00Z</dcterms:modified>
</cp:coreProperties>
</file>