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C8292" w14:textId="77777777" w:rsidR="00FC3A88" w:rsidRPr="00547D2C" w:rsidRDefault="00FC3A88" w:rsidP="00BC7720">
      <w:pPr>
        <w:widowControl w:val="0"/>
        <w:autoSpaceDE w:val="0"/>
        <w:autoSpaceDN w:val="0"/>
        <w:adjustRightInd w:val="0"/>
        <w:jc w:val="center"/>
        <w:rPr>
          <w:rFonts w:ascii="Times New Roman" w:hAnsi="Times New Roman" w:cs="Times New Roman"/>
          <w:b/>
        </w:rPr>
      </w:pPr>
      <w:hyperlink r:id="rId9" w:history="1">
        <w:r w:rsidRPr="00547D2C">
          <w:rPr>
            <w:rFonts w:ascii="Times New Roman" w:hAnsi="Times New Roman" w:cs="Times New Roman"/>
            <w:b/>
          </w:rPr>
          <w:t>Code de procédure civile</w:t>
        </w:r>
      </w:hyperlink>
    </w:p>
    <w:p w14:paraId="3149DDE0"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79D1B51C" w14:textId="77777777" w:rsidR="00FC3A88" w:rsidRPr="00547D2C" w:rsidRDefault="00FC3A88" w:rsidP="00BC7720">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7D1DF219" w14:textId="67DC9E25" w:rsidR="008F49FC" w:rsidRPr="00547D2C" w:rsidRDefault="00BC7720" w:rsidP="00BC7720">
      <w:pPr>
        <w:pStyle w:val="IntenseQuote"/>
        <w:tabs>
          <w:tab w:val="left" w:pos="9632"/>
        </w:tabs>
        <w:ind w:left="0" w:right="-7"/>
        <w:jc w:val="both"/>
      </w:pPr>
      <w:r>
        <w:t>Articles  C</w:t>
      </w:r>
      <w:r w:rsidR="008F49FC" w:rsidRPr="00547D2C">
        <w:t xml:space="preserve">ours 1 </w:t>
      </w:r>
      <w:r>
        <w:t>-2</w:t>
      </w:r>
      <w:bookmarkStart w:id="0" w:name="_GoBack"/>
      <w:bookmarkEnd w:id="0"/>
    </w:p>
    <w:p w14:paraId="00DD9DE6" w14:textId="77777777" w:rsidR="00FC3A88" w:rsidRPr="00547D2C" w:rsidRDefault="00FC3A88" w:rsidP="00BC7720">
      <w:pPr>
        <w:widowControl w:val="0"/>
        <w:tabs>
          <w:tab w:val="left" w:pos="220"/>
          <w:tab w:val="left" w:pos="720"/>
        </w:tabs>
        <w:autoSpaceDE w:val="0"/>
        <w:autoSpaceDN w:val="0"/>
        <w:adjustRightInd w:val="0"/>
        <w:ind w:left="-567"/>
        <w:jc w:val="both"/>
        <w:rPr>
          <w:rFonts w:ascii="Times New Roman" w:hAnsi="Times New Roman" w:cs="Times New Roman"/>
          <w:b/>
          <w:sz w:val="22"/>
          <w:szCs w:val="22"/>
        </w:rPr>
      </w:pPr>
      <w:hyperlink r:id="rId10" w:history="1">
        <w:r w:rsidRPr="00547D2C">
          <w:rPr>
            <w:rFonts w:ascii="Times New Roman" w:hAnsi="Times New Roman" w:cs="Times New Roman"/>
            <w:b/>
            <w:sz w:val="22"/>
            <w:szCs w:val="22"/>
            <w:u w:val="single"/>
          </w:rPr>
          <w:t>Livre Ier : Dispositions communes à toutes les juridictions</w:t>
        </w:r>
      </w:hyperlink>
    </w:p>
    <w:p w14:paraId="50FF3AEC"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6A845CAE" w14:textId="77777777" w:rsidR="00FC3A88" w:rsidRPr="00547D2C" w:rsidRDefault="00FC3A88" w:rsidP="00BC7720">
      <w:pPr>
        <w:widowControl w:val="0"/>
        <w:autoSpaceDE w:val="0"/>
        <w:autoSpaceDN w:val="0"/>
        <w:adjustRightInd w:val="0"/>
        <w:ind w:left="-426"/>
        <w:jc w:val="both"/>
        <w:rPr>
          <w:rFonts w:ascii="Times New Roman" w:hAnsi="Times New Roman" w:cs="Times New Roman"/>
          <w:b/>
          <w:sz w:val="20"/>
          <w:szCs w:val="20"/>
          <w:u w:val="single"/>
        </w:rPr>
      </w:pPr>
      <w:r w:rsidRPr="00547D2C">
        <w:rPr>
          <w:rFonts w:ascii="Times New Roman" w:hAnsi="Times New Roman" w:cs="Times New Roman"/>
          <w:b/>
          <w:sz w:val="20"/>
          <w:szCs w:val="20"/>
          <w:u w:val="single"/>
        </w:rPr>
        <w:t>Titre II : L'action.</w:t>
      </w:r>
    </w:p>
    <w:p w14:paraId="72E4688F"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3F8C1EA0"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30 </w:t>
      </w:r>
    </w:p>
    <w:p w14:paraId="7D7FB085"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L'action est le droit, pour l'auteur d'une prétention, d'être entendu sur le fond de celle-ci afin que le juge la dise bien ou mal fondée.</w:t>
      </w:r>
    </w:p>
    <w:p w14:paraId="26A3DAB3"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Pour l'adversaire, l'action est le droit de discuter le bien-fondé de cette prétention.</w:t>
      </w:r>
    </w:p>
    <w:p w14:paraId="7709CC95"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4DFA5BE0"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31 </w:t>
      </w:r>
    </w:p>
    <w:p w14:paraId="18A38202"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p>
    <w:p w14:paraId="53BF5434"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32 </w:t>
      </w:r>
    </w:p>
    <w:p w14:paraId="6E0E21AF"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Est irrecevable toute prétention émise par ou contre une personne dépourvue du droit d'agir.</w:t>
      </w:r>
    </w:p>
    <w:p w14:paraId="2F2F2BC3"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32-1 </w:t>
      </w:r>
    </w:p>
    <w:p w14:paraId="2C61AC32" w14:textId="17E4AA28"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Celui qui agit en justice de manière dilatoire ou abusive peut être condamné à une amen</w:t>
      </w:r>
      <w:r w:rsidR="00547D2C" w:rsidRPr="00547D2C">
        <w:rPr>
          <w:rFonts w:ascii="Times New Roman" w:hAnsi="Times New Roman" w:cs="Times New Roman"/>
          <w:sz w:val="20"/>
          <w:szCs w:val="20"/>
        </w:rPr>
        <w:t>de civile d'un maximum de 3 000 </w:t>
      </w:r>
      <w:r w:rsidRPr="00547D2C">
        <w:rPr>
          <w:rFonts w:ascii="Times New Roman" w:hAnsi="Times New Roman" w:cs="Times New Roman"/>
          <w:sz w:val="20"/>
          <w:szCs w:val="20"/>
        </w:rPr>
        <w:t>euros, sans préjudice des dommages-intérêts qui seraient réclamés.</w:t>
      </w:r>
    </w:p>
    <w:p w14:paraId="3A17B7AE"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p>
    <w:p w14:paraId="3AEE6CEC" w14:textId="77777777" w:rsidR="00FC3A88" w:rsidRPr="00547D2C" w:rsidRDefault="00FC3A88" w:rsidP="00BC7720">
      <w:pPr>
        <w:widowControl w:val="0"/>
        <w:tabs>
          <w:tab w:val="left" w:pos="940"/>
          <w:tab w:val="left" w:pos="1440"/>
        </w:tabs>
        <w:autoSpaceDE w:val="0"/>
        <w:autoSpaceDN w:val="0"/>
        <w:adjustRightInd w:val="0"/>
        <w:ind w:left="-426"/>
        <w:jc w:val="both"/>
        <w:rPr>
          <w:rFonts w:ascii="Times New Roman" w:hAnsi="Times New Roman" w:cs="Times New Roman"/>
          <w:b/>
          <w:sz w:val="20"/>
          <w:szCs w:val="20"/>
          <w:u w:val="single"/>
        </w:rPr>
      </w:pPr>
      <w:hyperlink r:id="rId11" w:history="1">
        <w:r w:rsidRPr="00547D2C">
          <w:rPr>
            <w:rFonts w:ascii="Times New Roman" w:hAnsi="Times New Roman" w:cs="Times New Roman"/>
            <w:b/>
            <w:sz w:val="20"/>
            <w:szCs w:val="20"/>
            <w:u w:val="single"/>
          </w:rPr>
          <w:t>Titre IV : La demande en justice.</w:t>
        </w:r>
      </w:hyperlink>
    </w:p>
    <w:p w14:paraId="67D563FC" w14:textId="77777777" w:rsidR="00FC3A88" w:rsidRPr="00547D2C" w:rsidRDefault="00FC3A88" w:rsidP="00BC7720">
      <w:pPr>
        <w:widowControl w:val="0"/>
        <w:tabs>
          <w:tab w:val="left" w:pos="940"/>
          <w:tab w:val="left" w:pos="1440"/>
        </w:tabs>
        <w:autoSpaceDE w:val="0"/>
        <w:autoSpaceDN w:val="0"/>
        <w:adjustRightInd w:val="0"/>
        <w:jc w:val="both"/>
        <w:rPr>
          <w:rFonts w:ascii="Times New Roman" w:hAnsi="Times New Roman" w:cs="Times New Roman"/>
          <w:sz w:val="20"/>
          <w:szCs w:val="20"/>
        </w:rPr>
      </w:pPr>
    </w:p>
    <w:p w14:paraId="0069BAFA" w14:textId="77777777" w:rsidR="00FC3A88" w:rsidRPr="00547D2C" w:rsidRDefault="00FC3A88" w:rsidP="00BC7720">
      <w:pPr>
        <w:widowControl w:val="0"/>
        <w:tabs>
          <w:tab w:val="left" w:pos="1660"/>
          <w:tab w:val="left" w:pos="2160"/>
        </w:tabs>
        <w:autoSpaceDE w:val="0"/>
        <w:autoSpaceDN w:val="0"/>
        <w:adjustRightInd w:val="0"/>
        <w:jc w:val="both"/>
        <w:rPr>
          <w:rFonts w:ascii="Times New Roman" w:hAnsi="Times New Roman" w:cs="Times New Roman"/>
          <w:b/>
          <w:sz w:val="20"/>
          <w:szCs w:val="20"/>
        </w:rPr>
      </w:pPr>
      <w:hyperlink r:id="rId12" w:history="1">
        <w:r w:rsidRPr="00547D2C">
          <w:rPr>
            <w:rFonts w:ascii="Times New Roman" w:hAnsi="Times New Roman" w:cs="Times New Roman"/>
            <w:b/>
            <w:sz w:val="20"/>
            <w:szCs w:val="20"/>
            <w:u w:val="single"/>
          </w:rPr>
          <w:t>Chapitre Ier : La demande initiale.</w:t>
        </w:r>
      </w:hyperlink>
    </w:p>
    <w:p w14:paraId="7336C908"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17CB2B4D" w14:textId="77777777" w:rsidR="00FC3A88" w:rsidRPr="00547D2C" w:rsidRDefault="00FC3A88" w:rsidP="00BC7720">
      <w:pPr>
        <w:widowControl w:val="0"/>
        <w:autoSpaceDE w:val="0"/>
        <w:autoSpaceDN w:val="0"/>
        <w:adjustRightInd w:val="0"/>
        <w:jc w:val="both"/>
        <w:rPr>
          <w:rFonts w:ascii="Times New Roman" w:hAnsi="Times New Roman" w:cs="Times New Roman"/>
          <w:b/>
          <w:i/>
          <w:sz w:val="20"/>
          <w:szCs w:val="20"/>
        </w:rPr>
      </w:pPr>
      <w:r w:rsidRPr="00547D2C">
        <w:rPr>
          <w:rFonts w:ascii="Times New Roman" w:hAnsi="Times New Roman" w:cs="Times New Roman"/>
          <w:b/>
          <w:i/>
          <w:sz w:val="20"/>
          <w:szCs w:val="20"/>
        </w:rPr>
        <w:t>Section I : La demande en matière contentieuse.</w:t>
      </w:r>
    </w:p>
    <w:p w14:paraId="6848E058"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4ED372B9"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53 </w:t>
      </w:r>
    </w:p>
    <w:p w14:paraId="20E50C7C"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La demande initiale est celle par laquelle un plaideur prend l'initiative d'un procès en soumettant au juge ses prétentions.</w:t>
      </w:r>
    </w:p>
    <w:p w14:paraId="0E1CAC65"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Elle introduit l'instance.</w:t>
      </w:r>
    </w:p>
    <w:p w14:paraId="7D0E4CC5" w14:textId="77777777" w:rsidR="00FC3A88" w:rsidRPr="00547D2C" w:rsidRDefault="00FC3A88" w:rsidP="00BC7720">
      <w:pPr>
        <w:widowControl w:val="0"/>
        <w:autoSpaceDE w:val="0"/>
        <w:autoSpaceDN w:val="0"/>
        <w:adjustRightInd w:val="0"/>
        <w:jc w:val="both"/>
        <w:rPr>
          <w:rFonts w:ascii="Times New Roman" w:hAnsi="Times New Roman" w:cs="Times New Roman"/>
          <w:sz w:val="20"/>
          <w:szCs w:val="20"/>
        </w:rPr>
      </w:pPr>
    </w:p>
    <w:p w14:paraId="3A0407A9" w14:textId="20A5AA08"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54 </w:t>
      </w:r>
    </w:p>
    <w:p w14:paraId="47A69F95"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Sous réserve des cas où l'instance est introduite par la présentation volontaire des parties devant le juge, la demande initiale est formée par assignation, par remise d'une requête conjointe au secrétariat de la juridiction ou par requête ou déclaration au secrétariat de la juridiction.</w:t>
      </w:r>
    </w:p>
    <w:p w14:paraId="5E44F204"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55 </w:t>
      </w:r>
    </w:p>
    <w:p w14:paraId="160569F5"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L'assignation est l'acte d'huissier de justice par lequel le demandeur cite son adversaire à comparaître devant le juge.</w:t>
      </w:r>
    </w:p>
    <w:p w14:paraId="68BEA20F"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56 </w:t>
      </w:r>
    </w:p>
    <w:p w14:paraId="0B5C9856"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L'assignation contient à peine de nullité, outre les mentions prescrites pour les actes d'huissier de justice :</w:t>
      </w:r>
    </w:p>
    <w:p w14:paraId="7A4CD35C"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1° L'indication de la juridiction devant laquelle la demande est portée ;</w:t>
      </w:r>
    </w:p>
    <w:p w14:paraId="7055727F"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2° L'objet de la demande avec un exposé des moyens en fait et en droit ;</w:t>
      </w:r>
    </w:p>
    <w:p w14:paraId="19165891" w14:textId="6E09751B"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 xml:space="preserve">3° L'indication des modalités de comparution devant la juridiction et la précision </w:t>
      </w:r>
      <w:r w:rsidR="00547D2C" w:rsidRPr="00547D2C">
        <w:rPr>
          <w:rFonts w:ascii="Times New Roman" w:hAnsi="Times New Roman" w:cs="Times New Roman"/>
          <w:sz w:val="20"/>
          <w:szCs w:val="20"/>
        </w:rPr>
        <w:t xml:space="preserve">que, faute pour le défendeur de </w:t>
      </w:r>
      <w:r w:rsidRPr="00547D2C">
        <w:rPr>
          <w:rFonts w:ascii="Times New Roman" w:hAnsi="Times New Roman" w:cs="Times New Roman"/>
          <w:sz w:val="20"/>
          <w:szCs w:val="20"/>
        </w:rPr>
        <w:t>comparaître, il s'expose à ce qu'un jugement soit rendu contre lui sur les seuls éléments fournis par son adversaire ;</w:t>
      </w:r>
    </w:p>
    <w:p w14:paraId="095071D8"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4° Le cas échéant, les mentions relatives à la désignation des immeubles exigées pour la publication au fichier immobilier.</w:t>
      </w:r>
    </w:p>
    <w:p w14:paraId="47C093AD" w14:textId="77777777" w:rsidR="00547D2C" w:rsidRPr="00547D2C" w:rsidRDefault="00547D2C" w:rsidP="00BC7720">
      <w:pPr>
        <w:pStyle w:val="NoSpacing"/>
        <w:jc w:val="both"/>
      </w:pPr>
    </w:p>
    <w:p w14:paraId="41EE2F8F" w14:textId="69A36760" w:rsidR="00547D2C"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Elle comprend en outre l'indication des pièces sur lesquelles la demande est fondée. Ces pièces sont énumérées sur un bordereau qui lui est annexé.</w:t>
      </w:r>
    </w:p>
    <w:p w14:paraId="2E611371"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Elle vaut conclusions.</w:t>
      </w:r>
    </w:p>
    <w:p w14:paraId="5D339211"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lastRenderedPageBreak/>
        <w:t xml:space="preserve">Article 57 </w:t>
      </w:r>
    </w:p>
    <w:p w14:paraId="1E7782F9"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La requête conjointe est l'acte commun par lequel les parties soumettent au juge leurs prétentions respectives, les points sur lesquels elles sont en désaccord ainsi que leurs moyens respectifs.</w:t>
      </w:r>
    </w:p>
    <w:p w14:paraId="69E85A67"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Elle contient, en outre, à peine d'irrecevabilité :</w:t>
      </w:r>
    </w:p>
    <w:p w14:paraId="11E11A5B" w14:textId="2006099B" w:rsidR="00FC3A88" w:rsidRPr="00547D2C" w:rsidRDefault="00FC3A88" w:rsidP="00BC7720">
      <w:pPr>
        <w:pStyle w:val="NoSpacing"/>
        <w:ind w:left="720" w:hanging="720"/>
        <w:jc w:val="both"/>
        <w:rPr>
          <w:rFonts w:ascii="Times New Roman" w:hAnsi="Times New Roman" w:cs="Times New Roman"/>
          <w:sz w:val="20"/>
          <w:szCs w:val="20"/>
        </w:rPr>
      </w:pPr>
      <w:r w:rsidRPr="00547D2C">
        <w:rPr>
          <w:rFonts w:ascii="Times New Roman" w:hAnsi="Times New Roman" w:cs="Times New Roman"/>
          <w:sz w:val="20"/>
          <w:szCs w:val="20"/>
        </w:rPr>
        <w:t xml:space="preserve">1° </w:t>
      </w:r>
      <w:r w:rsidR="00547D2C" w:rsidRPr="00547D2C">
        <w:rPr>
          <w:rFonts w:ascii="Times New Roman" w:hAnsi="Times New Roman" w:cs="Times New Roman"/>
          <w:sz w:val="20"/>
          <w:szCs w:val="20"/>
        </w:rPr>
        <w:tab/>
      </w:r>
      <w:r w:rsidRPr="00547D2C">
        <w:rPr>
          <w:rFonts w:ascii="Times New Roman" w:hAnsi="Times New Roman" w:cs="Times New Roman"/>
          <w:sz w:val="20"/>
          <w:szCs w:val="20"/>
        </w:rPr>
        <w:t>a) Pour les personnes physiques, les nom, prénoms, profession, domicile, nationalité, date et lieu de naissance de chacun des requérants ;</w:t>
      </w:r>
    </w:p>
    <w:p w14:paraId="03BCCEFB" w14:textId="77777777" w:rsidR="00FC3A88" w:rsidRPr="00547D2C" w:rsidRDefault="00FC3A88" w:rsidP="00BC7720">
      <w:pPr>
        <w:pStyle w:val="NoSpacing"/>
        <w:ind w:left="720"/>
        <w:jc w:val="both"/>
        <w:rPr>
          <w:rFonts w:ascii="Times New Roman" w:hAnsi="Times New Roman" w:cs="Times New Roman"/>
          <w:sz w:val="20"/>
          <w:szCs w:val="20"/>
        </w:rPr>
      </w:pPr>
      <w:r w:rsidRPr="00547D2C">
        <w:rPr>
          <w:rFonts w:ascii="Times New Roman" w:hAnsi="Times New Roman" w:cs="Times New Roman"/>
          <w:sz w:val="20"/>
          <w:szCs w:val="20"/>
        </w:rPr>
        <w:t>b) Pour les personnes morales, leur forme, leur dénomination, leur siège social et l'organe qui les représente légalement ;</w:t>
      </w:r>
    </w:p>
    <w:p w14:paraId="7D5D3651"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2° L'indication de la juridiction devant laquelle la demande est portée ;</w:t>
      </w:r>
    </w:p>
    <w:p w14:paraId="7BF9B809"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3° Le cas échéant, les mentions relatives à la désignation des immeubles exigées pour la publication au fichier immobilier.</w:t>
      </w:r>
    </w:p>
    <w:p w14:paraId="7BDE739B" w14:textId="77777777" w:rsidR="00547D2C" w:rsidRPr="00547D2C" w:rsidRDefault="00547D2C" w:rsidP="00BC7720">
      <w:pPr>
        <w:pStyle w:val="NoSpacing"/>
        <w:jc w:val="both"/>
        <w:rPr>
          <w:rFonts w:ascii="Times New Roman" w:hAnsi="Times New Roman" w:cs="Times New Roman"/>
          <w:sz w:val="20"/>
          <w:szCs w:val="20"/>
        </w:rPr>
      </w:pPr>
    </w:p>
    <w:p w14:paraId="36161FCA"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Elle comprend aussi l'indication des pièces sur lesquelles la demande est fondée.</w:t>
      </w:r>
    </w:p>
    <w:p w14:paraId="09CE5F3A"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Elle est datée et signée par les parties.</w:t>
      </w:r>
    </w:p>
    <w:p w14:paraId="4D27FB8D"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Elle vaut conclusions.</w:t>
      </w:r>
    </w:p>
    <w:p w14:paraId="6100269A" w14:textId="1F1DFFCB"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57-1 </w:t>
      </w:r>
      <w:r w:rsidRPr="00547D2C">
        <w:rPr>
          <w:rFonts w:ascii="Times New Roman" w:hAnsi="Times New Roman" w:cs="Times New Roman"/>
          <w:b/>
          <w:bCs/>
          <w:sz w:val="20"/>
          <w:szCs w:val="20"/>
          <w:u w:val="single" w:color="285287"/>
        </w:rPr>
        <w:t xml:space="preserve"> </w:t>
      </w:r>
    </w:p>
    <w:p w14:paraId="5DD5C779"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Lorsque cette faculté leur est ouverte par l'article 12, les parties peuvent, si elles ne l'ont déjà fait depuis la naissance du litige, conférer au juge dans la requête conjointe mission de statuer comme amiable compositeur ou le lier par les qualifications et points de droit auxquels elles entendent limiter le débat.</w:t>
      </w:r>
    </w:p>
    <w:p w14:paraId="44E17EE5" w14:textId="77777777" w:rsidR="00547D2C" w:rsidRPr="00547D2C" w:rsidRDefault="00547D2C" w:rsidP="00BC7720">
      <w:pPr>
        <w:pStyle w:val="NoSpacing"/>
        <w:ind w:left="993"/>
        <w:jc w:val="both"/>
        <w:rPr>
          <w:rFonts w:ascii="Times New Roman" w:hAnsi="Times New Roman" w:cs="Times New Roman"/>
          <w:b/>
          <w:sz w:val="20"/>
          <w:szCs w:val="20"/>
        </w:rPr>
      </w:pPr>
      <w:r w:rsidRPr="00547D2C">
        <w:rPr>
          <w:rFonts w:ascii="Times New Roman" w:hAnsi="Times New Roman" w:cs="Times New Roman"/>
          <w:b/>
          <w:sz w:val="20"/>
          <w:szCs w:val="20"/>
        </w:rPr>
        <w:t>Article 12</w:t>
      </w:r>
    </w:p>
    <w:p w14:paraId="4FCAAD2F" w14:textId="4F04CFC2" w:rsidR="00547D2C" w:rsidRPr="00547D2C" w:rsidRDefault="00547D2C" w:rsidP="00BC7720">
      <w:pPr>
        <w:pStyle w:val="NoSpacing"/>
        <w:ind w:left="993"/>
        <w:jc w:val="both"/>
        <w:rPr>
          <w:rFonts w:ascii="Times New Roman" w:hAnsi="Times New Roman" w:cs="Times New Roman"/>
          <w:sz w:val="20"/>
          <w:szCs w:val="20"/>
        </w:rPr>
      </w:pPr>
      <w:r w:rsidRPr="00547D2C">
        <w:rPr>
          <w:rFonts w:ascii="Times New Roman" w:hAnsi="Times New Roman" w:cs="Times New Roman"/>
          <w:sz w:val="20"/>
          <w:szCs w:val="20"/>
        </w:rPr>
        <w:t>Le juge tranche le litige conformément aux règles de droit qui lui sont applicables.</w:t>
      </w:r>
    </w:p>
    <w:p w14:paraId="41899B41" w14:textId="06A3161A" w:rsidR="00547D2C" w:rsidRPr="00547D2C" w:rsidRDefault="00547D2C" w:rsidP="00BC7720">
      <w:pPr>
        <w:pStyle w:val="NoSpacing"/>
        <w:ind w:left="993"/>
        <w:jc w:val="both"/>
        <w:rPr>
          <w:rFonts w:ascii="Times New Roman" w:hAnsi="Times New Roman" w:cs="Times New Roman"/>
          <w:sz w:val="20"/>
          <w:szCs w:val="20"/>
        </w:rPr>
      </w:pPr>
      <w:r w:rsidRPr="00547D2C">
        <w:rPr>
          <w:rFonts w:ascii="Times New Roman" w:hAnsi="Times New Roman" w:cs="Times New Roman"/>
          <w:sz w:val="20"/>
          <w:szCs w:val="20"/>
        </w:rPr>
        <w:t>Il doit donner ou restituer leur exacte qualification aux faits et actes litigieux sans s'arrêter à la dénomination que les parties en auraient proposée.</w:t>
      </w:r>
    </w:p>
    <w:p w14:paraId="00338AED" w14:textId="3993A801" w:rsidR="00547D2C" w:rsidRPr="00547D2C" w:rsidRDefault="00547D2C" w:rsidP="00BC7720">
      <w:pPr>
        <w:pStyle w:val="NoSpacing"/>
        <w:ind w:left="993"/>
        <w:jc w:val="both"/>
        <w:rPr>
          <w:rFonts w:ascii="Times New Roman" w:hAnsi="Times New Roman" w:cs="Times New Roman"/>
          <w:sz w:val="20"/>
          <w:szCs w:val="20"/>
          <w:u w:val="single"/>
        </w:rPr>
      </w:pPr>
      <w:r w:rsidRPr="00547D2C">
        <w:rPr>
          <w:rFonts w:ascii="Times New Roman" w:hAnsi="Times New Roman" w:cs="Times New Roman"/>
          <w:sz w:val="20"/>
          <w:szCs w:val="20"/>
          <w:u w:val="single"/>
        </w:rPr>
        <w:t>Toutefois, il ne peut changer la dénomination ou le fondement juridique lorsque les parties, en vertu d'un accord exprès et pour les droits dont elles ont la libre disposition, l'ont lié par les qualifications et points de droit auxquels elles entendent limiter le débat.</w:t>
      </w:r>
    </w:p>
    <w:p w14:paraId="5CEADAF2" w14:textId="54655899" w:rsidR="00547D2C" w:rsidRPr="00547D2C" w:rsidRDefault="00547D2C" w:rsidP="00BC7720">
      <w:pPr>
        <w:pStyle w:val="NoSpacing"/>
        <w:ind w:left="993"/>
        <w:jc w:val="both"/>
        <w:rPr>
          <w:rFonts w:ascii="Times New Roman" w:hAnsi="Times New Roman" w:cs="Times New Roman"/>
          <w:sz w:val="20"/>
          <w:szCs w:val="20"/>
        </w:rPr>
      </w:pPr>
      <w:r w:rsidRPr="00547D2C">
        <w:rPr>
          <w:rFonts w:ascii="Times New Roman" w:hAnsi="Times New Roman" w:cs="Times New Roman"/>
          <w:sz w:val="20"/>
          <w:szCs w:val="20"/>
        </w:rPr>
        <w:t>Le litige né, les parties peuvent aussi, dans les mêmes matières et sous la même condition, conférer au juge mission de statuer comme amiable compositeur, sous réserve d'appel si elles n'y ont pas spécialement renoncé.</w:t>
      </w:r>
    </w:p>
    <w:p w14:paraId="38DE6BB4" w14:textId="77777777" w:rsidR="00547D2C" w:rsidRPr="00547D2C" w:rsidRDefault="00547D2C" w:rsidP="00BC7720">
      <w:pPr>
        <w:widowControl w:val="0"/>
        <w:autoSpaceDE w:val="0"/>
        <w:autoSpaceDN w:val="0"/>
        <w:adjustRightInd w:val="0"/>
        <w:spacing w:after="192"/>
        <w:jc w:val="both"/>
        <w:rPr>
          <w:rFonts w:ascii="Times New Roman" w:hAnsi="Times New Roman" w:cs="Times New Roman"/>
          <w:sz w:val="20"/>
          <w:szCs w:val="20"/>
        </w:rPr>
      </w:pPr>
    </w:p>
    <w:p w14:paraId="6D524B84"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58 </w:t>
      </w:r>
    </w:p>
    <w:p w14:paraId="5B3ACE3B"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La requête ou la déclaration est l'acte par lequel le demandeur saisit la juridiction sans que son adversaire en ait été préalablement informé.</w:t>
      </w:r>
    </w:p>
    <w:p w14:paraId="7A069A3A"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Elle contient à peine de nullité :</w:t>
      </w:r>
    </w:p>
    <w:p w14:paraId="6A579961"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1° Pour les personnes physiques : l'indication des nom, prénoms, profession, domicile, nationalité, date et lieu de naissance du demandeur ;</w:t>
      </w:r>
    </w:p>
    <w:p w14:paraId="3DA4173F"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Pour les personnes morales : l'indication de leur forme, leur dénomination, leur siège social et de l'organe qui les représente légalement ;</w:t>
      </w:r>
    </w:p>
    <w:p w14:paraId="5B1CB323" w14:textId="36625F05"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2° L'indication des nom</w:t>
      </w:r>
      <w:r w:rsidR="00BC7720">
        <w:rPr>
          <w:rFonts w:ascii="Times New Roman" w:hAnsi="Times New Roman" w:cs="Times New Roman"/>
          <w:sz w:val="20"/>
          <w:szCs w:val="20"/>
        </w:rPr>
        <w:t>s</w:t>
      </w:r>
      <w:r w:rsidRPr="00547D2C">
        <w:rPr>
          <w:rFonts w:ascii="Times New Roman" w:hAnsi="Times New Roman" w:cs="Times New Roman"/>
          <w:sz w:val="20"/>
          <w:szCs w:val="20"/>
        </w:rPr>
        <w:t>, prénoms et domicile de la personne contre laquelle la demande est formée, ou, s'il s'agit d'une personne morale, de sa dénomination et de son siège social ;</w:t>
      </w:r>
    </w:p>
    <w:p w14:paraId="77112B17" w14:textId="77777777" w:rsidR="00FC3A88"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3° L'objet de la demande.</w:t>
      </w:r>
    </w:p>
    <w:p w14:paraId="70A10FEB" w14:textId="77777777" w:rsidR="00547D2C" w:rsidRPr="00547D2C" w:rsidRDefault="00547D2C" w:rsidP="00BC7720">
      <w:pPr>
        <w:pStyle w:val="NoSpacing"/>
        <w:jc w:val="both"/>
        <w:rPr>
          <w:rFonts w:ascii="Times New Roman" w:hAnsi="Times New Roman" w:cs="Times New Roman"/>
          <w:sz w:val="20"/>
          <w:szCs w:val="20"/>
        </w:rPr>
      </w:pPr>
    </w:p>
    <w:p w14:paraId="68AF0857"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Elle est datée et signée.</w:t>
      </w:r>
    </w:p>
    <w:p w14:paraId="1DDFDC88"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59 </w:t>
      </w:r>
    </w:p>
    <w:p w14:paraId="301C089A"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Le défendeur doit, à peine d'être déclaré, même d'office, irrecevable en sa défense, faire connaître :</w:t>
      </w:r>
    </w:p>
    <w:p w14:paraId="3E82C274"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a) S'il s'agit d'une personne physique, ses nom, prénoms, profession, domicile, nationalité, date et lieu de naissance ;</w:t>
      </w:r>
    </w:p>
    <w:p w14:paraId="396AB30F" w14:textId="77777777" w:rsidR="00FC3A88" w:rsidRPr="00547D2C" w:rsidRDefault="00FC3A88" w:rsidP="00BC7720">
      <w:pPr>
        <w:pStyle w:val="NoSpacing"/>
        <w:jc w:val="both"/>
        <w:rPr>
          <w:rFonts w:ascii="Times New Roman" w:hAnsi="Times New Roman" w:cs="Times New Roman"/>
          <w:sz w:val="20"/>
          <w:szCs w:val="20"/>
        </w:rPr>
      </w:pPr>
      <w:r w:rsidRPr="00547D2C">
        <w:rPr>
          <w:rFonts w:ascii="Times New Roman" w:hAnsi="Times New Roman" w:cs="Times New Roman"/>
          <w:sz w:val="20"/>
          <w:szCs w:val="20"/>
        </w:rPr>
        <w:t>b) S'il s'agit d'une personne morale, sa forme, sa dénomination, son siège social et l'organe qui le représente.</w:t>
      </w:r>
    </w:p>
    <w:p w14:paraId="4D6414E6"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p>
    <w:p w14:paraId="13829C37" w14:textId="77777777" w:rsidR="00FC3A88" w:rsidRPr="00547D2C" w:rsidRDefault="00FC3A88" w:rsidP="00BC7720">
      <w:pPr>
        <w:widowControl w:val="0"/>
        <w:autoSpaceDE w:val="0"/>
        <w:autoSpaceDN w:val="0"/>
        <w:adjustRightInd w:val="0"/>
        <w:jc w:val="both"/>
        <w:rPr>
          <w:rFonts w:ascii="Times New Roman" w:hAnsi="Times New Roman" w:cs="Times New Roman"/>
          <w:b/>
          <w:i/>
          <w:sz w:val="20"/>
          <w:szCs w:val="20"/>
        </w:rPr>
      </w:pPr>
      <w:r w:rsidRPr="00547D2C">
        <w:rPr>
          <w:rFonts w:ascii="Times New Roman" w:hAnsi="Times New Roman" w:cs="Times New Roman"/>
          <w:b/>
          <w:i/>
          <w:sz w:val="20"/>
          <w:szCs w:val="20"/>
        </w:rPr>
        <w:t>Section II : La demande en matière gracieuse.</w:t>
      </w:r>
    </w:p>
    <w:p w14:paraId="14AFA999"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p>
    <w:p w14:paraId="320A0E3A"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60 </w:t>
      </w:r>
    </w:p>
    <w:p w14:paraId="46D09106" w14:textId="77777777" w:rsidR="00FC3A88"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En matière gracieuse, la demande est formée par requête.</w:t>
      </w:r>
    </w:p>
    <w:p w14:paraId="4A5877BC" w14:textId="77777777" w:rsidR="00FC3A88" w:rsidRPr="00547D2C" w:rsidRDefault="00FC3A88" w:rsidP="00BC7720">
      <w:pPr>
        <w:widowControl w:val="0"/>
        <w:autoSpaceDE w:val="0"/>
        <w:autoSpaceDN w:val="0"/>
        <w:adjustRightInd w:val="0"/>
        <w:jc w:val="both"/>
        <w:rPr>
          <w:rFonts w:ascii="Times New Roman" w:hAnsi="Times New Roman" w:cs="Times New Roman"/>
          <w:b/>
          <w:bCs/>
          <w:sz w:val="20"/>
          <w:szCs w:val="20"/>
        </w:rPr>
      </w:pPr>
      <w:r w:rsidRPr="00547D2C">
        <w:rPr>
          <w:rFonts w:ascii="Times New Roman" w:hAnsi="Times New Roman" w:cs="Times New Roman"/>
          <w:b/>
          <w:bCs/>
          <w:sz w:val="20"/>
          <w:szCs w:val="20"/>
        </w:rPr>
        <w:t xml:space="preserve">Article 61 </w:t>
      </w:r>
    </w:p>
    <w:p w14:paraId="273A13D3" w14:textId="3E86629A" w:rsidR="00396E52" w:rsidRPr="00547D2C" w:rsidRDefault="00FC3A88" w:rsidP="00BC7720">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Le juge est saisi par la remise de la requête a</w:t>
      </w:r>
      <w:r w:rsidR="00547D2C">
        <w:rPr>
          <w:rFonts w:ascii="Times New Roman" w:hAnsi="Times New Roman" w:cs="Times New Roman"/>
          <w:sz w:val="20"/>
          <w:szCs w:val="20"/>
        </w:rPr>
        <w:t>u secrétariat de la juridiction.</w:t>
      </w:r>
    </w:p>
    <w:sectPr w:rsidR="00396E52" w:rsidRPr="00547D2C" w:rsidSect="00FC3A88">
      <w:footerReference w:type="even" r:id="rId13"/>
      <w:footerReference w:type="default" r:id="rId14"/>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263E4" w14:textId="77777777" w:rsidR="00BC7720" w:rsidRDefault="00BC7720" w:rsidP="00BC7720">
      <w:r>
        <w:separator/>
      </w:r>
    </w:p>
  </w:endnote>
  <w:endnote w:type="continuationSeparator" w:id="0">
    <w:p w14:paraId="026B7CAD" w14:textId="77777777" w:rsidR="00BC7720" w:rsidRDefault="00BC7720" w:rsidP="00BC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60BA" w14:textId="77777777" w:rsidR="00BC7720" w:rsidRDefault="00BC7720" w:rsidP="00BC77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20CF1" w14:textId="77777777" w:rsidR="00BC7720" w:rsidRDefault="00BC7720" w:rsidP="00BC77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3C0A5" w14:textId="77777777" w:rsidR="00BC7720" w:rsidRDefault="00BC7720" w:rsidP="00BC77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7FEE">
      <w:rPr>
        <w:rStyle w:val="PageNumber"/>
        <w:noProof/>
      </w:rPr>
      <w:t>1</w:t>
    </w:r>
    <w:r>
      <w:rPr>
        <w:rStyle w:val="PageNumber"/>
      </w:rPr>
      <w:fldChar w:fldCharType="end"/>
    </w:r>
  </w:p>
  <w:p w14:paraId="5E677AED" w14:textId="77777777" w:rsidR="00BC7720" w:rsidRDefault="00BC7720" w:rsidP="00BC77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BFFA8" w14:textId="77777777" w:rsidR="00BC7720" w:rsidRDefault="00BC7720" w:rsidP="00BC7720">
      <w:r>
        <w:separator/>
      </w:r>
    </w:p>
  </w:footnote>
  <w:footnote w:type="continuationSeparator" w:id="0">
    <w:p w14:paraId="0C90B200" w14:textId="77777777" w:rsidR="00BC7720" w:rsidRDefault="00BC7720" w:rsidP="00BC77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88"/>
    <w:rsid w:val="0025472F"/>
    <w:rsid w:val="00396E52"/>
    <w:rsid w:val="00547D2C"/>
    <w:rsid w:val="008F49FC"/>
    <w:rsid w:val="00AB7FEE"/>
    <w:rsid w:val="00BC7720"/>
    <w:rsid w:val="00FC3A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4E9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49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49FC"/>
    <w:rPr>
      <w:b/>
      <w:bCs/>
      <w:i/>
      <w:iCs/>
      <w:color w:val="4F81BD" w:themeColor="accent1"/>
    </w:rPr>
  </w:style>
  <w:style w:type="paragraph" w:styleId="NoSpacing">
    <w:name w:val="No Spacing"/>
    <w:uiPriority w:val="1"/>
    <w:qFormat/>
    <w:rsid w:val="00547D2C"/>
  </w:style>
  <w:style w:type="paragraph" w:styleId="Footer">
    <w:name w:val="footer"/>
    <w:basedOn w:val="Normal"/>
    <w:link w:val="FooterChar"/>
    <w:uiPriority w:val="99"/>
    <w:unhideWhenUsed/>
    <w:rsid w:val="00BC7720"/>
    <w:pPr>
      <w:tabs>
        <w:tab w:val="center" w:pos="4153"/>
        <w:tab w:val="right" w:pos="8306"/>
      </w:tabs>
    </w:pPr>
  </w:style>
  <w:style w:type="character" w:customStyle="1" w:styleId="FooterChar">
    <w:name w:val="Footer Char"/>
    <w:basedOn w:val="DefaultParagraphFont"/>
    <w:link w:val="Footer"/>
    <w:uiPriority w:val="99"/>
    <w:rsid w:val="00BC7720"/>
  </w:style>
  <w:style w:type="character" w:styleId="PageNumber">
    <w:name w:val="page number"/>
    <w:basedOn w:val="DefaultParagraphFont"/>
    <w:uiPriority w:val="99"/>
    <w:semiHidden/>
    <w:unhideWhenUsed/>
    <w:rsid w:val="00BC77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49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49FC"/>
    <w:rPr>
      <w:b/>
      <w:bCs/>
      <w:i/>
      <w:iCs/>
      <w:color w:val="4F81BD" w:themeColor="accent1"/>
    </w:rPr>
  </w:style>
  <w:style w:type="paragraph" w:styleId="NoSpacing">
    <w:name w:val="No Spacing"/>
    <w:uiPriority w:val="1"/>
    <w:qFormat/>
    <w:rsid w:val="00547D2C"/>
  </w:style>
  <w:style w:type="paragraph" w:styleId="Footer">
    <w:name w:val="footer"/>
    <w:basedOn w:val="Normal"/>
    <w:link w:val="FooterChar"/>
    <w:uiPriority w:val="99"/>
    <w:unhideWhenUsed/>
    <w:rsid w:val="00BC7720"/>
    <w:pPr>
      <w:tabs>
        <w:tab w:val="center" w:pos="4153"/>
        <w:tab w:val="right" w:pos="8306"/>
      </w:tabs>
    </w:pPr>
  </w:style>
  <w:style w:type="character" w:customStyle="1" w:styleId="FooterChar">
    <w:name w:val="Footer Char"/>
    <w:basedOn w:val="DefaultParagraphFont"/>
    <w:link w:val="Footer"/>
    <w:uiPriority w:val="99"/>
    <w:rsid w:val="00BC7720"/>
  </w:style>
  <w:style w:type="character" w:styleId="PageNumber">
    <w:name w:val="page number"/>
    <w:basedOn w:val="DefaultParagraphFont"/>
    <w:uiPriority w:val="99"/>
    <w:semiHidden/>
    <w:unhideWhenUsed/>
    <w:rsid w:val="00BC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gifrance.gouv.fr/affichCode.do;jsessionid=DC00324CC29CF2186353645E495A8D8F.tpdjo03v_3?idSectionTA=LEGISCTA000006117224&amp;cidTexte=LEGITEXT000006070716&amp;dateTexte=20140918" TargetMode="External"/><Relationship Id="rId12" Type="http://schemas.openxmlformats.org/officeDocument/2006/relationships/hyperlink" Target="http://www.legifrance.gouv.fr/affichCode.do;jsessionid=DC00324CC29CF2186353645E495A8D8F.tpdjo03v_3?idSectionTA=LEGISCTA000006135864&amp;cidTexte=LEGITEXT000006070716&amp;dateTexte=20140918"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gifrance.gouv.fr/affichCode.do;jsessionid=DC00324CC29CF2186353645E495A8D8F.tpdjo03v_3?cidTexte=LEGITEXT000006070716&amp;dateTexte=20140918" TargetMode="External"/><Relationship Id="rId10" Type="http://schemas.openxmlformats.org/officeDocument/2006/relationships/hyperlink" Target="http://www.legifrance.gouv.fr/affichCode.do;jsessionid=DC00324CC29CF2186353645E495A8D8F.tpdjo03v_3?idSectionTA=LEGISCTA000006089127&amp;cidTexte=LEGITEXT000006070716&amp;dateTexte=2014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360AE-8DA5-B442-9F07-54E96986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964</Words>
  <Characters>5500</Characters>
  <Application>Microsoft Macintosh Word</Application>
  <DocSecurity>0</DocSecurity>
  <Lines>45</Lines>
  <Paragraphs>12</Paragraphs>
  <ScaleCrop>false</ScaleCrop>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2014-09-18T14:20:00Z</dcterms:created>
  <dcterms:modified xsi:type="dcterms:W3CDTF">2014-09-18T14:41:00Z</dcterms:modified>
</cp:coreProperties>
</file>