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6351A" w14:textId="77777777" w:rsidR="00FA4932" w:rsidRDefault="00FA4932">
      <w:pPr>
        <w:rPr>
          <w:rFonts w:ascii="Times New Roman" w:hAnsi="Times New Roman" w:cs="Times New Roman"/>
          <w:lang w:val="en-GB"/>
        </w:rPr>
      </w:pPr>
    </w:p>
    <w:p w14:paraId="15C8E507" w14:textId="0AFABF82" w:rsidR="005C05D5" w:rsidRDefault="00AC2BE0" w:rsidP="00FA4932">
      <w:pPr>
        <w:jc w:val="both"/>
        <w:rPr>
          <w:rFonts w:ascii="Times New Roman" w:hAnsi="Times New Roman" w:cs="Times New Roman"/>
          <w:lang w:val="en-GB"/>
        </w:rPr>
      </w:pPr>
      <w:r>
        <w:rPr>
          <w:rFonts w:ascii="Times New Roman" w:hAnsi="Times New Roman" w:cs="Times New Roman"/>
          <w:lang w:val="en-GB"/>
        </w:rPr>
        <w:t>The International Court of Arbitration of the ICC (“</w:t>
      </w:r>
      <w:r w:rsidRPr="005C05D5">
        <w:rPr>
          <w:rFonts w:ascii="Times New Roman" w:hAnsi="Times New Roman" w:cs="Times New Roman"/>
          <w:b/>
          <w:lang w:val="en-GB"/>
        </w:rPr>
        <w:t>the Court</w:t>
      </w:r>
      <w:r w:rsidR="00745CCC">
        <w:rPr>
          <w:rFonts w:ascii="Times New Roman" w:hAnsi="Times New Roman" w:cs="Times New Roman"/>
          <w:lang w:val="en-GB"/>
        </w:rPr>
        <w:t xml:space="preserve">”) acknowledges receipt of Justice </w:t>
      </w:r>
      <w:proofErr w:type="spellStart"/>
      <w:r w:rsidR="00745CCC">
        <w:rPr>
          <w:rFonts w:ascii="Times New Roman" w:hAnsi="Times New Roman" w:cs="Times New Roman"/>
          <w:lang w:val="en-GB"/>
        </w:rPr>
        <w:t>Armawi’s</w:t>
      </w:r>
      <w:proofErr w:type="spellEnd"/>
      <w:r w:rsidR="00745CCC">
        <w:rPr>
          <w:rFonts w:ascii="Times New Roman" w:hAnsi="Times New Roman" w:cs="Times New Roman"/>
          <w:lang w:val="en-GB"/>
        </w:rPr>
        <w:t xml:space="preserve"> Statement of Acceptance, Availability, Impartiality and Independence (“</w:t>
      </w:r>
      <w:r w:rsidR="00745CCC" w:rsidRPr="00745CCC">
        <w:rPr>
          <w:rFonts w:ascii="Times New Roman" w:hAnsi="Times New Roman" w:cs="Times New Roman"/>
          <w:b/>
          <w:lang w:val="en-GB"/>
        </w:rPr>
        <w:t>the Statement</w:t>
      </w:r>
      <w:r w:rsidR="00745CCC">
        <w:rPr>
          <w:rFonts w:ascii="Times New Roman" w:hAnsi="Times New Roman" w:cs="Times New Roman"/>
          <w:lang w:val="en-GB"/>
        </w:rPr>
        <w:t>”), dated 24 September, and, Respondent’s letter dated 26 September</w:t>
      </w:r>
      <w:r w:rsidR="000249D7">
        <w:rPr>
          <w:rFonts w:ascii="Times New Roman" w:hAnsi="Times New Roman" w:cs="Times New Roman"/>
          <w:lang w:val="en-GB"/>
        </w:rPr>
        <w:t xml:space="preserve"> 2014</w:t>
      </w:r>
      <w:r w:rsidR="00745CCC">
        <w:rPr>
          <w:rFonts w:ascii="Times New Roman" w:hAnsi="Times New Roman" w:cs="Times New Roman"/>
          <w:lang w:val="en-GB"/>
        </w:rPr>
        <w:t>.</w:t>
      </w:r>
    </w:p>
    <w:p w14:paraId="5706FD4E" w14:textId="77777777" w:rsidR="00745CCC" w:rsidRDefault="00745CCC" w:rsidP="00FA4932">
      <w:pPr>
        <w:jc w:val="both"/>
        <w:rPr>
          <w:rFonts w:ascii="Times New Roman" w:hAnsi="Times New Roman" w:cs="Times New Roman"/>
          <w:lang w:val="en-GB"/>
        </w:rPr>
      </w:pPr>
    </w:p>
    <w:p w14:paraId="7734773E" w14:textId="77777777" w:rsidR="00917E2F" w:rsidRPr="004D5915" w:rsidRDefault="00917E2F" w:rsidP="00FA4932">
      <w:pPr>
        <w:jc w:val="both"/>
        <w:rPr>
          <w:rFonts w:ascii="Times New Roman" w:hAnsi="Times New Roman" w:cs="Times New Roman"/>
          <w:i/>
          <w:lang w:val="en-GB"/>
        </w:rPr>
      </w:pPr>
      <w:r>
        <w:rPr>
          <w:rFonts w:ascii="Times New Roman" w:hAnsi="Times New Roman" w:cs="Times New Roman"/>
          <w:lang w:val="en-GB"/>
        </w:rPr>
        <w:t>J</w:t>
      </w:r>
      <w:r w:rsidRPr="009B0883">
        <w:rPr>
          <w:rFonts w:ascii="Times New Roman" w:hAnsi="Times New Roman" w:cs="Times New Roman"/>
          <w:lang w:val="en-GB"/>
        </w:rPr>
        <w:t xml:space="preserve">ustice </w:t>
      </w:r>
      <w:proofErr w:type="spellStart"/>
      <w:r w:rsidRPr="009B0883">
        <w:rPr>
          <w:rFonts w:ascii="Times New Roman" w:hAnsi="Times New Roman" w:cs="Times New Roman"/>
          <w:lang w:val="en-GB"/>
        </w:rPr>
        <w:t>Armawi</w:t>
      </w:r>
      <w:proofErr w:type="spellEnd"/>
      <w:r w:rsidRPr="009B0883">
        <w:rPr>
          <w:rFonts w:ascii="Times New Roman" w:hAnsi="Times New Roman" w:cs="Times New Roman"/>
          <w:lang w:val="en-GB"/>
        </w:rPr>
        <w:t xml:space="preserve"> declared in his </w:t>
      </w:r>
      <w:proofErr w:type="gramStart"/>
      <w:r w:rsidRPr="009B0883">
        <w:rPr>
          <w:rFonts w:ascii="Times New Roman" w:hAnsi="Times New Roman" w:cs="Times New Roman"/>
          <w:lang w:val="en-GB"/>
        </w:rPr>
        <w:t>Statement</w:t>
      </w:r>
      <w:r>
        <w:rPr>
          <w:rFonts w:ascii="Times New Roman" w:hAnsi="Times New Roman" w:cs="Times New Roman"/>
          <w:lang w:val="en-GB"/>
        </w:rPr>
        <w:t xml:space="preserve"> that</w:t>
      </w:r>
      <w:proofErr w:type="gramEnd"/>
      <w:r>
        <w:rPr>
          <w:rFonts w:ascii="Times New Roman" w:hAnsi="Times New Roman" w:cs="Times New Roman"/>
          <w:lang w:val="en-GB"/>
        </w:rPr>
        <w:t xml:space="preserve"> “</w:t>
      </w:r>
      <w:r w:rsidRPr="004D5915">
        <w:rPr>
          <w:rFonts w:ascii="Times New Roman" w:hAnsi="Times New Roman" w:cs="Times New Roman"/>
          <w:i/>
          <w:lang w:val="en-GB"/>
        </w:rPr>
        <w:t>while he has the requisite experience, knowledge and understanding of real estate laws and regulations, conventions and practices in his country, he does not have five years experience with construction and/or management of projects similar to the Project in question</w:t>
      </w:r>
      <w:r>
        <w:rPr>
          <w:rFonts w:ascii="Times New Roman" w:hAnsi="Times New Roman" w:cs="Times New Roman"/>
          <w:lang w:val="en-GB"/>
        </w:rPr>
        <w:t>”</w:t>
      </w:r>
      <w:r w:rsidRPr="004D5915">
        <w:rPr>
          <w:rFonts w:ascii="Times New Roman" w:hAnsi="Times New Roman" w:cs="Times New Roman"/>
          <w:i/>
          <w:lang w:val="en-GB"/>
        </w:rPr>
        <w:t>.</w:t>
      </w:r>
    </w:p>
    <w:p w14:paraId="42308947" w14:textId="24AA19BA" w:rsidR="004D5915" w:rsidRDefault="00917E2F" w:rsidP="00FA4932">
      <w:pPr>
        <w:jc w:val="both"/>
        <w:rPr>
          <w:rFonts w:ascii="Times New Roman" w:hAnsi="Times New Roman" w:cs="Times New Roman"/>
          <w:lang w:val="en-GB"/>
        </w:rPr>
      </w:pPr>
      <w:r>
        <w:rPr>
          <w:rFonts w:ascii="Times New Roman" w:hAnsi="Times New Roman" w:cs="Times New Roman"/>
          <w:lang w:val="en-GB"/>
        </w:rPr>
        <w:t>In its</w:t>
      </w:r>
      <w:r w:rsidR="000249D7">
        <w:rPr>
          <w:rFonts w:ascii="Times New Roman" w:hAnsi="Times New Roman" w:cs="Times New Roman"/>
          <w:lang w:val="en-GB"/>
        </w:rPr>
        <w:t xml:space="preserve"> correspondence</w:t>
      </w:r>
      <w:r>
        <w:rPr>
          <w:rFonts w:ascii="Times New Roman" w:hAnsi="Times New Roman" w:cs="Times New Roman"/>
          <w:lang w:val="en-GB"/>
        </w:rPr>
        <w:t xml:space="preserve">, Respondent objects to the nomination of the prospective arbitrator claiming that </w:t>
      </w:r>
      <w:r w:rsidR="004D5915">
        <w:rPr>
          <w:rFonts w:ascii="Times New Roman" w:hAnsi="Times New Roman" w:cs="Times New Roman"/>
          <w:lang w:val="en-GB"/>
        </w:rPr>
        <w:t xml:space="preserve">although it holds Justice </w:t>
      </w:r>
      <w:proofErr w:type="spellStart"/>
      <w:r w:rsidR="004D5915">
        <w:rPr>
          <w:rFonts w:ascii="Times New Roman" w:hAnsi="Times New Roman" w:cs="Times New Roman"/>
          <w:lang w:val="en-GB"/>
        </w:rPr>
        <w:t>Armawi</w:t>
      </w:r>
      <w:proofErr w:type="spellEnd"/>
      <w:r w:rsidR="004D5915">
        <w:rPr>
          <w:rFonts w:ascii="Times New Roman" w:hAnsi="Times New Roman" w:cs="Times New Roman"/>
          <w:lang w:val="en-GB"/>
        </w:rPr>
        <w:t xml:space="preserve"> in “</w:t>
      </w:r>
      <w:r w:rsidR="004D5915" w:rsidRPr="004D5915">
        <w:rPr>
          <w:rFonts w:ascii="Times New Roman" w:hAnsi="Times New Roman" w:cs="Times New Roman"/>
          <w:i/>
          <w:lang w:val="en-GB"/>
        </w:rPr>
        <w:t>very high regard</w:t>
      </w:r>
      <w:r w:rsidR="004D5915">
        <w:rPr>
          <w:rFonts w:ascii="Times New Roman" w:hAnsi="Times New Roman" w:cs="Times New Roman"/>
          <w:lang w:val="en-GB"/>
        </w:rPr>
        <w:t>”, and does not doubt “</w:t>
      </w:r>
      <w:r w:rsidR="004D5915" w:rsidRPr="004D5915">
        <w:rPr>
          <w:rFonts w:ascii="Times New Roman" w:hAnsi="Times New Roman" w:cs="Times New Roman"/>
          <w:i/>
          <w:lang w:val="en-GB"/>
        </w:rPr>
        <w:t>his credentials and achievements in the field of law</w:t>
      </w:r>
      <w:r w:rsidR="004D5915">
        <w:rPr>
          <w:rFonts w:ascii="Times New Roman" w:hAnsi="Times New Roman" w:cs="Times New Roman"/>
          <w:lang w:val="en-GB"/>
        </w:rPr>
        <w:t>”, “</w:t>
      </w:r>
      <w:r w:rsidR="004D5915" w:rsidRPr="004D5915">
        <w:rPr>
          <w:rFonts w:ascii="Times New Roman" w:hAnsi="Times New Roman" w:cs="Times New Roman"/>
          <w:i/>
          <w:lang w:val="en-GB"/>
        </w:rPr>
        <w:t xml:space="preserve">the lack of at least five years experience with construction and/or management of projects similar to the Project makes it impossible for Justice </w:t>
      </w:r>
      <w:proofErr w:type="spellStart"/>
      <w:r w:rsidR="004D5915" w:rsidRPr="004D5915">
        <w:rPr>
          <w:rFonts w:ascii="Times New Roman" w:hAnsi="Times New Roman" w:cs="Times New Roman"/>
          <w:i/>
          <w:lang w:val="en-GB"/>
        </w:rPr>
        <w:t>Armawi</w:t>
      </w:r>
      <w:proofErr w:type="spellEnd"/>
      <w:r w:rsidR="004D5915" w:rsidRPr="004D5915">
        <w:rPr>
          <w:rFonts w:ascii="Times New Roman" w:hAnsi="Times New Roman" w:cs="Times New Roman"/>
          <w:i/>
          <w:lang w:val="en-GB"/>
        </w:rPr>
        <w:t xml:space="preserve"> to act as an arbitrator in this case and asked the ICC Court not to confirm him as an arbitrator</w:t>
      </w:r>
      <w:r w:rsidR="004D5915">
        <w:rPr>
          <w:rFonts w:ascii="Times New Roman" w:hAnsi="Times New Roman" w:cs="Times New Roman"/>
          <w:lang w:val="en-GB"/>
        </w:rPr>
        <w:t>”.</w:t>
      </w:r>
    </w:p>
    <w:p w14:paraId="5B0F50DE" w14:textId="77777777" w:rsidR="004D5915" w:rsidRDefault="004D5915" w:rsidP="00FA4932">
      <w:pPr>
        <w:jc w:val="both"/>
        <w:rPr>
          <w:rFonts w:ascii="Times New Roman" w:hAnsi="Times New Roman" w:cs="Times New Roman"/>
          <w:lang w:val="en-GB"/>
        </w:rPr>
      </w:pPr>
    </w:p>
    <w:p w14:paraId="39742569" w14:textId="77777777" w:rsidR="00E9160E" w:rsidRDefault="00213DFA" w:rsidP="00FA4932">
      <w:pPr>
        <w:jc w:val="both"/>
        <w:rPr>
          <w:rFonts w:ascii="Times New Roman" w:hAnsi="Times New Roman" w:cs="Times New Roman"/>
          <w:lang w:val="en-GB"/>
        </w:rPr>
      </w:pPr>
      <w:r>
        <w:rPr>
          <w:rFonts w:ascii="Times New Roman" w:hAnsi="Times New Roman" w:cs="Times New Roman"/>
          <w:lang w:val="en-GB"/>
        </w:rPr>
        <w:t>With regards to Article 13(1)</w:t>
      </w:r>
      <w:r w:rsidR="004D5915">
        <w:rPr>
          <w:rFonts w:ascii="Times New Roman" w:hAnsi="Times New Roman" w:cs="Times New Roman"/>
          <w:lang w:val="en-GB"/>
        </w:rPr>
        <w:t xml:space="preserve"> of the ICC Rules of Arbitration (“</w:t>
      </w:r>
      <w:r w:rsidR="004D5915" w:rsidRPr="004D5915">
        <w:rPr>
          <w:rFonts w:ascii="Times New Roman" w:hAnsi="Times New Roman" w:cs="Times New Roman"/>
          <w:b/>
          <w:lang w:val="en-GB"/>
        </w:rPr>
        <w:t>the Rules</w:t>
      </w:r>
      <w:r w:rsidR="004D5915">
        <w:rPr>
          <w:rFonts w:ascii="Times New Roman" w:hAnsi="Times New Roman" w:cs="Times New Roman"/>
          <w:lang w:val="en-GB"/>
        </w:rPr>
        <w:t xml:space="preserve">”), the Court </w:t>
      </w:r>
      <w:r w:rsidR="009B0883">
        <w:rPr>
          <w:rFonts w:ascii="Times New Roman" w:hAnsi="Times New Roman" w:cs="Times New Roman"/>
          <w:lang w:val="en-GB"/>
        </w:rPr>
        <w:t>may</w:t>
      </w:r>
      <w:r w:rsidR="004D5915">
        <w:rPr>
          <w:rFonts w:ascii="Times New Roman" w:hAnsi="Times New Roman" w:cs="Times New Roman"/>
          <w:lang w:val="en-GB"/>
        </w:rPr>
        <w:t xml:space="preserve"> confirm the no</w:t>
      </w:r>
      <w:r w:rsidR="009B0883">
        <w:rPr>
          <w:rFonts w:ascii="Times New Roman" w:hAnsi="Times New Roman" w:cs="Times New Roman"/>
          <w:lang w:val="en-GB"/>
        </w:rPr>
        <w:t>mination of the each arbitrator,</w:t>
      </w:r>
      <w:r w:rsidR="004D5915">
        <w:rPr>
          <w:rFonts w:ascii="Times New Roman" w:hAnsi="Times New Roman" w:cs="Times New Roman"/>
          <w:lang w:val="en-GB"/>
        </w:rPr>
        <w:t xml:space="preserve"> as it deems appropriate. </w:t>
      </w:r>
    </w:p>
    <w:p w14:paraId="261B66EA" w14:textId="77777777" w:rsidR="00E9160E" w:rsidRDefault="00E9160E" w:rsidP="00FA4932">
      <w:pPr>
        <w:jc w:val="both"/>
        <w:rPr>
          <w:rFonts w:ascii="Times New Roman" w:hAnsi="Times New Roman" w:cs="Times New Roman"/>
          <w:lang w:val="en-GB"/>
        </w:rPr>
      </w:pPr>
    </w:p>
    <w:p w14:paraId="0A1F217F" w14:textId="77777777" w:rsidR="00E779B1" w:rsidRDefault="00E779B1" w:rsidP="00FA4932">
      <w:pPr>
        <w:jc w:val="both"/>
        <w:rPr>
          <w:rFonts w:ascii="Times New Roman" w:hAnsi="Times New Roman" w:cs="Times New Roman"/>
          <w:lang w:val="en-GB"/>
        </w:rPr>
      </w:pPr>
      <w:r>
        <w:rPr>
          <w:rFonts w:ascii="Times New Roman" w:hAnsi="Times New Roman" w:cs="Times New Roman"/>
          <w:lang w:val="en-GB"/>
        </w:rPr>
        <w:t>The Arbitration Clause (“</w:t>
      </w:r>
      <w:r w:rsidRPr="009B0883">
        <w:rPr>
          <w:rFonts w:ascii="Times New Roman" w:hAnsi="Times New Roman" w:cs="Times New Roman"/>
          <w:b/>
          <w:lang w:val="en-GB"/>
        </w:rPr>
        <w:t>the Clause</w:t>
      </w:r>
      <w:r>
        <w:rPr>
          <w:rFonts w:ascii="Times New Roman" w:hAnsi="Times New Roman" w:cs="Times New Roman"/>
          <w:lang w:val="en-GB"/>
        </w:rPr>
        <w:t>”) contained in the construction contract (“</w:t>
      </w:r>
      <w:r w:rsidRPr="004D5915">
        <w:rPr>
          <w:rFonts w:ascii="Times New Roman" w:hAnsi="Times New Roman" w:cs="Times New Roman"/>
          <w:b/>
          <w:lang w:val="en-GB"/>
        </w:rPr>
        <w:t>the Contract</w:t>
      </w:r>
      <w:r>
        <w:rPr>
          <w:rFonts w:ascii="Times New Roman" w:hAnsi="Times New Roman" w:cs="Times New Roman"/>
          <w:lang w:val="en-GB"/>
        </w:rPr>
        <w:t>”) provides that “</w:t>
      </w:r>
      <w:r>
        <w:rPr>
          <w:rFonts w:ascii="Times New Roman" w:hAnsi="Times New Roman" w:cs="Times New Roman"/>
          <w:i/>
          <w:lang w:val="en-GB"/>
        </w:rPr>
        <w:t>e</w:t>
      </w:r>
      <w:r w:rsidRPr="004D5915">
        <w:rPr>
          <w:rFonts w:ascii="Times New Roman" w:hAnsi="Times New Roman" w:cs="Times New Roman"/>
          <w:i/>
          <w:lang w:val="en-GB"/>
        </w:rPr>
        <w:t xml:space="preserve">ach arbitrator so appointed shall have the requisite experience, knowledge and understanding of real estate laws and regulations, and conventions and practices of </w:t>
      </w:r>
      <w:r>
        <w:rPr>
          <w:rFonts w:ascii="Times New Roman" w:hAnsi="Times New Roman" w:cs="Times New Roman"/>
          <w:i/>
          <w:lang w:val="en-GB"/>
        </w:rPr>
        <w:t>the</w:t>
      </w:r>
      <w:r w:rsidRPr="004D5915">
        <w:rPr>
          <w:rFonts w:ascii="Times New Roman" w:hAnsi="Times New Roman" w:cs="Times New Roman"/>
          <w:i/>
          <w:lang w:val="en-GB"/>
        </w:rPr>
        <w:t xml:space="preserve"> Country</w:t>
      </w:r>
      <w:r>
        <w:rPr>
          <w:rFonts w:ascii="Times New Roman" w:hAnsi="Times New Roman" w:cs="Times New Roman"/>
          <w:i/>
          <w:lang w:val="en-GB"/>
        </w:rPr>
        <w:t xml:space="preserve"> X</w:t>
      </w:r>
      <w:r w:rsidRPr="004D5915">
        <w:rPr>
          <w:rFonts w:ascii="Times New Roman" w:hAnsi="Times New Roman" w:cs="Times New Roman"/>
          <w:i/>
          <w:lang w:val="en-GB"/>
        </w:rPr>
        <w:t>. In addition, none of such arbitrators shall be a Person who has any pecuniary interest in or relationship with any of the Parties and shall have at least 5 (five) years experience with construction and/or management of projects similar to the Project</w:t>
      </w:r>
      <w:r w:rsidRPr="004D5915">
        <w:rPr>
          <w:rFonts w:ascii="Times New Roman" w:hAnsi="Times New Roman" w:cs="Times New Roman"/>
          <w:lang w:val="en-GB"/>
        </w:rPr>
        <w:t>”.</w:t>
      </w:r>
    </w:p>
    <w:p w14:paraId="6754ADBF" w14:textId="77777777" w:rsidR="00E779B1" w:rsidRPr="004D5915" w:rsidRDefault="00E779B1" w:rsidP="00FA4932">
      <w:pPr>
        <w:jc w:val="both"/>
        <w:rPr>
          <w:rFonts w:ascii="Times New Roman" w:hAnsi="Times New Roman" w:cs="Times New Roman"/>
          <w:i/>
          <w:lang w:val="en-GB"/>
        </w:rPr>
      </w:pPr>
    </w:p>
    <w:p w14:paraId="3459D780" w14:textId="6DDBE812" w:rsidR="00E779B1" w:rsidRPr="00CB1428" w:rsidRDefault="00CB1428" w:rsidP="00FA4932">
      <w:pPr>
        <w:jc w:val="both"/>
        <w:rPr>
          <w:rFonts w:ascii="Times New Roman" w:hAnsi="Times New Roman" w:cs="Times New Roman"/>
          <w:lang w:val="en-GB"/>
        </w:rPr>
      </w:pPr>
      <w:r>
        <w:rPr>
          <w:rFonts w:ascii="Times New Roman" w:hAnsi="Times New Roman" w:cs="Times New Roman"/>
          <w:lang w:val="en-GB"/>
        </w:rPr>
        <w:t>Firstly, i</w:t>
      </w:r>
      <w:r w:rsidR="00E779B1">
        <w:rPr>
          <w:rFonts w:ascii="Times New Roman" w:hAnsi="Times New Roman" w:cs="Times New Roman"/>
          <w:lang w:val="en-GB"/>
        </w:rPr>
        <w:t>t results from the</w:t>
      </w:r>
      <w:r>
        <w:rPr>
          <w:rFonts w:ascii="Times New Roman" w:hAnsi="Times New Roman" w:cs="Times New Roman"/>
          <w:lang w:val="en-GB"/>
        </w:rPr>
        <w:t xml:space="preserve"> Clause that the Parties agreed onto the nomination of arbitrators with strong links to the Country X. Given </w:t>
      </w:r>
      <w:r w:rsidR="00E779B1">
        <w:rPr>
          <w:rFonts w:ascii="Times New Roman" w:hAnsi="Times New Roman" w:cs="Times New Roman"/>
          <w:lang w:val="en-GB"/>
        </w:rPr>
        <w:t xml:space="preserve">that </w:t>
      </w:r>
      <w:r w:rsidR="00E9160E">
        <w:rPr>
          <w:rFonts w:ascii="Times New Roman" w:hAnsi="Times New Roman" w:cs="Times New Roman"/>
          <w:lang w:val="en-GB"/>
        </w:rPr>
        <w:t xml:space="preserve">Justice </w:t>
      </w:r>
      <w:proofErr w:type="spellStart"/>
      <w:r w:rsidR="00E779B1">
        <w:rPr>
          <w:rFonts w:ascii="Times New Roman" w:hAnsi="Times New Roman" w:cs="Times New Roman"/>
          <w:lang w:val="en-GB"/>
        </w:rPr>
        <w:t>Armawi</w:t>
      </w:r>
      <w:proofErr w:type="spellEnd"/>
      <w:r w:rsidR="00E779B1">
        <w:rPr>
          <w:rFonts w:ascii="Times New Roman" w:hAnsi="Times New Roman" w:cs="Times New Roman"/>
          <w:lang w:val="en-GB"/>
        </w:rPr>
        <w:t xml:space="preserve"> holds </w:t>
      </w:r>
      <w:r w:rsidR="00E779B1" w:rsidRPr="00CB1428">
        <w:rPr>
          <w:rFonts w:ascii="Times New Roman" w:hAnsi="Times New Roman" w:cs="Times New Roman"/>
          <w:lang w:val="en-GB"/>
        </w:rPr>
        <w:t>the function of</w:t>
      </w:r>
      <w:r w:rsidR="00E9160E" w:rsidRPr="00CB1428">
        <w:rPr>
          <w:rFonts w:ascii="Times New Roman" w:hAnsi="Times New Roman" w:cs="Times New Roman"/>
          <w:lang w:val="en-GB"/>
        </w:rPr>
        <w:t xml:space="preserve"> </w:t>
      </w:r>
      <w:r w:rsidRPr="00CB1428">
        <w:rPr>
          <w:rFonts w:ascii="Times New Roman" w:hAnsi="Times New Roman" w:cs="Times New Roman"/>
          <w:lang w:val="en-GB"/>
        </w:rPr>
        <w:t>Supreme Court Judge of Country X</w:t>
      </w:r>
      <w:r>
        <w:rPr>
          <w:rFonts w:ascii="Times New Roman" w:hAnsi="Times New Roman" w:cs="Times New Roman"/>
          <w:lang w:val="en-GB"/>
        </w:rPr>
        <w:t>, t</w:t>
      </w:r>
      <w:r w:rsidRPr="00CB1428">
        <w:rPr>
          <w:rFonts w:ascii="Times New Roman" w:hAnsi="Times New Roman" w:cs="Times New Roman"/>
          <w:lang w:val="en-GB"/>
        </w:rPr>
        <w:t>he Court</w:t>
      </w:r>
      <w:r w:rsidR="00E779B1" w:rsidRPr="00CB1428">
        <w:rPr>
          <w:rFonts w:ascii="Times New Roman" w:hAnsi="Times New Roman" w:cs="Times New Roman"/>
          <w:lang w:val="en-GB"/>
        </w:rPr>
        <w:t xml:space="preserve"> </w:t>
      </w:r>
      <w:r>
        <w:rPr>
          <w:rFonts w:ascii="Times New Roman" w:hAnsi="Times New Roman" w:cs="Times New Roman"/>
          <w:lang w:val="en-GB"/>
        </w:rPr>
        <w:t xml:space="preserve">considers thereof that Justice </w:t>
      </w:r>
      <w:proofErr w:type="spellStart"/>
      <w:r>
        <w:rPr>
          <w:rFonts w:ascii="Times New Roman" w:hAnsi="Times New Roman" w:cs="Times New Roman"/>
          <w:lang w:val="en-GB"/>
        </w:rPr>
        <w:t>Armawi</w:t>
      </w:r>
      <w:proofErr w:type="spellEnd"/>
      <w:r>
        <w:rPr>
          <w:rFonts w:ascii="Times New Roman" w:hAnsi="Times New Roman" w:cs="Times New Roman"/>
          <w:lang w:val="en-GB"/>
        </w:rPr>
        <w:t xml:space="preserve"> </w:t>
      </w:r>
      <w:r w:rsidRPr="00CB1428">
        <w:rPr>
          <w:rFonts w:ascii="Times New Roman" w:hAnsi="Times New Roman" w:cs="Times New Roman"/>
          <w:lang w:val="en-GB"/>
        </w:rPr>
        <w:t>demonstrates sufficient links with regards of his nationality, residence and other relationship with the countries of which the parties or the other arbitrators are nationals</w:t>
      </w:r>
      <w:r>
        <w:rPr>
          <w:rFonts w:ascii="Times New Roman" w:hAnsi="Times New Roman" w:cs="Times New Roman"/>
          <w:lang w:val="en-GB"/>
        </w:rPr>
        <w:t xml:space="preserve">. </w:t>
      </w:r>
    </w:p>
    <w:p w14:paraId="0BA7EF82" w14:textId="77777777" w:rsidR="00E779B1" w:rsidRDefault="00E779B1" w:rsidP="00FA4932">
      <w:pPr>
        <w:jc w:val="both"/>
        <w:rPr>
          <w:rFonts w:ascii="Times New Roman" w:hAnsi="Times New Roman" w:cs="Times New Roman"/>
          <w:lang w:val="en-GB"/>
        </w:rPr>
      </w:pPr>
    </w:p>
    <w:p w14:paraId="58B408B5" w14:textId="2448DFD0" w:rsidR="00E9160E" w:rsidRDefault="00CB1428" w:rsidP="00FA4932">
      <w:pPr>
        <w:jc w:val="both"/>
        <w:rPr>
          <w:rFonts w:ascii="Times New Roman" w:hAnsi="Times New Roman" w:cs="Times New Roman"/>
          <w:lang w:val="en-GB"/>
        </w:rPr>
      </w:pPr>
      <w:r>
        <w:rPr>
          <w:rFonts w:ascii="Times New Roman" w:hAnsi="Times New Roman" w:cs="Times New Roman"/>
          <w:lang w:val="en-GB"/>
        </w:rPr>
        <w:t xml:space="preserve">Secondly, </w:t>
      </w:r>
      <w:r w:rsidR="00917E2F">
        <w:rPr>
          <w:rFonts w:ascii="Times New Roman" w:hAnsi="Times New Roman" w:cs="Times New Roman"/>
          <w:lang w:val="en-GB"/>
        </w:rPr>
        <w:t xml:space="preserve">as </w:t>
      </w:r>
      <w:r w:rsidR="000249D7">
        <w:rPr>
          <w:rFonts w:ascii="Times New Roman" w:hAnsi="Times New Roman" w:cs="Times New Roman"/>
          <w:lang w:val="en-GB"/>
        </w:rPr>
        <w:t xml:space="preserve">the </w:t>
      </w:r>
      <w:r w:rsidR="00917E2F">
        <w:rPr>
          <w:rFonts w:ascii="Times New Roman" w:hAnsi="Times New Roman" w:cs="Times New Roman"/>
          <w:lang w:val="en-GB"/>
        </w:rPr>
        <w:t>Parties’ agreement</w:t>
      </w:r>
      <w:r w:rsidR="000249D7">
        <w:rPr>
          <w:rFonts w:ascii="Times New Roman" w:hAnsi="Times New Roman" w:cs="Times New Roman"/>
          <w:lang w:val="en-GB"/>
        </w:rPr>
        <w:t xml:space="preserve"> provides</w:t>
      </w:r>
      <w:r>
        <w:rPr>
          <w:rFonts w:ascii="Times New Roman" w:hAnsi="Times New Roman" w:cs="Times New Roman"/>
          <w:lang w:val="en-GB"/>
        </w:rPr>
        <w:t xml:space="preserve"> for several detailed requirements with regards to the </w:t>
      </w:r>
      <w:r w:rsidR="00917E2F">
        <w:rPr>
          <w:rFonts w:ascii="Times New Roman" w:hAnsi="Times New Roman" w:cs="Times New Roman"/>
          <w:lang w:val="en-GB"/>
        </w:rPr>
        <w:t>skills of prospective arbitrators</w:t>
      </w:r>
      <w:r>
        <w:rPr>
          <w:rFonts w:ascii="Times New Roman" w:hAnsi="Times New Roman" w:cs="Times New Roman"/>
          <w:lang w:val="en-GB"/>
        </w:rPr>
        <w:t xml:space="preserve">, the Court shall evaluate the prospective </w:t>
      </w:r>
      <w:r w:rsidRPr="00E407A6">
        <w:rPr>
          <w:rFonts w:ascii="Times New Roman" w:hAnsi="Times New Roman" w:cs="Times New Roman"/>
          <w:lang w:val="en-GB"/>
        </w:rPr>
        <w:t>arbitrator’s availability and abi</w:t>
      </w:r>
      <w:r>
        <w:rPr>
          <w:rFonts w:ascii="Times New Roman" w:hAnsi="Times New Roman" w:cs="Times New Roman"/>
          <w:lang w:val="en-GB"/>
        </w:rPr>
        <w:t>lity to conduct the arbitration in light of the criteria contained in the above referenced Clause.</w:t>
      </w:r>
    </w:p>
    <w:p w14:paraId="0956D75C" w14:textId="77777777" w:rsidR="005C05D5" w:rsidRPr="009B0883" w:rsidRDefault="005C05D5" w:rsidP="00FA4932">
      <w:pPr>
        <w:jc w:val="both"/>
        <w:rPr>
          <w:rFonts w:ascii="Times New Roman" w:hAnsi="Times New Roman" w:cs="Times New Roman"/>
          <w:i/>
          <w:lang w:val="en-GB"/>
        </w:rPr>
      </w:pPr>
    </w:p>
    <w:p w14:paraId="6390A562" w14:textId="503DFFE3" w:rsidR="009B0883" w:rsidRDefault="00917E2F" w:rsidP="00FA4932">
      <w:pPr>
        <w:jc w:val="both"/>
        <w:rPr>
          <w:rFonts w:ascii="Times New Roman" w:hAnsi="Times New Roman" w:cs="Times New Roman"/>
          <w:lang w:val="en-GB"/>
        </w:rPr>
      </w:pPr>
      <w:r>
        <w:rPr>
          <w:rFonts w:ascii="Times New Roman" w:hAnsi="Times New Roman" w:cs="Times New Roman"/>
          <w:lang w:val="en-GB"/>
        </w:rPr>
        <w:t>Respondent points out “</w:t>
      </w:r>
      <w:r w:rsidRPr="004D5915">
        <w:rPr>
          <w:rFonts w:ascii="Times New Roman" w:hAnsi="Times New Roman" w:cs="Times New Roman"/>
          <w:i/>
          <w:lang w:val="en-GB"/>
        </w:rPr>
        <w:t>the lack of at least five years experience with construction and/or management of projects similar to the Project</w:t>
      </w:r>
      <w:r>
        <w:rPr>
          <w:rFonts w:ascii="Times New Roman" w:hAnsi="Times New Roman" w:cs="Times New Roman"/>
          <w:lang w:val="en-GB"/>
        </w:rPr>
        <w:t xml:space="preserve">”. </w:t>
      </w:r>
      <w:r w:rsidR="009B0883" w:rsidRPr="009B0883">
        <w:rPr>
          <w:rFonts w:ascii="Times New Roman" w:hAnsi="Times New Roman" w:cs="Times New Roman"/>
          <w:lang w:val="en-GB"/>
        </w:rPr>
        <w:t>The Project is defined in the contract as</w:t>
      </w:r>
      <w:r w:rsidR="009B0883" w:rsidRPr="009B0883">
        <w:rPr>
          <w:rFonts w:ascii="Times New Roman" w:hAnsi="Times New Roman" w:cs="Times New Roman"/>
          <w:i/>
          <w:lang w:val="en-GB"/>
        </w:rPr>
        <w:t xml:space="preserve"> “the development, in accordance with Real Estate Act, other Applicable Laws and Schedule IV, of the Project Land by construction thereon of commercial and serviced apartments, hotel and information technology units to include, subject to the actual area sanctioned for construction as per the architectural drawings approved by the Investors, a constructed area of approximately 1.6 million square feet, including car parks common areas, internal roads, landscaping, cafeteria and other ancillary facilities as may be permitted by the relevant local Applicable Law and as mutually agreed between the Parties</w:t>
      </w:r>
      <w:r w:rsidR="009B0883" w:rsidRPr="009B0883">
        <w:rPr>
          <w:rFonts w:ascii="Times New Roman" w:hAnsi="Times New Roman" w:cs="Times New Roman"/>
          <w:lang w:val="en-GB"/>
        </w:rPr>
        <w:t>”</w:t>
      </w:r>
      <w:r w:rsidR="009B0883">
        <w:rPr>
          <w:rFonts w:ascii="Times New Roman" w:hAnsi="Times New Roman" w:cs="Times New Roman"/>
          <w:lang w:val="en-GB"/>
        </w:rPr>
        <w:t>.</w:t>
      </w:r>
    </w:p>
    <w:p w14:paraId="2DF703A4" w14:textId="77777777" w:rsidR="00917E2F" w:rsidRPr="009B0883" w:rsidRDefault="00917E2F" w:rsidP="00FA4932">
      <w:pPr>
        <w:jc w:val="both"/>
        <w:rPr>
          <w:rFonts w:ascii="Times New Roman" w:hAnsi="Times New Roman" w:cs="Times New Roman"/>
          <w:i/>
          <w:lang w:val="en-GB"/>
        </w:rPr>
      </w:pPr>
    </w:p>
    <w:p w14:paraId="02A88E02" w14:textId="5A5F28AA" w:rsidR="008D7736" w:rsidRDefault="00CB1428" w:rsidP="00FA4932">
      <w:pPr>
        <w:jc w:val="both"/>
        <w:rPr>
          <w:rFonts w:ascii="Times New Roman" w:hAnsi="Times New Roman" w:cs="Times New Roman"/>
          <w:lang w:val="en-GB"/>
        </w:rPr>
      </w:pPr>
      <w:r>
        <w:rPr>
          <w:rFonts w:ascii="Times New Roman" w:hAnsi="Times New Roman" w:cs="Times New Roman"/>
          <w:lang w:val="en-GB"/>
        </w:rPr>
        <w:t>It</w:t>
      </w:r>
      <w:r w:rsidR="00C41EC0">
        <w:rPr>
          <w:rFonts w:ascii="Times New Roman" w:hAnsi="Times New Roman" w:cs="Times New Roman"/>
          <w:lang w:val="en-GB"/>
        </w:rPr>
        <w:t xml:space="preserve"> results from </w:t>
      </w:r>
      <w:r w:rsidR="008D7736">
        <w:rPr>
          <w:rFonts w:ascii="Times New Roman" w:hAnsi="Times New Roman" w:cs="Times New Roman"/>
          <w:lang w:val="en-GB"/>
        </w:rPr>
        <w:t>the peculiarities of the Project, and from the wording and layout of the Clause, that the Parties did not mean to provide an exhaustive list of criteria to respect, but rather guidelines to follow</w:t>
      </w:r>
      <w:r w:rsidR="00FA4932">
        <w:rPr>
          <w:rFonts w:ascii="Times New Roman" w:hAnsi="Times New Roman" w:cs="Times New Roman"/>
          <w:lang w:val="en-GB"/>
        </w:rPr>
        <w:t xml:space="preserve"> to nominate an agent with a high degree of expertise</w:t>
      </w:r>
      <w:r w:rsidR="008D7736">
        <w:rPr>
          <w:rFonts w:ascii="Times New Roman" w:hAnsi="Times New Roman" w:cs="Times New Roman"/>
          <w:lang w:val="en-GB"/>
        </w:rPr>
        <w:t xml:space="preserve">. </w:t>
      </w:r>
    </w:p>
    <w:p w14:paraId="46008818" w14:textId="77777777" w:rsidR="009B0883" w:rsidRPr="009B0883" w:rsidRDefault="009B0883" w:rsidP="00FA4932">
      <w:pPr>
        <w:jc w:val="both"/>
        <w:rPr>
          <w:rFonts w:ascii="Times New Roman" w:hAnsi="Times New Roman" w:cs="Times New Roman"/>
          <w:lang w:val="en-GB"/>
        </w:rPr>
      </w:pPr>
    </w:p>
    <w:p w14:paraId="055BF910" w14:textId="1335A577" w:rsidR="00DE52AD" w:rsidRDefault="00452976" w:rsidP="00FA4932">
      <w:pPr>
        <w:jc w:val="both"/>
        <w:rPr>
          <w:rFonts w:ascii="Times New Roman" w:hAnsi="Times New Roman" w:cs="Times New Roman"/>
          <w:lang w:val="en-GB"/>
        </w:rPr>
      </w:pPr>
      <w:r>
        <w:rPr>
          <w:rFonts w:ascii="Times New Roman" w:hAnsi="Times New Roman" w:cs="Times New Roman"/>
          <w:lang w:val="en-GB"/>
        </w:rPr>
        <w:t xml:space="preserve">Thus, </w:t>
      </w:r>
      <w:r w:rsidR="00E407A6">
        <w:rPr>
          <w:rFonts w:ascii="Times New Roman" w:hAnsi="Times New Roman" w:cs="Times New Roman"/>
          <w:lang w:val="en-GB"/>
        </w:rPr>
        <w:t xml:space="preserve">with regards to Justice </w:t>
      </w:r>
      <w:proofErr w:type="spellStart"/>
      <w:r w:rsidR="00E407A6">
        <w:rPr>
          <w:rFonts w:ascii="Times New Roman" w:hAnsi="Times New Roman" w:cs="Times New Roman"/>
          <w:lang w:val="en-GB"/>
        </w:rPr>
        <w:t>Armawi’s</w:t>
      </w:r>
      <w:proofErr w:type="spellEnd"/>
      <w:r w:rsidR="00E407A6">
        <w:rPr>
          <w:rFonts w:ascii="Times New Roman" w:hAnsi="Times New Roman" w:cs="Times New Roman"/>
          <w:lang w:val="en-GB"/>
        </w:rPr>
        <w:t xml:space="preserve"> Statement, the Court confirms its nomination. </w:t>
      </w:r>
    </w:p>
    <w:p w14:paraId="0903CB4E" w14:textId="77777777" w:rsidR="00BB11CD" w:rsidRDefault="00BB11CD" w:rsidP="00FA4932">
      <w:pPr>
        <w:jc w:val="both"/>
        <w:rPr>
          <w:rFonts w:ascii="Times New Roman" w:hAnsi="Times New Roman" w:cs="Times New Roman"/>
          <w:lang w:val="en-GB"/>
        </w:rPr>
      </w:pPr>
    </w:p>
    <w:p w14:paraId="0FA7E93D" w14:textId="77777777" w:rsidR="00FA4932" w:rsidRDefault="00FA4932" w:rsidP="00140923">
      <w:pPr>
        <w:rPr>
          <w:rFonts w:ascii="Times New Roman" w:hAnsi="Times New Roman" w:cs="Times New Roman"/>
          <w:lang w:val="en-GB"/>
        </w:rPr>
      </w:pPr>
    </w:p>
    <w:p w14:paraId="37AB76B8" w14:textId="77777777" w:rsidR="00FA4932" w:rsidRDefault="00FA4932" w:rsidP="00140923">
      <w:pPr>
        <w:rPr>
          <w:rFonts w:ascii="Times New Roman" w:hAnsi="Times New Roman" w:cs="Times New Roman"/>
          <w:lang w:val="en-GB"/>
        </w:rPr>
      </w:pPr>
    </w:p>
    <w:p w14:paraId="5B8F57FF" w14:textId="77777777" w:rsidR="00AB2981" w:rsidRDefault="00AB2981" w:rsidP="00533648">
      <w:pPr>
        <w:jc w:val="both"/>
        <w:rPr>
          <w:rFonts w:ascii="Times New Roman" w:hAnsi="Times New Roman" w:cs="Times New Roman"/>
          <w:lang w:val="en-GB"/>
        </w:rPr>
      </w:pPr>
    </w:p>
    <w:p w14:paraId="4DBC66B2" w14:textId="7102D039" w:rsidR="00140923" w:rsidRDefault="00140923" w:rsidP="00533648">
      <w:pPr>
        <w:jc w:val="both"/>
        <w:rPr>
          <w:rFonts w:ascii="Times New Roman" w:hAnsi="Times New Roman" w:cs="Times New Roman"/>
          <w:lang w:val="en-GB"/>
        </w:rPr>
      </w:pPr>
      <w:r>
        <w:rPr>
          <w:rFonts w:ascii="Times New Roman" w:hAnsi="Times New Roman" w:cs="Times New Roman"/>
          <w:lang w:val="en-GB"/>
        </w:rPr>
        <w:t>The International Court of Arbitration of the ICC (“</w:t>
      </w:r>
      <w:r w:rsidRPr="005C05D5">
        <w:rPr>
          <w:rFonts w:ascii="Times New Roman" w:hAnsi="Times New Roman" w:cs="Times New Roman"/>
          <w:b/>
          <w:lang w:val="en-GB"/>
        </w:rPr>
        <w:t>the Court</w:t>
      </w:r>
      <w:r>
        <w:rPr>
          <w:rFonts w:ascii="Times New Roman" w:hAnsi="Times New Roman" w:cs="Times New Roman"/>
          <w:lang w:val="en-GB"/>
        </w:rPr>
        <w:t>”) acknowledges receipt</w:t>
      </w:r>
      <w:r w:rsidR="00C068C7">
        <w:rPr>
          <w:rFonts w:ascii="Times New Roman" w:hAnsi="Times New Roman" w:cs="Times New Roman"/>
          <w:lang w:val="en-GB"/>
        </w:rPr>
        <w:t xml:space="preserve"> of Claimant 1 and </w:t>
      </w:r>
      <w:r w:rsidR="00BB11CD">
        <w:rPr>
          <w:rFonts w:ascii="Times New Roman" w:hAnsi="Times New Roman" w:cs="Times New Roman"/>
          <w:lang w:val="en-GB"/>
        </w:rPr>
        <w:t xml:space="preserve">2, Respondent and </w:t>
      </w:r>
      <w:proofErr w:type="spellStart"/>
      <w:r w:rsidR="00BB11CD">
        <w:rPr>
          <w:rFonts w:ascii="Times New Roman" w:hAnsi="Times New Roman" w:cs="Times New Roman"/>
          <w:lang w:val="en-GB"/>
        </w:rPr>
        <w:t>Mr.</w:t>
      </w:r>
      <w:proofErr w:type="spellEnd"/>
      <w:r w:rsidR="00BB11CD">
        <w:rPr>
          <w:rFonts w:ascii="Times New Roman" w:hAnsi="Times New Roman" w:cs="Times New Roman"/>
          <w:lang w:val="en-GB"/>
        </w:rPr>
        <w:t xml:space="preserve"> Antares’ </w:t>
      </w:r>
      <w:r w:rsidR="00C068C7">
        <w:rPr>
          <w:rFonts w:ascii="Times New Roman" w:hAnsi="Times New Roman" w:cs="Times New Roman"/>
          <w:lang w:val="en-GB"/>
        </w:rPr>
        <w:t xml:space="preserve">correspondences, respectively dated 24, </w:t>
      </w:r>
      <w:r w:rsidR="00BB11CD">
        <w:rPr>
          <w:rFonts w:ascii="Times New Roman" w:hAnsi="Times New Roman" w:cs="Times New Roman"/>
          <w:lang w:val="en-GB"/>
        </w:rPr>
        <w:t>29 and 30 September</w:t>
      </w:r>
      <w:r>
        <w:rPr>
          <w:rFonts w:ascii="Times New Roman" w:hAnsi="Times New Roman" w:cs="Times New Roman"/>
          <w:lang w:val="en-GB"/>
        </w:rPr>
        <w:t>.</w:t>
      </w:r>
    </w:p>
    <w:p w14:paraId="58DAC5EB" w14:textId="77777777" w:rsidR="00DE52AD" w:rsidRDefault="00DE52AD" w:rsidP="00533648">
      <w:pPr>
        <w:jc w:val="both"/>
        <w:rPr>
          <w:rFonts w:ascii="Times New Roman" w:hAnsi="Times New Roman" w:cs="Times New Roman"/>
          <w:lang w:val="en-GB"/>
        </w:rPr>
      </w:pPr>
    </w:p>
    <w:p w14:paraId="60EC1647" w14:textId="097FD80B" w:rsidR="009B7ED1" w:rsidRDefault="009B7ED1" w:rsidP="00533648">
      <w:pPr>
        <w:jc w:val="both"/>
        <w:rPr>
          <w:rFonts w:ascii="Times New Roman" w:hAnsi="Times New Roman" w:cs="Times New Roman"/>
          <w:lang w:val="en-GB"/>
        </w:rPr>
      </w:pPr>
      <w:r>
        <w:rPr>
          <w:rFonts w:ascii="Times New Roman" w:hAnsi="Times New Roman" w:cs="Times New Roman"/>
          <w:lang w:val="en-GB"/>
        </w:rPr>
        <w:t>Claimants challenge</w:t>
      </w:r>
      <w:r w:rsidRPr="00BB11CD">
        <w:rPr>
          <w:rFonts w:ascii="Times New Roman" w:hAnsi="Times New Roman" w:cs="Times New Roman"/>
          <w:lang w:val="en-GB"/>
        </w:rPr>
        <w:t xml:space="preserve"> </w:t>
      </w:r>
      <w:proofErr w:type="spellStart"/>
      <w:r w:rsidRPr="00BB11CD">
        <w:rPr>
          <w:rFonts w:ascii="Times New Roman" w:hAnsi="Times New Roman" w:cs="Times New Roman"/>
          <w:lang w:val="en-GB"/>
        </w:rPr>
        <w:t>Mr.</w:t>
      </w:r>
      <w:proofErr w:type="spellEnd"/>
      <w:r w:rsidRPr="00BB11CD">
        <w:rPr>
          <w:rFonts w:ascii="Times New Roman" w:hAnsi="Times New Roman" w:cs="Times New Roman"/>
          <w:lang w:val="en-GB"/>
        </w:rPr>
        <w:t xml:space="preserve"> Antares acting as an arbit</w:t>
      </w:r>
      <w:r w:rsidR="00334602">
        <w:rPr>
          <w:rFonts w:ascii="Times New Roman" w:hAnsi="Times New Roman" w:cs="Times New Roman"/>
          <w:lang w:val="en-GB"/>
        </w:rPr>
        <w:t xml:space="preserve">rator. Claimants allege that </w:t>
      </w:r>
      <w:proofErr w:type="spellStart"/>
      <w:r w:rsidRPr="00BB11CD">
        <w:rPr>
          <w:rFonts w:ascii="Times New Roman" w:hAnsi="Times New Roman" w:cs="Times New Roman"/>
          <w:lang w:val="en-GB"/>
        </w:rPr>
        <w:t>Mr.</w:t>
      </w:r>
      <w:proofErr w:type="spellEnd"/>
      <w:r w:rsidRPr="00BB11CD">
        <w:rPr>
          <w:rFonts w:ascii="Times New Roman" w:hAnsi="Times New Roman" w:cs="Times New Roman"/>
          <w:lang w:val="en-GB"/>
        </w:rPr>
        <w:t xml:space="preserve"> Antares’ and </w:t>
      </w:r>
      <w:proofErr w:type="spellStart"/>
      <w:r w:rsidRPr="00BB11CD">
        <w:rPr>
          <w:rFonts w:ascii="Times New Roman" w:hAnsi="Times New Roman" w:cs="Times New Roman"/>
          <w:lang w:val="en-GB"/>
        </w:rPr>
        <w:t>Mr.</w:t>
      </w:r>
      <w:proofErr w:type="spellEnd"/>
      <w:r w:rsidRPr="00BB11CD">
        <w:rPr>
          <w:rFonts w:ascii="Times New Roman" w:hAnsi="Times New Roman" w:cs="Times New Roman"/>
          <w:lang w:val="en-GB"/>
        </w:rPr>
        <w:t xml:space="preserve"> Polaris’ serving as co-counsel in several arbitrations</w:t>
      </w:r>
      <w:r w:rsidR="00334602">
        <w:rPr>
          <w:rFonts w:ascii="Times New Roman" w:hAnsi="Times New Roman" w:cs="Times New Roman"/>
          <w:lang w:val="en-GB"/>
        </w:rPr>
        <w:t xml:space="preserve"> and litigations</w:t>
      </w:r>
      <w:r w:rsidRPr="00BB11CD">
        <w:rPr>
          <w:rFonts w:ascii="Times New Roman" w:hAnsi="Times New Roman" w:cs="Times New Roman"/>
          <w:lang w:val="en-GB"/>
        </w:rPr>
        <w:t xml:space="preserve"> </w:t>
      </w:r>
      <w:r w:rsidRPr="00C068C7">
        <w:rPr>
          <w:rFonts w:ascii="Times New Roman" w:hAnsi="Times New Roman" w:cs="Times New Roman"/>
          <w:lang w:val="en-GB"/>
        </w:rPr>
        <w:t>“</w:t>
      </w:r>
      <w:r w:rsidRPr="00C068C7">
        <w:rPr>
          <w:rFonts w:ascii="Times New Roman" w:hAnsi="Times New Roman" w:cs="Times New Roman"/>
          <w:i/>
          <w:lang w:val="en-GB"/>
        </w:rPr>
        <w:t>(</w:t>
      </w:r>
      <w:proofErr w:type="spellStart"/>
      <w:r w:rsidRPr="00C068C7">
        <w:rPr>
          <w:rFonts w:ascii="Times New Roman" w:hAnsi="Times New Roman" w:cs="Times New Roman"/>
          <w:i/>
          <w:lang w:val="en-GB"/>
        </w:rPr>
        <w:t>i</w:t>
      </w:r>
      <w:proofErr w:type="spellEnd"/>
      <w:r w:rsidRPr="00C068C7">
        <w:rPr>
          <w:rFonts w:ascii="Times New Roman" w:hAnsi="Times New Roman" w:cs="Times New Roman"/>
          <w:i/>
          <w:lang w:val="en-GB"/>
        </w:rPr>
        <w:t xml:space="preserve">) prove the existence of a long- standing professional association between them, (ii) which enables the latter to have an insight into </w:t>
      </w:r>
      <w:proofErr w:type="spellStart"/>
      <w:r w:rsidRPr="00C068C7">
        <w:rPr>
          <w:rFonts w:ascii="Times New Roman" w:hAnsi="Times New Roman" w:cs="Times New Roman"/>
          <w:i/>
          <w:lang w:val="en-GB"/>
        </w:rPr>
        <w:t>Mr.</w:t>
      </w:r>
      <w:proofErr w:type="spellEnd"/>
      <w:r w:rsidRPr="00C068C7">
        <w:rPr>
          <w:rFonts w:ascii="Times New Roman" w:hAnsi="Times New Roman" w:cs="Times New Roman"/>
          <w:i/>
          <w:lang w:val="en-GB"/>
        </w:rPr>
        <w:t xml:space="preserve"> Antares’ legal reasoning and, thus, to secure an advantage over the Claimants’ counsel</w:t>
      </w:r>
      <w:r>
        <w:rPr>
          <w:rFonts w:ascii="Times New Roman" w:hAnsi="Times New Roman" w:cs="Times New Roman"/>
          <w:lang w:val="en-GB"/>
        </w:rPr>
        <w:t>”</w:t>
      </w:r>
      <w:r w:rsidRPr="00BB11CD">
        <w:rPr>
          <w:rFonts w:ascii="Times New Roman" w:hAnsi="Times New Roman" w:cs="Times New Roman"/>
          <w:lang w:val="en-GB"/>
        </w:rPr>
        <w:t>.</w:t>
      </w:r>
      <w:r w:rsidR="00334602">
        <w:rPr>
          <w:rFonts w:ascii="Times New Roman" w:hAnsi="Times New Roman" w:cs="Times New Roman"/>
          <w:lang w:val="en-GB"/>
        </w:rPr>
        <w:t xml:space="preserve"> Therefore giving</w:t>
      </w:r>
      <w:r w:rsidR="00334602" w:rsidRPr="00BB11CD">
        <w:rPr>
          <w:rFonts w:ascii="Times New Roman" w:hAnsi="Times New Roman" w:cs="Times New Roman"/>
          <w:lang w:val="en-GB"/>
        </w:rPr>
        <w:t xml:space="preserve"> rise to </w:t>
      </w:r>
      <w:r w:rsidR="00334602">
        <w:rPr>
          <w:rFonts w:ascii="Times New Roman" w:hAnsi="Times New Roman" w:cs="Times New Roman"/>
          <w:lang w:val="en-GB"/>
        </w:rPr>
        <w:t>“</w:t>
      </w:r>
      <w:r w:rsidR="00334602" w:rsidRPr="00334602">
        <w:rPr>
          <w:rFonts w:ascii="Times New Roman" w:hAnsi="Times New Roman" w:cs="Times New Roman"/>
          <w:i/>
          <w:lang w:val="en-GB"/>
        </w:rPr>
        <w:t xml:space="preserve">justifiable doubts as to </w:t>
      </w:r>
      <w:proofErr w:type="spellStart"/>
      <w:r w:rsidR="00334602" w:rsidRPr="00334602">
        <w:rPr>
          <w:rFonts w:ascii="Times New Roman" w:hAnsi="Times New Roman" w:cs="Times New Roman"/>
          <w:i/>
          <w:lang w:val="en-GB"/>
        </w:rPr>
        <w:t>Mr.</w:t>
      </w:r>
      <w:proofErr w:type="spellEnd"/>
      <w:r w:rsidR="00334602" w:rsidRPr="00334602">
        <w:rPr>
          <w:rFonts w:ascii="Times New Roman" w:hAnsi="Times New Roman" w:cs="Times New Roman"/>
          <w:i/>
          <w:lang w:val="en-GB"/>
        </w:rPr>
        <w:t xml:space="preserve"> Antares’ impartiality</w:t>
      </w:r>
      <w:r w:rsidR="00334602">
        <w:rPr>
          <w:rFonts w:ascii="Times New Roman" w:hAnsi="Times New Roman" w:cs="Times New Roman"/>
          <w:lang w:val="en-GB"/>
        </w:rPr>
        <w:t xml:space="preserve">” and </w:t>
      </w:r>
      <w:r w:rsidR="0035465F">
        <w:rPr>
          <w:rFonts w:ascii="Times New Roman" w:hAnsi="Times New Roman" w:cs="Times New Roman"/>
          <w:lang w:val="en-GB"/>
        </w:rPr>
        <w:t>“</w:t>
      </w:r>
      <w:r w:rsidR="00334602" w:rsidRPr="0035465F">
        <w:rPr>
          <w:rFonts w:ascii="Times New Roman" w:hAnsi="Times New Roman" w:cs="Times New Roman"/>
          <w:i/>
          <w:lang w:val="en-GB"/>
        </w:rPr>
        <w:t>independence</w:t>
      </w:r>
      <w:r w:rsidR="0035465F">
        <w:rPr>
          <w:rFonts w:ascii="Times New Roman" w:hAnsi="Times New Roman" w:cs="Times New Roman"/>
          <w:lang w:val="en-GB"/>
        </w:rPr>
        <w:t>”</w:t>
      </w:r>
      <w:r w:rsidR="00334602">
        <w:rPr>
          <w:rFonts w:ascii="Times New Roman" w:hAnsi="Times New Roman" w:cs="Times New Roman"/>
          <w:lang w:val="en-GB"/>
        </w:rPr>
        <w:t xml:space="preserve">. </w:t>
      </w:r>
    </w:p>
    <w:p w14:paraId="05555958" w14:textId="77777777" w:rsidR="00BB11CD" w:rsidRPr="00BB11CD" w:rsidRDefault="00BB11CD" w:rsidP="00533648">
      <w:pPr>
        <w:jc w:val="both"/>
        <w:rPr>
          <w:rFonts w:ascii="Times New Roman" w:hAnsi="Times New Roman" w:cs="Times New Roman"/>
          <w:lang w:val="en-GB"/>
        </w:rPr>
      </w:pPr>
    </w:p>
    <w:p w14:paraId="08C0739F" w14:textId="71DAA2D5" w:rsidR="002A6FD0" w:rsidRDefault="001A1610" w:rsidP="00533648">
      <w:pPr>
        <w:jc w:val="both"/>
        <w:rPr>
          <w:rFonts w:ascii="Times New Roman" w:hAnsi="Times New Roman" w:cs="Times New Roman"/>
          <w:lang w:val="en-GB"/>
        </w:rPr>
      </w:pPr>
      <w:r>
        <w:rPr>
          <w:rFonts w:ascii="Times New Roman" w:hAnsi="Times New Roman" w:cs="Times New Roman"/>
          <w:lang w:val="en-GB"/>
        </w:rPr>
        <w:t>According</w:t>
      </w:r>
      <w:r w:rsidR="00C068C7">
        <w:rPr>
          <w:rFonts w:ascii="Times New Roman" w:hAnsi="Times New Roman" w:cs="Times New Roman"/>
          <w:lang w:val="en-GB"/>
        </w:rPr>
        <w:t xml:space="preserve"> to Article 14</w:t>
      </w:r>
      <w:r w:rsidR="002A6FD0">
        <w:rPr>
          <w:rFonts w:ascii="Times New Roman" w:hAnsi="Times New Roman" w:cs="Times New Roman"/>
          <w:lang w:val="en-GB"/>
        </w:rPr>
        <w:t>(3)</w:t>
      </w:r>
      <w:r w:rsidR="00C068C7">
        <w:rPr>
          <w:rFonts w:ascii="Times New Roman" w:hAnsi="Times New Roman" w:cs="Times New Roman"/>
          <w:lang w:val="en-GB"/>
        </w:rPr>
        <w:t xml:space="preserve"> of the ICC Rules of Arbitration (“</w:t>
      </w:r>
      <w:r w:rsidR="00C068C7" w:rsidRPr="0035465F">
        <w:rPr>
          <w:rFonts w:ascii="Times New Roman" w:hAnsi="Times New Roman" w:cs="Times New Roman"/>
          <w:b/>
          <w:lang w:val="en-GB"/>
        </w:rPr>
        <w:t>the Rules</w:t>
      </w:r>
      <w:r>
        <w:rPr>
          <w:rFonts w:ascii="Times New Roman" w:hAnsi="Times New Roman" w:cs="Times New Roman"/>
          <w:lang w:val="en-GB"/>
        </w:rPr>
        <w:t>”), the Court shall decide on the admissibility and, at the same time, if necessary, on the merits of a challenge</w:t>
      </w:r>
      <w:r w:rsidR="002A6FD0">
        <w:rPr>
          <w:rFonts w:ascii="Times New Roman" w:hAnsi="Times New Roman" w:cs="Times New Roman"/>
          <w:lang w:val="en-GB"/>
        </w:rPr>
        <w:t xml:space="preserve">. </w:t>
      </w:r>
    </w:p>
    <w:p w14:paraId="2790E75D" w14:textId="77777777" w:rsidR="002A6FD0" w:rsidRDefault="002A6FD0" w:rsidP="00533648">
      <w:pPr>
        <w:jc w:val="both"/>
        <w:rPr>
          <w:rFonts w:ascii="Times New Roman" w:hAnsi="Times New Roman" w:cs="Times New Roman"/>
          <w:lang w:val="en-GB"/>
        </w:rPr>
      </w:pPr>
    </w:p>
    <w:p w14:paraId="3849FD35" w14:textId="6D5C69F5" w:rsidR="00AB2981" w:rsidRDefault="002A6FD0" w:rsidP="00533648">
      <w:pPr>
        <w:jc w:val="both"/>
        <w:rPr>
          <w:rFonts w:ascii="Times New Roman" w:hAnsi="Times New Roman" w:cs="Times New Roman"/>
          <w:lang w:val="en-GB"/>
        </w:rPr>
      </w:pPr>
      <w:r>
        <w:rPr>
          <w:rFonts w:ascii="Times New Roman" w:hAnsi="Times New Roman" w:cs="Times New Roman"/>
          <w:lang w:val="en-GB"/>
        </w:rPr>
        <w:t>As with regards to the admissibility</w:t>
      </w:r>
      <w:r w:rsidR="002F3486">
        <w:rPr>
          <w:rFonts w:ascii="Times New Roman" w:hAnsi="Times New Roman" w:cs="Times New Roman"/>
          <w:lang w:val="en-GB"/>
        </w:rPr>
        <w:t xml:space="preserve"> of the challenge</w:t>
      </w:r>
      <w:r>
        <w:rPr>
          <w:rFonts w:ascii="Times New Roman" w:hAnsi="Times New Roman" w:cs="Times New Roman"/>
          <w:lang w:val="en-GB"/>
        </w:rPr>
        <w:t>, Article 1</w:t>
      </w:r>
      <w:r w:rsidR="002F3486">
        <w:rPr>
          <w:rFonts w:ascii="Times New Roman" w:hAnsi="Times New Roman" w:cs="Times New Roman"/>
          <w:lang w:val="en-GB"/>
        </w:rPr>
        <w:t>4 of the Rules provides</w:t>
      </w:r>
      <w:r>
        <w:rPr>
          <w:rFonts w:ascii="Times New Roman" w:hAnsi="Times New Roman" w:cs="Times New Roman"/>
          <w:lang w:val="en-GB"/>
        </w:rPr>
        <w:t xml:space="preserve"> for </w:t>
      </w:r>
      <w:r w:rsidR="00AB2981">
        <w:rPr>
          <w:rFonts w:ascii="Times New Roman" w:hAnsi="Times New Roman" w:cs="Times New Roman"/>
          <w:lang w:val="en-GB"/>
        </w:rPr>
        <w:t xml:space="preserve">the submission to </w:t>
      </w:r>
      <w:r w:rsidR="002F3486">
        <w:rPr>
          <w:rFonts w:ascii="Times New Roman" w:hAnsi="Times New Roman" w:cs="Times New Roman"/>
          <w:lang w:val="en-GB"/>
        </w:rPr>
        <w:t>respect</w:t>
      </w:r>
      <w:r w:rsidR="00AB2981">
        <w:rPr>
          <w:rFonts w:ascii="Times New Roman" w:hAnsi="Times New Roman" w:cs="Times New Roman"/>
          <w:lang w:val="en-GB"/>
        </w:rPr>
        <w:t xml:space="preserve"> a form and </w:t>
      </w:r>
      <w:r w:rsidR="002F3486">
        <w:rPr>
          <w:rFonts w:ascii="Times New Roman" w:hAnsi="Times New Roman" w:cs="Times New Roman"/>
          <w:lang w:val="en-GB"/>
        </w:rPr>
        <w:t xml:space="preserve">to be </w:t>
      </w:r>
      <w:r w:rsidR="00925964">
        <w:rPr>
          <w:rFonts w:ascii="Times New Roman" w:hAnsi="Times New Roman" w:cs="Times New Roman"/>
          <w:lang w:val="en-GB"/>
        </w:rPr>
        <w:t>contained</w:t>
      </w:r>
      <w:r w:rsidR="002F3486">
        <w:rPr>
          <w:rFonts w:ascii="Times New Roman" w:hAnsi="Times New Roman" w:cs="Times New Roman"/>
          <w:lang w:val="en-GB"/>
        </w:rPr>
        <w:t xml:space="preserve"> within a certain d</w:t>
      </w:r>
      <w:r w:rsidR="00AB2981">
        <w:rPr>
          <w:rFonts w:ascii="Times New Roman" w:hAnsi="Times New Roman" w:cs="Times New Roman"/>
          <w:lang w:val="en-GB"/>
        </w:rPr>
        <w:t>elay</w:t>
      </w:r>
      <w:r>
        <w:rPr>
          <w:rFonts w:ascii="Times New Roman" w:hAnsi="Times New Roman" w:cs="Times New Roman"/>
          <w:lang w:val="en-GB"/>
        </w:rPr>
        <w:t xml:space="preserve">. </w:t>
      </w:r>
      <w:r w:rsidR="00AB2981">
        <w:rPr>
          <w:rFonts w:ascii="Times New Roman" w:hAnsi="Times New Roman" w:cs="Times New Roman"/>
          <w:lang w:val="en-GB"/>
        </w:rPr>
        <w:t>T</w:t>
      </w:r>
      <w:r w:rsidR="001455C6">
        <w:rPr>
          <w:rFonts w:ascii="Times New Roman" w:hAnsi="Times New Roman" w:cs="Times New Roman"/>
          <w:lang w:val="en-GB"/>
        </w:rPr>
        <w:t>he</w:t>
      </w:r>
      <w:r w:rsidR="00001DFC">
        <w:rPr>
          <w:rFonts w:ascii="Times New Roman" w:hAnsi="Times New Roman" w:cs="Times New Roman"/>
          <w:lang w:val="en-GB"/>
        </w:rPr>
        <w:t xml:space="preserve"> Sec</w:t>
      </w:r>
      <w:r w:rsidR="0095333B">
        <w:rPr>
          <w:rFonts w:ascii="Times New Roman" w:hAnsi="Times New Roman" w:cs="Times New Roman"/>
          <w:lang w:val="en-GB"/>
        </w:rPr>
        <w:t>retariat of the ICC acknowledged</w:t>
      </w:r>
      <w:r w:rsidR="00001DFC">
        <w:rPr>
          <w:rFonts w:ascii="Times New Roman" w:hAnsi="Times New Roman" w:cs="Times New Roman"/>
          <w:lang w:val="en-GB"/>
        </w:rPr>
        <w:t xml:space="preserve"> receipt</w:t>
      </w:r>
      <w:r w:rsidR="00925964">
        <w:rPr>
          <w:rFonts w:ascii="Times New Roman" w:hAnsi="Times New Roman" w:cs="Times New Roman"/>
          <w:lang w:val="en-GB"/>
        </w:rPr>
        <w:t xml:space="preserve"> of Claimants’ submission of a “Written S</w:t>
      </w:r>
      <w:r w:rsidR="00001DFC">
        <w:rPr>
          <w:rFonts w:ascii="Times New Roman" w:hAnsi="Times New Roman" w:cs="Times New Roman"/>
          <w:lang w:val="en-GB"/>
        </w:rPr>
        <w:t>tatement</w:t>
      </w:r>
      <w:r w:rsidR="00925964">
        <w:rPr>
          <w:rFonts w:ascii="Times New Roman" w:hAnsi="Times New Roman" w:cs="Times New Roman"/>
          <w:lang w:val="en-GB"/>
        </w:rPr>
        <w:t>”</w:t>
      </w:r>
      <w:r w:rsidR="00001DFC">
        <w:rPr>
          <w:rFonts w:ascii="Times New Roman" w:hAnsi="Times New Roman" w:cs="Times New Roman"/>
          <w:lang w:val="en-GB"/>
        </w:rPr>
        <w:t xml:space="preserve"> specifying the facts and circumstances of the challenge on </w:t>
      </w:r>
      <w:r w:rsidR="0046794C">
        <w:rPr>
          <w:rFonts w:ascii="Times New Roman" w:hAnsi="Times New Roman" w:cs="Times New Roman"/>
          <w:lang w:val="en-GB"/>
        </w:rPr>
        <w:t>18</w:t>
      </w:r>
      <w:r w:rsidR="008F0F3B">
        <w:rPr>
          <w:rFonts w:ascii="Times New Roman" w:hAnsi="Times New Roman" w:cs="Times New Roman"/>
          <w:lang w:val="en-GB"/>
        </w:rPr>
        <w:t> September</w:t>
      </w:r>
      <w:r w:rsidR="00AB2981">
        <w:rPr>
          <w:rFonts w:ascii="Times New Roman" w:hAnsi="Times New Roman" w:cs="Times New Roman"/>
          <w:lang w:val="en-GB"/>
        </w:rPr>
        <w:t>, that is to say</w:t>
      </w:r>
      <w:r w:rsidR="008F0F3B">
        <w:rPr>
          <w:rFonts w:ascii="Times New Roman" w:hAnsi="Times New Roman" w:cs="Times New Roman"/>
          <w:lang w:val="en-GB"/>
        </w:rPr>
        <w:t xml:space="preserve"> </w:t>
      </w:r>
      <w:r w:rsidR="00001DFC">
        <w:rPr>
          <w:rFonts w:ascii="Times New Roman" w:hAnsi="Times New Roman" w:cs="Times New Roman"/>
          <w:lang w:val="en-GB"/>
        </w:rPr>
        <w:t xml:space="preserve">16 days after the Secretariat’s letter confirming the appointment of </w:t>
      </w:r>
      <w:proofErr w:type="spellStart"/>
      <w:r w:rsidR="00001DFC">
        <w:rPr>
          <w:rFonts w:ascii="Times New Roman" w:hAnsi="Times New Roman" w:cs="Times New Roman"/>
          <w:lang w:val="en-GB"/>
        </w:rPr>
        <w:t>Mr.</w:t>
      </w:r>
      <w:proofErr w:type="spellEnd"/>
      <w:r w:rsidR="00001DFC">
        <w:rPr>
          <w:rFonts w:ascii="Times New Roman" w:hAnsi="Times New Roman" w:cs="Times New Roman"/>
          <w:lang w:val="en-GB"/>
        </w:rPr>
        <w:t xml:space="preserve"> Antares as Sole Arbitrator. </w:t>
      </w:r>
      <w:r w:rsidR="00AB2981">
        <w:rPr>
          <w:rFonts w:ascii="Times New Roman" w:hAnsi="Times New Roman" w:cs="Times New Roman"/>
          <w:lang w:val="en-GB"/>
        </w:rPr>
        <w:t xml:space="preserve">The submission of Claimants’ statement </w:t>
      </w:r>
      <w:r w:rsidR="00AB2981" w:rsidRPr="009B7ED1">
        <w:rPr>
          <w:rFonts w:ascii="Times New Roman" w:hAnsi="Times New Roman" w:cs="Times New Roman"/>
          <w:lang w:val="en-GB"/>
        </w:rPr>
        <w:t>was followed by an exchange of letter</w:t>
      </w:r>
      <w:r w:rsidR="00AB2981">
        <w:rPr>
          <w:rFonts w:ascii="Times New Roman" w:hAnsi="Times New Roman" w:cs="Times New Roman"/>
          <w:lang w:val="en-GB"/>
        </w:rPr>
        <w:t xml:space="preserve">s. </w:t>
      </w:r>
    </w:p>
    <w:p w14:paraId="1B3AE93D" w14:textId="3BF81FD7" w:rsidR="0046794C" w:rsidRPr="009B7ED1" w:rsidRDefault="00AB2981" w:rsidP="00533648">
      <w:pPr>
        <w:jc w:val="both"/>
        <w:rPr>
          <w:rFonts w:ascii="Times New Roman" w:hAnsi="Times New Roman" w:cs="Times New Roman"/>
          <w:lang w:val="en-GB"/>
        </w:rPr>
      </w:pPr>
      <w:r>
        <w:rPr>
          <w:rFonts w:ascii="Times New Roman" w:hAnsi="Times New Roman" w:cs="Times New Roman"/>
          <w:lang w:val="en-GB"/>
        </w:rPr>
        <w:t xml:space="preserve">Therefore, in accordance </w:t>
      </w:r>
      <w:r w:rsidR="00F65D76">
        <w:rPr>
          <w:rFonts w:ascii="Times New Roman" w:hAnsi="Times New Roman" w:cs="Times New Roman"/>
          <w:lang w:val="en-GB"/>
        </w:rPr>
        <w:t>with Article </w:t>
      </w:r>
      <w:r>
        <w:rPr>
          <w:rFonts w:ascii="Times New Roman" w:hAnsi="Times New Roman" w:cs="Times New Roman"/>
          <w:lang w:val="en-GB"/>
        </w:rPr>
        <w:t xml:space="preserve">14(1) and (2), the Court considers </w:t>
      </w:r>
      <w:r w:rsidR="0046794C" w:rsidRPr="009B7ED1">
        <w:rPr>
          <w:rFonts w:ascii="Times New Roman" w:hAnsi="Times New Roman" w:cs="Times New Roman"/>
          <w:lang w:val="en-GB"/>
        </w:rPr>
        <w:t>that the Parties have been given the opportunity to comment the challenge within a sufficient period of time</w:t>
      </w:r>
      <w:r>
        <w:rPr>
          <w:rFonts w:ascii="Times New Roman" w:hAnsi="Times New Roman" w:cs="Times New Roman"/>
          <w:lang w:val="en-GB"/>
        </w:rPr>
        <w:t xml:space="preserve"> and the challenge to be admissible</w:t>
      </w:r>
      <w:r w:rsidR="0046794C" w:rsidRPr="009B7ED1">
        <w:rPr>
          <w:rFonts w:ascii="Times New Roman" w:hAnsi="Times New Roman" w:cs="Times New Roman"/>
          <w:lang w:val="en-GB"/>
        </w:rPr>
        <w:t>.</w:t>
      </w:r>
    </w:p>
    <w:p w14:paraId="6749DF1E" w14:textId="77777777" w:rsidR="0046794C" w:rsidRPr="009B7ED1" w:rsidRDefault="0046794C" w:rsidP="00533648">
      <w:pPr>
        <w:jc w:val="both"/>
        <w:rPr>
          <w:rFonts w:ascii="Times New Roman" w:hAnsi="Times New Roman" w:cs="Times New Roman"/>
          <w:lang w:val="en-GB"/>
        </w:rPr>
      </w:pPr>
    </w:p>
    <w:p w14:paraId="3AF75CC7" w14:textId="7E702EA9" w:rsidR="00A71652" w:rsidRPr="00A71652" w:rsidRDefault="0046794C" w:rsidP="00533648">
      <w:pPr>
        <w:jc w:val="both"/>
        <w:rPr>
          <w:rFonts w:ascii="Times New Roman" w:hAnsi="Times New Roman" w:cs="Times New Roman"/>
          <w:lang w:val="en-GB"/>
        </w:rPr>
      </w:pPr>
      <w:r w:rsidRPr="009B7ED1">
        <w:rPr>
          <w:rFonts w:ascii="Times New Roman" w:hAnsi="Times New Roman" w:cs="Times New Roman"/>
          <w:lang w:val="en-GB"/>
        </w:rPr>
        <w:t xml:space="preserve">In </w:t>
      </w:r>
      <w:r w:rsidR="008D2D3D">
        <w:rPr>
          <w:rFonts w:ascii="Times New Roman" w:hAnsi="Times New Roman" w:cs="Times New Roman"/>
          <w:lang w:val="en-GB"/>
        </w:rPr>
        <w:t>accordance</w:t>
      </w:r>
      <w:r w:rsidR="00AB2981">
        <w:rPr>
          <w:rFonts w:ascii="Times New Roman" w:hAnsi="Times New Roman" w:cs="Times New Roman"/>
          <w:lang w:val="en-GB"/>
        </w:rPr>
        <w:t xml:space="preserve"> with </w:t>
      </w:r>
      <w:r w:rsidR="00A71652" w:rsidRPr="009B7ED1">
        <w:rPr>
          <w:rFonts w:ascii="Times New Roman" w:hAnsi="Times New Roman" w:cs="Times New Roman"/>
          <w:lang w:val="en-GB"/>
        </w:rPr>
        <w:t>Article 14 of the Rules, the Court will proceed now to the examination of the merits of the challenge</w:t>
      </w:r>
      <w:r w:rsidR="00A71652">
        <w:rPr>
          <w:rFonts w:ascii="Times New Roman" w:hAnsi="Times New Roman" w:cs="Times New Roman"/>
          <w:lang w:val="en-GB"/>
        </w:rPr>
        <w:t>. Under Article 14(1) of the Rules, a challenge may be brought “</w:t>
      </w:r>
      <w:r w:rsidR="00A71652" w:rsidRPr="00A71652">
        <w:rPr>
          <w:rFonts w:ascii="Times New Roman" w:hAnsi="Times New Roman" w:cs="Times New Roman"/>
          <w:i/>
          <w:lang w:val="en-GB"/>
        </w:rPr>
        <w:t>whether for an alleged lack of impartiality or independence, or otherwise</w:t>
      </w:r>
      <w:r w:rsidR="00A71652" w:rsidRPr="00A71652">
        <w:rPr>
          <w:rFonts w:ascii="Times New Roman" w:hAnsi="Times New Roman" w:cs="Times New Roman"/>
          <w:lang w:val="en-GB"/>
        </w:rPr>
        <w:t xml:space="preserve">”. </w:t>
      </w:r>
    </w:p>
    <w:p w14:paraId="18C63749" w14:textId="259407AE" w:rsidR="00A71652" w:rsidRDefault="00A71652" w:rsidP="00533648">
      <w:pPr>
        <w:jc w:val="both"/>
        <w:rPr>
          <w:rFonts w:ascii="Times New Roman" w:hAnsi="Times New Roman" w:cs="Times New Roman"/>
          <w:lang w:val="en-GB"/>
        </w:rPr>
      </w:pPr>
    </w:p>
    <w:p w14:paraId="2AAC2595" w14:textId="4419FA49" w:rsidR="00347479" w:rsidRDefault="00810E48" w:rsidP="00533648">
      <w:pPr>
        <w:jc w:val="both"/>
        <w:rPr>
          <w:rFonts w:ascii="Times New Roman" w:hAnsi="Times New Roman" w:cs="Times New Roman"/>
          <w:lang w:val="en-GB"/>
        </w:rPr>
      </w:pPr>
      <w:r>
        <w:rPr>
          <w:rFonts w:ascii="Times New Roman" w:hAnsi="Times New Roman" w:cs="Times New Roman"/>
          <w:lang w:val="en-GB"/>
        </w:rPr>
        <w:t>Indeed, a</w:t>
      </w:r>
      <w:r w:rsidR="00334602">
        <w:rPr>
          <w:rFonts w:ascii="Times New Roman" w:hAnsi="Times New Roman" w:cs="Times New Roman"/>
          <w:lang w:val="en-GB"/>
        </w:rPr>
        <w:t xml:space="preserve">ny close links with the Parties to the arbitral proceedings compromise an arbitrator’s independence and impartiality. Two distinct types of relationships can be established hereof. </w:t>
      </w:r>
    </w:p>
    <w:p w14:paraId="6163D5CF" w14:textId="214CF02A" w:rsidR="00347479" w:rsidRDefault="00347479" w:rsidP="00533648">
      <w:pPr>
        <w:jc w:val="both"/>
        <w:rPr>
          <w:rFonts w:ascii="Times New Roman" w:hAnsi="Times New Roman" w:cs="Times New Roman"/>
          <w:lang w:val="en-GB"/>
        </w:rPr>
      </w:pPr>
    </w:p>
    <w:p w14:paraId="10590565" w14:textId="0870C365" w:rsidR="00533648" w:rsidRDefault="0030620A" w:rsidP="00533648">
      <w:pPr>
        <w:jc w:val="both"/>
        <w:rPr>
          <w:rFonts w:ascii="Times New Roman" w:hAnsi="Times New Roman" w:cs="Times New Roman"/>
          <w:lang w:val="en-GB"/>
        </w:rPr>
      </w:pPr>
      <w:r>
        <w:rPr>
          <w:rFonts w:ascii="Times New Roman" w:hAnsi="Times New Roman" w:cs="Times New Roman"/>
          <w:lang w:val="en-GB"/>
        </w:rPr>
        <w:t xml:space="preserve">Firstly, </w:t>
      </w:r>
      <w:r w:rsidR="00EE7AC4">
        <w:rPr>
          <w:rFonts w:ascii="Times New Roman" w:hAnsi="Times New Roman" w:cs="Times New Roman"/>
          <w:lang w:val="en-GB"/>
        </w:rPr>
        <w:t>Claimants highlights prior relat</w:t>
      </w:r>
      <w:r w:rsidR="00F645C5">
        <w:rPr>
          <w:rFonts w:ascii="Times New Roman" w:hAnsi="Times New Roman" w:cs="Times New Roman"/>
          <w:lang w:val="en-GB"/>
        </w:rPr>
        <w:t xml:space="preserve">ionships between the arbitrator and a Party, as </w:t>
      </w:r>
      <w:proofErr w:type="spellStart"/>
      <w:r w:rsidR="00F645C5">
        <w:rPr>
          <w:rFonts w:ascii="Times New Roman" w:hAnsi="Times New Roman" w:cs="Times New Roman"/>
          <w:lang w:val="en-GB"/>
        </w:rPr>
        <w:t>Mr.</w:t>
      </w:r>
      <w:proofErr w:type="spellEnd"/>
      <w:r w:rsidR="00F645C5">
        <w:rPr>
          <w:rFonts w:ascii="Times New Roman" w:hAnsi="Times New Roman" w:cs="Times New Roman"/>
          <w:lang w:val="en-GB"/>
        </w:rPr>
        <w:t xml:space="preserve"> Antares, the sole arbitrator, and </w:t>
      </w:r>
      <w:proofErr w:type="spellStart"/>
      <w:r w:rsidR="00F645C5">
        <w:rPr>
          <w:rFonts w:ascii="Times New Roman" w:hAnsi="Times New Roman" w:cs="Times New Roman"/>
          <w:lang w:val="en-GB"/>
        </w:rPr>
        <w:t>Mr.</w:t>
      </w:r>
      <w:proofErr w:type="spellEnd"/>
      <w:r w:rsidR="00F645C5">
        <w:rPr>
          <w:rFonts w:ascii="Times New Roman" w:hAnsi="Times New Roman" w:cs="Times New Roman"/>
          <w:lang w:val="en-GB"/>
        </w:rPr>
        <w:t xml:space="preserve"> Polaris, the Respondent’s Council, “</w:t>
      </w:r>
      <w:r w:rsidR="00F645C5" w:rsidRPr="00810E48">
        <w:rPr>
          <w:rFonts w:ascii="Times New Roman" w:hAnsi="Times New Roman" w:cs="Times New Roman"/>
          <w:i/>
          <w:lang w:val="en-GB"/>
        </w:rPr>
        <w:t>were j</w:t>
      </w:r>
      <w:r w:rsidR="00533648">
        <w:rPr>
          <w:rFonts w:ascii="Times New Roman" w:hAnsi="Times New Roman" w:cs="Times New Roman"/>
          <w:i/>
          <w:lang w:val="en-GB"/>
        </w:rPr>
        <w:t>oint legal advisers to Claimant </w:t>
      </w:r>
      <w:r w:rsidR="00F645C5" w:rsidRPr="00810E48">
        <w:rPr>
          <w:rFonts w:ascii="Times New Roman" w:hAnsi="Times New Roman" w:cs="Times New Roman"/>
          <w:i/>
          <w:lang w:val="en-GB"/>
        </w:rPr>
        <w:t>2 before a national court</w:t>
      </w:r>
      <w:r w:rsidR="00F645C5">
        <w:rPr>
          <w:rFonts w:ascii="Times New Roman" w:hAnsi="Times New Roman" w:cs="Times New Roman"/>
          <w:lang w:val="en-GB"/>
        </w:rPr>
        <w:t xml:space="preserve">”. </w:t>
      </w:r>
    </w:p>
    <w:p w14:paraId="33A3A55A" w14:textId="41B47A8F" w:rsidR="00810E48" w:rsidRDefault="0030620A" w:rsidP="00533648">
      <w:pPr>
        <w:jc w:val="both"/>
        <w:rPr>
          <w:rFonts w:ascii="Times New Roman" w:hAnsi="Times New Roman" w:cs="Times New Roman"/>
          <w:lang w:val="en-GB"/>
        </w:rPr>
      </w:pPr>
      <w:proofErr w:type="spellStart"/>
      <w:r>
        <w:rPr>
          <w:rFonts w:ascii="Times New Roman" w:hAnsi="Times New Roman" w:cs="Times New Roman"/>
          <w:lang w:val="en-GB"/>
        </w:rPr>
        <w:t>Mr.</w:t>
      </w:r>
      <w:proofErr w:type="spellEnd"/>
      <w:r>
        <w:rPr>
          <w:rFonts w:ascii="Times New Roman" w:hAnsi="Times New Roman" w:cs="Times New Roman"/>
          <w:lang w:val="en-GB"/>
        </w:rPr>
        <w:t xml:space="preserve"> Antares states that</w:t>
      </w:r>
      <w:r w:rsidR="00F645C5">
        <w:rPr>
          <w:rFonts w:ascii="Times New Roman" w:hAnsi="Times New Roman" w:cs="Times New Roman"/>
          <w:lang w:val="en-GB"/>
        </w:rPr>
        <w:t xml:space="preserve"> his involvement in </w:t>
      </w:r>
      <w:r>
        <w:rPr>
          <w:rFonts w:ascii="Times New Roman" w:hAnsi="Times New Roman" w:cs="Times New Roman"/>
          <w:lang w:val="en-GB"/>
        </w:rPr>
        <w:t>the Case involving Claimant 2</w:t>
      </w:r>
      <w:r w:rsidR="00F645C5">
        <w:rPr>
          <w:rFonts w:ascii="Times New Roman" w:hAnsi="Times New Roman" w:cs="Times New Roman"/>
          <w:lang w:val="en-GB"/>
        </w:rPr>
        <w:t xml:space="preserve"> </w:t>
      </w:r>
      <w:r w:rsidR="00BC0E96">
        <w:rPr>
          <w:rFonts w:ascii="Times New Roman" w:hAnsi="Times New Roman" w:cs="Times New Roman"/>
          <w:lang w:val="en-GB"/>
        </w:rPr>
        <w:t>“</w:t>
      </w:r>
      <w:r w:rsidR="00BC0E96" w:rsidRPr="00810E48">
        <w:rPr>
          <w:rFonts w:ascii="Times New Roman" w:hAnsi="Times New Roman" w:cs="Times New Roman"/>
          <w:i/>
          <w:lang w:val="en-GB"/>
        </w:rPr>
        <w:t xml:space="preserve">was limited to </w:t>
      </w:r>
      <w:r w:rsidR="00BC0E96" w:rsidRPr="0030620A">
        <w:rPr>
          <w:rFonts w:ascii="Times New Roman" w:hAnsi="Times New Roman" w:cs="Times New Roman"/>
          <w:i/>
          <w:lang w:val="en-GB"/>
        </w:rPr>
        <w:t>the drafting</w:t>
      </w:r>
      <w:r w:rsidR="00BC0E96" w:rsidRPr="00533648">
        <w:rPr>
          <w:rFonts w:ascii="Times New Roman" w:hAnsi="Times New Roman" w:cs="Times New Roman"/>
          <w:lang w:val="en-GB"/>
        </w:rPr>
        <w:t xml:space="preserve"> </w:t>
      </w:r>
      <w:r w:rsidR="00BC0E96" w:rsidRPr="0030620A">
        <w:rPr>
          <w:rFonts w:ascii="Times New Roman" w:hAnsi="Times New Roman" w:cs="Times New Roman"/>
          <w:i/>
          <w:lang w:val="en-GB"/>
        </w:rPr>
        <w:t>of a legal opinion regarding the annulment proceedings</w:t>
      </w:r>
      <w:r w:rsidR="00BC0E96">
        <w:rPr>
          <w:rFonts w:ascii="Times New Roman" w:hAnsi="Times New Roman" w:cs="Times New Roman"/>
          <w:lang w:val="en-GB"/>
        </w:rPr>
        <w:t xml:space="preserve">”. Therefore, it seems that the relationship between the arbitrator and Claimant 2 is not of a nature to impact its independence and impartiality. </w:t>
      </w:r>
    </w:p>
    <w:p w14:paraId="47C5B82A" w14:textId="77777777" w:rsidR="0030620A" w:rsidRDefault="0030620A" w:rsidP="00533648">
      <w:pPr>
        <w:jc w:val="both"/>
        <w:rPr>
          <w:rFonts w:ascii="Times New Roman" w:hAnsi="Times New Roman" w:cs="Times New Roman"/>
          <w:lang w:val="en-GB"/>
        </w:rPr>
      </w:pPr>
    </w:p>
    <w:p w14:paraId="498DCF0A" w14:textId="3F28414C" w:rsidR="00533648" w:rsidRDefault="0030620A" w:rsidP="00533648">
      <w:pPr>
        <w:jc w:val="both"/>
        <w:rPr>
          <w:rFonts w:ascii="Times New Roman" w:hAnsi="Times New Roman" w:cs="Times New Roman"/>
          <w:lang w:val="en-GB"/>
        </w:rPr>
      </w:pPr>
      <w:r>
        <w:rPr>
          <w:rFonts w:ascii="Times New Roman" w:hAnsi="Times New Roman" w:cs="Times New Roman"/>
          <w:lang w:val="en-GB"/>
        </w:rPr>
        <w:t xml:space="preserve">Secondly, Claimants point out relationships between the arbitrator and a Party’s Counsel. Indeed, </w:t>
      </w:r>
      <w:proofErr w:type="spellStart"/>
      <w:r>
        <w:rPr>
          <w:rFonts w:ascii="Times New Roman" w:hAnsi="Times New Roman" w:cs="Times New Roman"/>
          <w:lang w:val="en-GB"/>
        </w:rPr>
        <w:t>Mr.</w:t>
      </w:r>
      <w:proofErr w:type="spellEnd"/>
      <w:r>
        <w:rPr>
          <w:rFonts w:ascii="Times New Roman" w:hAnsi="Times New Roman" w:cs="Times New Roman"/>
          <w:lang w:val="en-GB"/>
        </w:rPr>
        <w:t xml:space="preserve"> Antares and </w:t>
      </w:r>
      <w:proofErr w:type="spellStart"/>
      <w:r>
        <w:rPr>
          <w:rFonts w:ascii="Times New Roman" w:hAnsi="Times New Roman" w:cs="Times New Roman"/>
          <w:lang w:val="en-GB"/>
        </w:rPr>
        <w:t>Mr.</w:t>
      </w:r>
      <w:proofErr w:type="spellEnd"/>
      <w:r>
        <w:rPr>
          <w:rFonts w:ascii="Times New Roman" w:hAnsi="Times New Roman" w:cs="Times New Roman"/>
          <w:lang w:val="en-GB"/>
        </w:rPr>
        <w:t xml:space="preserve"> Polaris “</w:t>
      </w:r>
      <w:r w:rsidRPr="00F65D76">
        <w:rPr>
          <w:rFonts w:ascii="Times New Roman" w:hAnsi="Times New Roman" w:cs="Times New Roman"/>
          <w:i/>
          <w:lang w:val="en-GB"/>
        </w:rPr>
        <w:t>have previously acted as co-counsel in three arbitrations</w:t>
      </w:r>
      <w:r>
        <w:rPr>
          <w:rFonts w:ascii="Times New Roman" w:hAnsi="Times New Roman" w:cs="Times New Roman"/>
          <w:lang w:val="en-GB"/>
        </w:rPr>
        <w:t>”, and, “</w:t>
      </w:r>
      <w:r w:rsidRPr="00810E48">
        <w:rPr>
          <w:rFonts w:ascii="Times New Roman" w:hAnsi="Times New Roman" w:cs="Times New Roman"/>
          <w:i/>
          <w:lang w:val="en-GB"/>
        </w:rPr>
        <w:t>in between 2009 and 2011</w:t>
      </w:r>
      <w:r>
        <w:rPr>
          <w:rFonts w:ascii="Times New Roman" w:hAnsi="Times New Roman" w:cs="Times New Roman"/>
          <w:lang w:val="en-GB"/>
        </w:rPr>
        <w:t>” they “</w:t>
      </w:r>
      <w:r w:rsidRPr="0030620A">
        <w:rPr>
          <w:rFonts w:ascii="Times New Roman" w:hAnsi="Times New Roman" w:cs="Times New Roman"/>
          <w:i/>
          <w:lang w:val="en-GB"/>
        </w:rPr>
        <w:t>jointly represented</w:t>
      </w:r>
      <w:r>
        <w:rPr>
          <w:rFonts w:ascii="Times New Roman" w:hAnsi="Times New Roman" w:cs="Times New Roman"/>
          <w:lang w:val="en-GB"/>
        </w:rPr>
        <w:t>” two parties in litigation proceedings.</w:t>
      </w:r>
    </w:p>
    <w:p w14:paraId="523F2640" w14:textId="604C8AD2" w:rsidR="00A511BE" w:rsidRDefault="00BC0E96" w:rsidP="00533648">
      <w:pPr>
        <w:jc w:val="both"/>
        <w:rPr>
          <w:rFonts w:ascii="Times New Roman" w:hAnsi="Times New Roman" w:cs="Times New Roman"/>
          <w:lang w:val="en-GB"/>
        </w:rPr>
      </w:pPr>
      <w:r>
        <w:rPr>
          <w:rFonts w:ascii="Times New Roman" w:hAnsi="Times New Roman" w:cs="Times New Roman"/>
          <w:lang w:val="en-GB"/>
        </w:rPr>
        <w:t xml:space="preserve">Furthermore, as stated by Respondent, </w:t>
      </w:r>
      <w:r w:rsidR="00186835">
        <w:rPr>
          <w:rFonts w:ascii="Times New Roman" w:hAnsi="Times New Roman" w:cs="Times New Roman"/>
          <w:lang w:val="en-GB"/>
        </w:rPr>
        <w:t>“</w:t>
      </w:r>
      <w:r w:rsidR="00186835" w:rsidRPr="0030620A">
        <w:rPr>
          <w:rFonts w:ascii="Times New Roman" w:hAnsi="Times New Roman" w:cs="Times New Roman"/>
          <w:i/>
          <w:lang w:val="en-GB"/>
        </w:rPr>
        <w:t>all proceedings</w:t>
      </w:r>
      <w:r w:rsidR="00186835">
        <w:rPr>
          <w:rFonts w:ascii="Times New Roman" w:hAnsi="Times New Roman" w:cs="Times New Roman"/>
          <w:lang w:val="en-GB"/>
        </w:rPr>
        <w:t>” where they acted together “</w:t>
      </w:r>
      <w:r w:rsidR="00186835" w:rsidRPr="00776978">
        <w:rPr>
          <w:rFonts w:ascii="Times New Roman" w:hAnsi="Times New Roman" w:cs="Times New Roman"/>
          <w:i/>
          <w:lang w:val="en-GB"/>
        </w:rPr>
        <w:t>ended a long time ago</w:t>
      </w:r>
      <w:r w:rsidR="00533648" w:rsidRPr="00776978">
        <w:rPr>
          <w:rFonts w:ascii="Times New Roman" w:hAnsi="Times New Roman" w:cs="Times New Roman"/>
          <w:i/>
          <w:lang w:val="en-GB"/>
        </w:rPr>
        <w:t xml:space="preserve"> with the exception of one that ended in April 2011</w:t>
      </w:r>
      <w:r w:rsidR="00186835">
        <w:rPr>
          <w:rFonts w:ascii="Times New Roman" w:hAnsi="Times New Roman" w:cs="Times New Roman"/>
          <w:lang w:val="en-GB"/>
        </w:rPr>
        <w:t>”</w:t>
      </w:r>
      <w:r w:rsidR="00533648">
        <w:rPr>
          <w:rFonts w:ascii="Times New Roman" w:hAnsi="Times New Roman" w:cs="Times New Roman"/>
          <w:lang w:val="en-GB"/>
        </w:rPr>
        <w:t>,</w:t>
      </w:r>
      <w:r w:rsidR="00186835">
        <w:rPr>
          <w:rFonts w:ascii="Times New Roman" w:hAnsi="Times New Roman" w:cs="Times New Roman"/>
          <w:lang w:val="en-GB"/>
        </w:rPr>
        <w:t xml:space="preserve"> and</w:t>
      </w:r>
      <w:r w:rsidR="00533648">
        <w:rPr>
          <w:rFonts w:ascii="Times New Roman" w:hAnsi="Times New Roman" w:cs="Times New Roman"/>
          <w:lang w:val="en-GB"/>
        </w:rPr>
        <w:t>,</w:t>
      </w:r>
      <w:r w:rsidR="00186835">
        <w:rPr>
          <w:rFonts w:ascii="Times New Roman" w:hAnsi="Times New Roman" w:cs="Times New Roman"/>
          <w:lang w:val="en-GB"/>
        </w:rPr>
        <w:t xml:space="preserve"> </w:t>
      </w:r>
      <w:r>
        <w:rPr>
          <w:rFonts w:ascii="Times New Roman" w:hAnsi="Times New Roman" w:cs="Times New Roman"/>
          <w:lang w:val="en-GB"/>
        </w:rPr>
        <w:t>“</w:t>
      </w:r>
      <w:proofErr w:type="spellStart"/>
      <w:r w:rsidRPr="00776978">
        <w:rPr>
          <w:rFonts w:ascii="Times New Roman" w:hAnsi="Times New Roman" w:cs="Times New Roman"/>
          <w:i/>
          <w:lang w:val="en-GB"/>
        </w:rPr>
        <w:t>Mr.</w:t>
      </w:r>
      <w:proofErr w:type="spellEnd"/>
      <w:r w:rsidRPr="00776978">
        <w:rPr>
          <w:rFonts w:ascii="Times New Roman" w:hAnsi="Times New Roman" w:cs="Times New Roman"/>
          <w:i/>
          <w:lang w:val="en-GB"/>
        </w:rPr>
        <w:t xml:space="preserve"> Antares and </w:t>
      </w:r>
      <w:proofErr w:type="spellStart"/>
      <w:r w:rsidRPr="00776978">
        <w:rPr>
          <w:rFonts w:ascii="Times New Roman" w:hAnsi="Times New Roman" w:cs="Times New Roman"/>
          <w:i/>
          <w:lang w:val="en-GB"/>
        </w:rPr>
        <w:t>Mr.</w:t>
      </w:r>
      <w:proofErr w:type="spellEnd"/>
      <w:r w:rsidRPr="00776978">
        <w:rPr>
          <w:rFonts w:ascii="Times New Roman" w:hAnsi="Times New Roman" w:cs="Times New Roman"/>
          <w:i/>
          <w:lang w:val="en-GB"/>
        </w:rPr>
        <w:t xml:space="preserve"> Polaris </w:t>
      </w:r>
      <w:r w:rsidR="00533648" w:rsidRPr="00776978">
        <w:rPr>
          <w:rFonts w:ascii="Times New Roman" w:hAnsi="Times New Roman" w:cs="Times New Roman"/>
          <w:i/>
          <w:lang w:val="en-GB"/>
        </w:rPr>
        <w:t>charged their fees separately</w:t>
      </w:r>
      <w:r w:rsidR="00533648">
        <w:rPr>
          <w:rFonts w:ascii="Times New Roman" w:hAnsi="Times New Roman" w:cs="Times New Roman"/>
          <w:lang w:val="en-GB"/>
        </w:rPr>
        <w:t xml:space="preserve">”, which </w:t>
      </w:r>
      <w:proofErr w:type="spellStart"/>
      <w:r w:rsidR="00810E48">
        <w:rPr>
          <w:rFonts w:ascii="Times New Roman" w:hAnsi="Times New Roman" w:cs="Times New Roman"/>
          <w:lang w:val="en-GB"/>
        </w:rPr>
        <w:t>Mr.</w:t>
      </w:r>
      <w:proofErr w:type="spellEnd"/>
      <w:r w:rsidR="00810E48">
        <w:rPr>
          <w:rFonts w:ascii="Times New Roman" w:hAnsi="Times New Roman" w:cs="Times New Roman"/>
          <w:lang w:val="en-GB"/>
        </w:rPr>
        <w:t xml:space="preserve"> Antares confirmed only as far as it concerned the last case.</w:t>
      </w:r>
    </w:p>
    <w:p w14:paraId="75CECFC4" w14:textId="532B9206" w:rsidR="00BB11CD" w:rsidRDefault="00A511BE" w:rsidP="00533648">
      <w:pPr>
        <w:jc w:val="both"/>
        <w:rPr>
          <w:rFonts w:ascii="Times New Roman" w:hAnsi="Times New Roman" w:cs="Times New Roman"/>
          <w:lang w:val="en-GB"/>
        </w:rPr>
      </w:pPr>
      <w:r>
        <w:rPr>
          <w:rFonts w:ascii="Times New Roman" w:hAnsi="Times New Roman" w:cs="Times New Roman"/>
          <w:lang w:val="en-GB"/>
        </w:rPr>
        <w:t>Therefore,</w:t>
      </w:r>
      <w:r w:rsidR="00186835">
        <w:rPr>
          <w:rFonts w:ascii="Times New Roman" w:hAnsi="Times New Roman" w:cs="Times New Roman"/>
          <w:lang w:val="en-GB"/>
        </w:rPr>
        <w:t xml:space="preserve"> if the relationship </w:t>
      </w:r>
      <w:r w:rsidR="00533648">
        <w:rPr>
          <w:rFonts w:ascii="Times New Roman" w:hAnsi="Times New Roman" w:cs="Times New Roman"/>
          <w:lang w:val="en-GB"/>
        </w:rPr>
        <w:t xml:space="preserve">between </w:t>
      </w:r>
      <w:proofErr w:type="spellStart"/>
      <w:r w:rsidR="00186835">
        <w:rPr>
          <w:rFonts w:ascii="Times New Roman" w:hAnsi="Times New Roman" w:cs="Times New Roman"/>
          <w:lang w:val="en-GB"/>
        </w:rPr>
        <w:t>Mr.</w:t>
      </w:r>
      <w:proofErr w:type="spellEnd"/>
      <w:r w:rsidR="00186835">
        <w:rPr>
          <w:rFonts w:ascii="Times New Roman" w:hAnsi="Times New Roman" w:cs="Times New Roman"/>
          <w:lang w:val="en-GB"/>
        </w:rPr>
        <w:t xml:space="preserve"> Antares and </w:t>
      </w:r>
      <w:proofErr w:type="spellStart"/>
      <w:r w:rsidR="00186835">
        <w:rPr>
          <w:rFonts w:ascii="Times New Roman" w:hAnsi="Times New Roman" w:cs="Times New Roman"/>
          <w:lang w:val="en-GB"/>
        </w:rPr>
        <w:t>Mr.</w:t>
      </w:r>
      <w:proofErr w:type="spellEnd"/>
      <w:r w:rsidR="00186835">
        <w:rPr>
          <w:rFonts w:ascii="Times New Roman" w:hAnsi="Times New Roman" w:cs="Times New Roman"/>
          <w:lang w:val="en-GB"/>
        </w:rPr>
        <w:t xml:space="preserve"> P</w:t>
      </w:r>
      <w:r>
        <w:rPr>
          <w:rFonts w:ascii="Times New Roman" w:hAnsi="Times New Roman" w:cs="Times New Roman"/>
          <w:lang w:val="en-GB"/>
        </w:rPr>
        <w:t xml:space="preserve">olaris cannot be qualified as </w:t>
      </w:r>
      <w:r w:rsidR="00186835">
        <w:rPr>
          <w:rFonts w:ascii="Times New Roman" w:hAnsi="Times New Roman" w:cs="Times New Roman"/>
          <w:lang w:val="en-GB"/>
        </w:rPr>
        <w:t xml:space="preserve">commerce stream </w:t>
      </w:r>
      <w:r w:rsidR="00186835" w:rsidRPr="00A511BE">
        <w:rPr>
          <w:rFonts w:ascii="Times New Roman" w:hAnsi="Times New Roman" w:cs="Times New Roman"/>
          <w:i/>
          <w:lang w:val="en-GB"/>
        </w:rPr>
        <w:t>per se</w:t>
      </w:r>
      <w:r w:rsidR="00347479">
        <w:rPr>
          <w:rFonts w:ascii="Times New Roman" w:hAnsi="Times New Roman" w:cs="Times New Roman"/>
          <w:lang w:val="en-GB"/>
        </w:rPr>
        <w:t xml:space="preserve">, the adjunction </w:t>
      </w:r>
      <w:r w:rsidR="00810E48">
        <w:rPr>
          <w:rFonts w:ascii="Times New Roman" w:hAnsi="Times New Roman" w:cs="Times New Roman"/>
          <w:lang w:val="en-GB"/>
        </w:rPr>
        <w:t xml:space="preserve">of </w:t>
      </w:r>
      <w:r w:rsidR="00533648">
        <w:rPr>
          <w:rFonts w:ascii="Times New Roman" w:hAnsi="Times New Roman" w:cs="Times New Roman"/>
          <w:lang w:val="en-GB"/>
        </w:rPr>
        <w:t>“</w:t>
      </w:r>
      <w:proofErr w:type="spellStart"/>
      <w:r w:rsidR="00186835" w:rsidRPr="00533648">
        <w:rPr>
          <w:rFonts w:ascii="Times New Roman" w:hAnsi="Times New Roman" w:cs="Times New Roman"/>
          <w:i/>
          <w:lang w:val="en-GB"/>
        </w:rPr>
        <w:t>Mr.</w:t>
      </w:r>
      <w:proofErr w:type="spellEnd"/>
      <w:r w:rsidR="00186835" w:rsidRPr="00533648">
        <w:rPr>
          <w:rFonts w:ascii="Times New Roman" w:hAnsi="Times New Roman" w:cs="Times New Roman"/>
          <w:i/>
          <w:lang w:val="en-GB"/>
        </w:rPr>
        <w:t xml:space="preserve"> Antares’ failure to disclose his participatio</w:t>
      </w:r>
      <w:r w:rsidR="00347479" w:rsidRPr="00533648">
        <w:rPr>
          <w:rFonts w:ascii="Times New Roman" w:hAnsi="Times New Roman" w:cs="Times New Roman"/>
          <w:i/>
          <w:lang w:val="en-GB"/>
        </w:rPr>
        <w:t>n</w:t>
      </w:r>
      <w:r w:rsidR="00533648">
        <w:rPr>
          <w:rFonts w:ascii="Times New Roman" w:hAnsi="Times New Roman" w:cs="Times New Roman"/>
          <w:lang w:val="en-GB"/>
        </w:rPr>
        <w:t>”</w:t>
      </w:r>
      <w:r w:rsidR="00347479">
        <w:rPr>
          <w:rFonts w:ascii="Times New Roman" w:hAnsi="Times New Roman" w:cs="Times New Roman"/>
          <w:lang w:val="en-GB"/>
        </w:rPr>
        <w:t xml:space="preserve"> in the above mentioned cases makes it “</w:t>
      </w:r>
      <w:r w:rsidR="00186835" w:rsidRPr="00A511BE">
        <w:rPr>
          <w:rFonts w:ascii="Times New Roman" w:hAnsi="Times New Roman" w:cs="Times New Roman"/>
          <w:i/>
          <w:lang w:val="en-GB"/>
        </w:rPr>
        <w:t>sufficient to give rise</w:t>
      </w:r>
      <w:r>
        <w:rPr>
          <w:rFonts w:ascii="Times New Roman" w:hAnsi="Times New Roman" w:cs="Times New Roman"/>
          <w:lang w:val="en-GB"/>
        </w:rPr>
        <w:t>” in the Claimants’ spirit</w:t>
      </w:r>
      <w:r w:rsidR="00186835" w:rsidRPr="00A511BE">
        <w:rPr>
          <w:rFonts w:ascii="Times New Roman" w:hAnsi="Times New Roman" w:cs="Times New Roman"/>
          <w:i/>
          <w:lang w:val="en-GB"/>
        </w:rPr>
        <w:t xml:space="preserve"> </w:t>
      </w:r>
      <w:r>
        <w:rPr>
          <w:rFonts w:ascii="Times New Roman" w:hAnsi="Times New Roman" w:cs="Times New Roman"/>
          <w:lang w:val="en-GB"/>
        </w:rPr>
        <w:t>“</w:t>
      </w:r>
      <w:r w:rsidR="00186835" w:rsidRPr="00A511BE">
        <w:rPr>
          <w:rFonts w:ascii="Times New Roman" w:hAnsi="Times New Roman" w:cs="Times New Roman"/>
          <w:i/>
          <w:lang w:val="en-GB"/>
        </w:rPr>
        <w:t>to justifiable doubts</w:t>
      </w:r>
      <w:r w:rsidR="00186835">
        <w:rPr>
          <w:rFonts w:ascii="Times New Roman" w:hAnsi="Times New Roman" w:cs="Times New Roman"/>
          <w:lang w:val="en-GB"/>
        </w:rPr>
        <w:t xml:space="preserve">” as </w:t>
      </w:r>
      <w:r>
        <w:rPr>
          <w:rFonts w:ascii="Times New Roman" w:hAnsi="Times New Roman" w:cs="Times New Roman"/>
          <w:lang w:val="en-GB"/>
        </w:rPr>
        <w:t xml:space="preserve">with regards to </w:t>
      </w:r>
      <w:r w:rsidR="00186835">
        <w:rPr>
          <w:rFonts w:ascii="Times New Roman" w:hAnsi="Times New Roman" w:cs="Times New Roman"/>
          <w:lang w:val="en-GB"/>
        </w:rPr>
        <w:t xml:space="preserve">his impartiality and independence. </w:t>
      </w:r>
    </w:p>
    <w:p w14:paraId="058B7C48" w14:textId="77777777" w:rsidR="00533648" w:rsidRDefault="00533648" w:rsidP="00533648">
      <w:pPr>
        <w:jc w:val="both"/>
        <w:rPr>
          <w:rFonts w:ascii="Times New Roman" w:hAnsi="Times New Roman" w:cs="Times New Roman"/>
          <w:lang w:val="en-GB"/>
        </w:rPr>
      </w:pPr>
    </w:p>
    <w:p w14:paraId="6F03E08B" w14:textId="470BA07D" w:rsidR="00186835" w:rsidRDefault="00186835" w:rsidP="00533648">
      <w:pPr>
        <w:jc w:val="both"/>
        <w:rPr>
          <w:rFonts w:ascii="Times New Roman" w:hAnsi="Times New Roman" w:cs="Times New Roman"/>
          <w:lang w:val="en-GB"/>
        </w:rPr>
      </w:pPr>
      <w:r>
        <w:rPr>
          <w:rFonts w:ascii="Times New Roman" w:hAnsi="Times New Roman" w:cs="Times New Roman"/>
          <w:lang w:val="en-GB"/>
        </w:rPr>
        <w:t>Th</w:t>
      </w:r>
      <w:r w:rsidR="0030620A">
        <w:rPr>
          <w:rFonts w:ascii="Times New Roman" w:hAnsi="Times New Roman" w:cs="Times New Roman"/>
          <w:lang w:val="en-GB"/>
        </w:rPr>
        <w:t>us, th</w:t>
      </w:r>
      <w:r>
        <w:rPr>
          <w:rFonts w:ascii="Times New Roman" w:hAnsi="Times New Roman" w:cs="Times New Roman"/>
          <w:lang w:val="en-GB"/>
        </w:rPr>
        <w:t>e</w:t>
      </w:r>
      <w:r w:rsidR="0030620A">
        <w:rPr>
          <w:rFonts w:ascii="Times New Roman" w:hAnsi="Times New Roman" w:cs="Times New Roman"/>
          <w:lang w:val="en-GB"/>
        </w:rPr>
        <w:t xml:space="preserve"> Court accepts the challenge and</w:t>
      </w:r>
      <w:r>
        <w:rPr>
          <w:rFonts w:ascii="Times New Roman" w:hAnsi="Times New Roman" w:cs="Times New Roman"/>
          <w:lang w:val="en-GB"/>
        </w:rPr>
        <w:t xml:space="preserve"> refers the Parties to Article 15 of the Rules for the replacement of the said arbitrator</w:t>
      </w:r>
      <w:r w:rsidR="0030620A">
        <w:rPr>
          <w:rFonts w:ascii="Times New Roman" w:hAnsi="Times New Roman" w:cs="Times New Roman"/>
          <w:lang w:val="en-GB"/>
        </w:rPr>
        <w:t>. The Court also</w:t>
      </w:r>
      <w:r w:rsidR="0001699A">
        <w:rPr>
          <w:rFonts w:ascii="Times New Roman" w:hAnsi="Times New Roman" w:cs="Times New Roman"/>
          <w:lang w:val="en-GB"/>
        </w:rPr>
        <w:t xml:space="preserve"> reminds the Parties of the necessity </w:t>
      </w:r>
      <w:r w:rsidR="0001699A" w:rsidRPr="009B7ED1">
        <w:rPr>
          <w:rFonts w:ascii="Times New Roman" w:hAnsi="Times New Roman" w:cs="Times New Roman"/>
          <w:lang w:val="en-GB"/>
        </w:rPr>
        <w:t>to conduct the arbitration in an expeditious and cost-effective manner</w:t>
      </w:r>
      <w:r>
        <w:rPr>
          <w:rFonts w:ascii="Times New Roman" w:hAnsi="Times New Roman" w:cs="Times New Roman"/>
          <w:lang w:val="en-GB"/>
        </w:rPr>
        <w:t xml:space="preserve">. </w:t>
      </w:r>
    </w:p>
    <w:p w14:paraId="606ED2A9" w14:textId="77777777" w:rsidR="008F0F3B" w:rsidRDefault="008F0F3B">
      <w:pPr>
        <w:rPr>
          <w:rFonts w:ascii="Times New Roman" w:hAnsi="Times New Roman" w:cs="Times New Roman"/>
          <w:lang w:val="en-GB"/>
        </w:rPr>
      </w:pPr>
    </w:p>
    <w:p w14:paraId="574B96A7" w14:textId="7FD9B1A0" w:rsidR="00AB2981" w:rsidRDefault="0030620A">
      <w:pPr>
        <w:rPr>
          <w:rFonts w:ascii="Times New Roman" w:hAnsi="Times New Roman" w:cs="Times New Roman"/>
          <w:lang w:val="en-GB"/>
        </w:rPr>
      </w:pPr>
      <w:r>
        <w:rPr>
          <w:rFonts w:ascii="Times New Roman" w:hAnsi="Times New Roman" w:cs="Times New Roman"/>
          <w:lang w:val="en-GB"/>
        </w:rPr>
        <w:t xml:space="preserve">Yours faithfully, </w:t>
      </w:r>
    </w:p>
    <w:p w14:paraId="0DF69A9C" w14:textId="5A26A1A0" w:rsidR="00776978" w:rsidRDefault="00B356E6">
      <w:pPr>
        <w:rPr>
          <w:rFonts w:ascii="Times New Roman" w:hAnsi="Times New Roman" w:cs="Times New Roman"/>
          <w:lang w:val="en-GB"/>
        </w:rPr>
      </w:pPr>
      <w:r>
        <w:rPr>
          <w:rFonts w:ascii="Times New Roman" w:hAnsi="Times New Roman" w:cs="Times New Roman"/>
          <w:lang w:val="en-GB"/>
        </w:rPr>
        <w:t>The International Court of Arbitration of the ICC (“</w:t>
      </w:r>
      <w:r w:rsidRPr="005C05D5">
        <w:rPr>
          <w:rFonts w:ascii="Times New Roman" w:hAnsi="Times New Roman" w:cs="Times New Roman"/>
          <w:b/>
          <w:lang w:val="en-GB"/>
        </w:rPr>
        <w:t>the Court</w:t>
      </w:r>
      <w:r>
        <w:rPr>
          <w:rFonts w:ascii="Times New Roman" w:hAnsi="Times New Roman" w:cs="Times New Roman"/>
          <w:lang w:val="en-GB"/>
        </w:rPr>
        <w:t>”) acknowledges receipt of Company (“</w:t>
      </w:r>
      <w:r w:rsidRPr="00B356E6">
        <w:rPr>
          <w:rFonts w:ascii="Times New Roman" w:hAnsi="Times New Roman" w:cs="Times New Roman"/>
          <w:b/>
          <w:lang w:val="en-GB"/>
        </w:rPr>
        <w:t>the Claimant</w:t>
      </w:r>
      <w:r>
        <w:rPr>
          <w:rFonts w:ascii="Times New Roman" w:hAnsi="Times New Roman" w:cs="Times New Roman"/>
          <w:lang w:val="en-GB"/>
        </w:rPr>
        <w:t>”) and State-Owned entity (“</w:t>
      </w:r>
      <w:r w:rsidRPr="00B356E6">
        <w:rPr>
          <w:rFonts w:ascii="Times New Roman" w:hAnsi="Times New Roman" w:cs="Times New Roman"/>
          <w:b/>
          <w:lang w:val="en-GB"/>
        </w:rPr>
        <w:t>the Respondent</w:t>
      </w:r>
      <w:r>
        <w:rPr>
          <w:rFonts w:ascii="Times New Roman" w:hAnsi="Times New Roman" w:cs="Times New Roman"/>
          <w:lang w:val="en-GB"/>
        </w:rPr>
        <w:t>”)’s cor</w:t>
      </w:r>
      <w:r w:rsidR="00E9782C">
        <w:rPr>
          <w:rFonts w:ascii="Times New Roman" w:hAnsi="Times New Roman" w:cs="Times New Roman"/>
          <w:lang w:val="en-GB"/>
        </w:rPr>
        <w:t xml:space="preserve">respondences. </w:t>
      </w:r>
    </w:p>
    <w:p w14:paraId="6680643C" w14:textId="05BCE9B7" w:rsidR="0095333B" w:rsidRPr="0095333B" w:rsidRDefault="0095333B" w:rsidP="0095333B">
      <w:pPr>
        <w:rPr>
          <w:rFonts w:ascii="Times New Roman" w:hAnsi="Times New Roman" w:cs="Times New Roman"/>
          <w:lang w:val="en-GB"/>
        </w:rPr>
      </w:pPr>
      <w:bookmarkStart w:id="0" w:name="_GoBack"/>
      <w:r>
        <w:rPr>
          <w:rFonts w:ascii="Times New Roman" w:hAnsi="Times New Roman" w:cs="Times New Roman"/>
          <w:lang w:val="en-GB"/>
        </w:rPr>
        <w:t>O</w:t>
      </w:r>
      <w:r w:rsidRPr="0095333B">
        <w:rPr>
          <w:rFonts w:ascii="Times New Roman" w:hAnsi="Times New Roman" w:cs="Times New Roman"/>
          <w:lang w:val="en-GB"/>
        </w:rPr>
        <w:t>n 30 August 2014, Respondent filed a challenge against the Claim</w:t>
      </w:r>
      <w:r w:rsidR="00F45856">
        <w:rPr>
          <w:rFonts w:ascii="Times New Roman" w:hAnsi="Times New Roman" w:cs="Times New Roman"/>
          <w:lang w:val="en-GB"/>
        </w:rPr>
        <w:t xml:space="preserve">ant’s nominated arbitrator, </w:t>
      </w:r>
      <w:proofErr w:type="spellStart"/>
      <w:r w:rsidR="00F45856">
        <w:rPr>
          <w:rFonts w:ascii="Times New Roman" w:hAnsi="Times New Roman" w:cs="Times New Roman"/>
          <w:lang w:val="en-GB"/>
        </w:rPr>
        <w:t>Mr.</w:t>
      </w:r>
      <w:proofErr w:type="spellEnd"/>
      <w:r w:rsidR="00F45856">
        <w:rPr>
          <w:rFonts w:ascii="Times New Roman" w:hAnsi="Times New Roman" w:cs="Times New Roman"/>
          <w:lang w:val="en-GB"/>
        </w:rPr>
        <w:t> </w:t>
      </w:r>
      <w:proofErr w:type="spellStart"/>
      <w:r w:rsidRPr="0095333B">
        <w:rPr>
          <w:rFonts w:ascii="Times New Roman" w:hAnsi="Times New Roman" w:cs="Times New Roman"/>
          <w:lang w:val="en-GB"/>
        </w:rPr>
        <w:t>Zuckenburg</w:t>
      </w:r>
      <w:proofErr w:type="spellEnd"/>
      <w:r w:rsidRPr="0095333B">
        <w:rPr>
          <w:rFonts w:ascii="Times New Roman" w:hAnsi="Times New Roman" w:cs="Times New Roman"/>
          <w:lang w:val="en-GB"/>
        </w:rPr>
        <w:t xml:space="preserve">, because of his participation as an expert witness appointed by Group </w:t>
      </w:r>
      <w:proofErr w:type="spellStart"/>
      <w:r w:rsidRPr="0095333B">
        <w:rPr>
          <w:rFonts w:ascii="Times New Roman" w:hAnsi="Times New Roman" w:cs="Times New Roman"/>
          <w:lang w:val="en-GB"/>
        </w:rPr>
        <w:t>Inc</w:t>
      </w:r>
      <w:proofErr w:type="spellEnd"/>
      <w:r w:rsidRPr="0095333B">
        <w:rPr>
          <w:rFonts w:ascii="Times New Roman" w:hAnsi="Times New Roman" w:cs="Times New Roman"/>
          <w:lang w:val="en-GB"/>
        </w:rPr>
        <w:t xml:space="preserve"> in a case filed by the latter against Z’s Ministry of Interior in the dispute arising out of the contract for the refurbishment of Z Ministry of Interior’s information data system (“</w:t>
      </w:r>
      <w:r w:rsidRPr="0095333B">
        <w:rPr>
          <w:rFonts w:ascii="Times New Roman" w:hAnsi="Times New Roman" w:cs="Times New Roman"/>
          <w:b/>
          <w:lang w:val="en-GB"/>
        </w:rPr>
        <w:t>the Group case</w:t>
      </w:r>
      <w:r w:rsidRPr="0095333B">
        <w:rPr>
          <w:rFonts w:ascii="Times New Roman" w:hAnsi="Times New Roman" w:cs="Times New Roman"/>
          <w:lang w:val="en-GB"/>
        </w:rPr>
        <w:t>”).</w:t>
      </w:r>
      <w:r>
        <w:rPr>
          <w:rFonts w:ascii="Times New Roman" w:hAnsi="Times New Roman" w:cs="Times New Roman"/>
          <w:lang w:val="en-GB"/>
        </w:rPr>
        <w:t xml:space="preserve"> </w:t>
      </w:r>
    </w:p>
    <w:p w14:paraId="6F6FF310" w14:textId="77777777" w:rsidR="00B356E6" w:rsidRDefault="00B356E6">
      <w:pPr>
        <w:rPr>
          <w:rFonts w:ascii="Times New Roman" w:hAnsi="Times New Roman" w:cs="Times New Roman"/>
          <w:lang w:val="en-GB"/>
        </w:rPr>
      </w:pPr>
    </w:p>
    <w:p w14:paraId="2D0466AD" w14:textId="171351B7" w:rsidR="0095333B" w:rsidRDefault="0095333B" w:rsidP="0095333B">
      <w:pPr>
        <w:rPr>
          <w:rFonts w:ascii="Times New Roman" w:hAnsi="Times New Roman" w:cs="Times New Roman"/>
          <w:lang w:val="en-GB"/>
        </w:rPr>
      </w:pPr>
      <w:r>
        <w:rPr>
          <w:rFonts w:ascii="Times New Roman" w:hAnsi="Times New Roman" w:cs="Times New Roman"/>
          <w:lang w:val="en-GB"/>
        </w:rPr>
        <w:t>According to Article 14(3) of the ICC Rules of Arbitration (“</w:t>
      </w:r>
      <w:r w:rsidRPr="008042C9">
        <w:rPr>
          <w:rFonts w:ascii="Times New Roman" w:hAnsi="Times New Roman" w:cs="Times New Roman"/>
          <w:b/>
          <w:lang w:val="en-GB"/>
        </w:rPr>
        <w:t>the Rules</w:t>
      </w:r>
      <w:r>
        <w:rPr>
          <w:rFonts w:ascii="Times New Roman" w:hAnsi="Times New Roman" w:cs="Times New Roman"/>
          <w:lang w:val="en-GB"/>
        </w:rPr>
        <w:t xml:space="preserve">”), the Court shall decide on the admissibility and, at the same time, if necessary, on the merits of a challenge. </w:t>
      </w:r>
    </w:p>
    <w:p w14:paraId="4155330A" w14:textId="77777777" w:rsidR="00E9782C" w:rsidRDefault="00E9782C" w:rsidP="0095333B">
      <w:pPr>
        <w:rPr>
          <w:rFonts w:ascii="Times New Roman" w:hAnsi="Times New Roman" w:cs="Times New Roman"/>
          <w:lang w:val="en-GB"/>
        </w:rPr>
      </w:pPr>
    </w:p>
    <w:p w14:paraId="6C61B801" w14:textId="515EEA74" w:rsidR="009369E6" w:rsidRPr="009B7ED1" w:rsidRDefault="008042C9" w:rsidP="009369E6">
      <w:pPr>
        <w:rPr>
          <w:rFonts w:ascii="Times New Roman" w:hAnsi="Times New Roman" w:cs="Times New Roman"/>
          <w:lang w:val="en-GB"/>
        </w:rPr>
      </w:pPr>
      <w:r>
        <w:rPr>
          <w:rFonts w:ascii="Times New Roman" w:hAnsi="Times New Roman" w:cs="Times New Roman"/>
          <w:lang w:val="en-GB"/>
        </w:rPr>
        <w:t xml:space="preserve">As with regards to the admissibility of the challenge, </w:t>
      </w:r>
      <w:r w:rsidR="00E9782C">
        <w:rPr>
          <w:rFonts w:ascii="Times New Roman" w:hAnsi="Times New Roman" w:cs="Times New Roman"/>
          <w:lang w:val="en-GB"/>
        </w:rPr>
        <w:t>t</w:t>
      </w:r>
      <w:r w:rsidR="0095333B">
        <w:rPr>
          <w:rFonts w:ascii="Times New Roman" w:hAnsi="Times New Roman" w:cs="Times New Roman"/>
          <w:lang w:val="en-GB"/>
        </w:rPr>
        <w:t xml:space="preserve">he Secretariat of the ICC acknowledged receipt of Claimants’ submission of a written statement specifying the facts and circumstances of the challenge on </w:t>
      </w:r>
      <w:r w:rsidR="00235186">
        <w:rPr>
          <w:rFonts w:ascii="Times New Roman" w:hAnsi="Times New Roman" w:cs="Times New Roman"/>
          <w:lang w:val="en-GB"/>
        </w:rPr>
        <w:t>30 August, 24</w:t>
      </w:r>
      <w:r w:rsidR="0095333B">
        <w:rPr>
          <w:rFonts w:ascii="Times New Roman" w:hAnsi="Times New Roman" w:cs="Times New Roman"/>
          <w:lang w:val="en-GB"/>
        </w:rPr>
        <w:t xml:space="preserve"> days after the Secretariat’s letter confirming the appointment of </w:t>
      </w:r>
      <w:proofErr w:type="spellStart"/>
      <w:r w:rsidR="00235186">
        <w:rPr>
          <w:rFonts w:ascii="Times New Roman" w:hAnsi="Times New Roman" w:cs="Times New Roman"/>
          <w:lang w:val="en-GB"/>
        </w:rPr>
        <w:t>Mr.</w:t>
      </w:r>
      <w:proofErr w:type="spellEnd"/>
      <w:r w:rsidR="00235186">
        <w:rPr>
          <w:rFonts w:ascii="Times New Roman" w:hAnsi="Times New Roman" w:cs="Times New Roman"/>
          <w:lang w:val="en-GB"/>
        </w:rPr>
        <w:t> </w:t>
      </w:r>
      <w:proofErr w:type="spellStart"/>
      <w:r w:rsidR="00235186">
        <w:rPr>
          <w:rFonts w:ascii="Times New Roman" w:hAnsi="Times New Roman" w:cs="Times New Roman"/>
          <w:lang w:val="en-GB"/>
        </w:rPr>
        <w:t>Zuckenburg</w:t>
      </w:r>
      <w:proofErr w:type="spellEnd"/>
      <w:r w:rsidR="00235186">
        <w:rPr>
          <w:rFonts w:ascii="Times New Roman" w:hAnsi="Times New Roman" w:cs="Times New Roman"/>
          <w:lang w:val="en-GB"/>
        </w:rPr>
        <w:t xml:space="preserve"> as co-arbitrator</w:t>
      </w:r>
      <w:r w:rsidR="0095333B">
        <w:rPr>
          <w:rFonts w:ascii="Times New Roman" w:hAnsi="Times New Roman" w:cs="Times New Roman"/>
          <w:lang w:val="en-GB"/>
        </w:rPr>
        <w:t xml:space="preserve">. The submission of Claimants’ statement </w:t>
      </w:r>
      <w:r w:rsidR="0095333B" w:rsidRPr="009B7ED1">
        <w:rPr>
          <w:rFonts w:ascii="Times New Roman" w:hAnsi="Times New Roman" w:cs="Times New Roman"/>
          <w:lang w:val="en-GB"/>
        </w:rPr>
        <w:t>was followed by an exchange of letter</w:t>
      </w:r>
      <w:r w:rsidR="009369E6">
        <w:rPr>
          <w:rFonts w:ascii="Times New Roman" w:hAnsi="Times New Roman" w:cs="Times New Roman"/>
          <w:lang w:val="en-GB"/>
        </w:rPr>
        <w:t xml:space="preserve">s, giving to the Parties </w:t>
      </w:r>
      <w:r w:rsidR="009369E6" w:rsidRPr="009B7ED1">
        <w:rPr>
          <w:rFonts w:ascii="Times New Roman" w:hAnsi="Times New Roman" w:cs="Times New Roman"/>
          <w:lang w:val="en-GB"/>
        </w:rPr>
        <w:t>the opportunity to comment the challenge within a sufficient period of time</w:t>
      </w:r>
      <w:r w:rsidR="009369E6">
        <w:rPr>
          <w:rFonts w:ascii="Times New Roman" w:hAnsi="Times New Roman" w:cs="Times New Roman"/>
          <w:lang w:val="en-GB"/>
        </w:rPr>
        <w:t>. Therefore, in accordance with Article 14(1) and (2), the Court considers the challenge to be admissible</w:t>
      </w:r>
      <w:r w:rsidR="009369E6" w:rsidRPr="009B7ED1">
        <w:rPr>
          <w:rFonts w:ascii="Times New Roman" w:hAnsi="Times New Roman" w:cs="Times New Roman"/>
          <w:lang w:val="en-GB"/>
        </w:rPr>
        <w:t>.</w:t>
      </w:r>
    </w:p>
    <w:p w14:paraId="69AD66F7" w14:textId="77777777" w:rsidR="009369E6" w:rsidRPr="009B7ED1" w:rsidRDefault="009369E6" w:rsidP="00235186">
      <w:pPr>
        <w:jc w:val="both"/>
        <w:rPr>
          <w:rFonts w:ascii="Times New Roman" w:hAnsi="Times New Roman" w:cs="Times New Roman"/>
          <w:lang w:val="en-GB"/>
        </w:rPr>
      </w:pPr>
    </w:p>
    <w:p w14:paraId="34CCA333" w14:textId="5E7D6C52" w:rsidR="00B356E6" w:rsidRDefault="00E9782C" w:rsidP="00E9782C">
      <w:pPr>
        <w:jc w:val="both"/>
        <w:rPr>
          <w:rFonts w:ascii="Times New Roman" w:hAnsi="Times New Roman" w:cs="Times New Roman"/>
          <w:lang w:val="en-GB"/>
        </w:rPr>
      </w:pPr>
      <w:r>
        <w:rPr>
          <w:rFonts w:ascii="Times New Roman" w:hAnsi="Times New Roman" w:cs="Times New Roman"/>
          <w:lang w:val="en-GB"/>
        </w:rPr>
        <w:t>As</w:t>
      </w:r>
      <w:r w:rsidR="0054075D">
        <w:rPr>
          <w:rFonts w:ascii="Times New Roman" w:hAnsi="Times New Roman" w:cs="Times New Roman"/>
          <w:lang w:val="en-GB"/>
        </w:rPr>
        <w:t xml:space="preserve"> </w:t>
      </w:r>
      <w:r>
        <w:rPr>
          <w:rFonts w:ascii="Times New Roman" w:hAnsi="Times New Roman" w:cs="Times New Roman"/>
          <w:lang w:val="en-GB"/>
        </w:rPr>
        <w:t>to t</w:t>
      </w:r>
      <w:r w:rsidR="009369E6" w:rsidRPr="009B7ED1">
        <w:rPr>
          <w:rFonts w:ascii="Times New Roman" w:hAnsi="Times New Roman" w:cs="Times New Roman"/>
          <w:lang w:val="en-GB"/>
        </w:rPr>
        <w:t>he merits of the challenge</w:t>
      </w:r>
      <w:r>
        <w:rPr>
          <w:rFonts w:ascii="Times New Roman" w:hAnsi="Times New Roman" w:cs="Times New Roman"/>
          <w:lang w:val="en-GB"/>
        </w:rPr>
        <w:t>, u</w:t>
      </w:r>
      <w:r w:rsidR="009369E6">
        <w:rPr>
          <w:rFonts w:ascii="Times New Roman" w:hAnsi="Times New Roman" w:cs="Times New Roman"/>
          <w:lang w:val="en-GB"/>
        </w:rPr>
        <w:t>nder Article 14(1) of the Rules, a challenge may be brought “</w:t>
      </w:r>
      <w:r w:rsidR="009369E6" w:rsidRPr="00A71652">
        <w:rPr>
          <w:rFonts w:ascii="Times New Roman" w:hAnsi="Times New Roman" w:cs="Times New Roman"/>
          <w:i/>
          <w:lang w:val="en-GB"/>
        </w:rPr>
        <w:t>whether for an alleged lack of impartiality or independence, or otherwise</w:t>
      </w:r>
      <w:r w:rsidR="009369E6" w:rsidRPr="00A71652">
        <w:rPr>
          <w:rFonts w:ascii="Times New Roman" w:hAnsi="Times New Roman" w:cs="Times New Roman"/>
          <w:lang w:val="en-GB"/>
        </w:rPr>
        <w:t xml:space="preserve">”. </w:t>
      </w:r>
    </w:p>
    <w:p w14:paraId="71D27376" w14:textId="78CED803" w:rsidR="00D23B3A" w:rsidRPr="00E267A7" w:rsidRDefault="00E267A7" w:rsidP="00E267A7">
      <w:pPr>
        <w:rPr>
          <w:rFonts w:ascii="Times New Roman" w:hAnsi="Times New Roman" w:cs="Times New Roman"/>
          <w:lang w:val="en-GB"/>
        </w:rPr>
      </w:pPr>
      <w:r w:rsidRPr="00E267A7">
        <w:rPr>
          <w:rFonts w:ascii="Times New Roman" w:hAnsi="Times New Roman" w:cs="Times New Roman"/>
          <w:lang w:val="en-GB"/>
        </w:rPr>
        <w:t xml:space="preserve">Respondent </w:t>
      </w:r>
      <w:proofErr w:type="gramStart"/>
      <w:r w:rsidRPr="00E267A7">
        <w:rPr>
          <w:rFonts w:ascii="Times New Roman" w:hAnsi="Times New Roman" w:cs="Times New Roman"/>
          <w:lang w:val="en-GB"/>
        </w:rPr>
        <w:t>indicates that</w:t>
      </w:r>
      <w:proofErr w:type="gramEnd"/>
      <w:r w:rsidRPr="00E267A7">
        <w:rPr>
          <w:rFonts w:ascii="Times New Roman" w:hAnsi="Times New Roman" w:cs="Times New Roman"/>
          <w:lang w:val="en-GB"/>
        </w:rPr>
        <w:t xml:space="preserve"> </w:t>
      </w:r>
      <w:r w:rsidR="0054075D">
        <w:rPr>
          <w:rFonts w:ascii="Times New Roman" w:hAnsi="Times New Roman" w:cs="Times New Roman"/>
          <w:lang w:val="en-GB"/>
        </w:rPr>
        <w:t>“</w:t>
      </w:r>
      <w:r w:rsidRPr="0054075D">
        <w:rPr>
          <w:rFonts w:ascii="Times New Roman" w:hAnsi="Times New Roman" w:cs="Times New Roman"/>
          <w:i/>
          <w:lang w:val="en-GB"/>
        </w:rPr>
        <w:t xml:space="preserve">in the past eight years Mr. </w:t>
      </w:r>
      <w:proofErr w:type="spellStart"/>
      <w:r w:rsidRPr="0054075D">
        <w:rPr>
          <w:rFonts w:ascii="Times New Roman" w:hAnsi="Times New Roman" w:cs="Times New Roman"/>
          <w:i/>
          <w:lang w:val="en-GB"/>
        </w:rPr>
        <w:t>Zuckenburg</w:t>
      </w:r>
      <w:proofErr w:type="spellEnd"/>
      <w:r w:rsidRPr="0054075D">
        <w:rPr>
          <w:rFonts w:ascii="Times New Roman" w:hAnsi="Times New Roman" w:cs="Times New Roman"/>
          <w:i/>
          <w:lang w:val="en-GB"/>
        </w:rPr>
        <w:t xml:space="preserve"> has rendered three expert opinions expressing opinions and views that are diametrically opposed to Respondent’s position in this case</w:t>
      </w:r>
      <w:r w:rsidR="0054075D">
        <w:rPr>
          <w:rFonts w:ascii="Times New Roman" w:hAnsi="Times New Roman" w:cs="Times New Roman"/>
          <w:lang w:val="en-GB"/>
        </w:rPr>
        <w:t>”</w:t>
      </w:r>
      <w:r w:rsidRPr="00E267A7">
        <w:rPr>
          <w:rFonts w:ascii="Times New Roman" w:hAnsi="Times New Roman" w:cs="Times New Roman"/>
          <w:lang w:val="en-GB"/>
        </w:rPr>
        <w:t xml:space="preserve">. In such regard, </w:t>
      </w:r>
      <w:r w:rsidR="0054075D">
        <w:rPr>
          <w:rFonts w:ascii="Times New Roman" w:hAnsi="Times New Roman" w:cs="Times New Roman"/>
          <w:lang w:val="en-GB"/>
        </w:rPr>
        <w:t>“</w:t>
      </w:r>
      <w:r w:rsidRPr="0054075D">
        <w:rPr>
          <w:rFonts w:ascii="Times New Roman" w:hAnsi="Times New Roman" w:cs="Times New Roman"/>
          <w:i/>
          <w:lang w:val="en-GB"/>
        </w:rPr>
        <w:t xml:space="preserve">in the Group case Mr. </w:t>
      </w:r>
      <w:proofErr w:type="spellStart"/>
      <w:r w:rsidRPr="0054075D">
        <w:rPr>
          <w:rFonts w:ascii="Times New Roman" w:hAnsi="Times New Roman" w:cs="Times New Roman"/>
          <w:i/>
          <w:lang w:val="en-GB"/>
        </w:rPr>
        <w:t>Zuckenburg</w:t>
      </w:r>
      <w:proofErr w:type="spellEnd"/>
      <w:r w:rsidRPr="0054075D">
        <w:rPr>
          <w:rFonts w:ascii="Times New Roman" w:hAnsi="Times New Roman" w:cs="Times New Roman"/>
          <w:i/>
          <w:lang w:val="en-GB"/>
        </w:rPr>
        <w:t xml:space="preserve"> has expressed views against Z’s judiciary indicating that there is an absolute political control of the executive over the judiciary and that it is unreasonable for Group </w:t>
      </w:r>
      <w:proofErr w:type="spellStart"/>
      <w:r w:rsidRPr="0054075D">
        <w:rPr>
          <w:rFonts w:ascii="Times New Roman" w:hAnsi="Times New Roman" w:cs="Times New Roman"/>
          <w:i/>
          <w:lang w:val="en-GB"/>
        </w:rPr>
        <w:t>Inc</w:t>
      </w:r>
      <w:proofErr w:type="spellEnd"/>
      <w:r w:rsidRPr="0054075D">
        <w:rPr>
          <w:rFonts w:ascii="Times New Roman" w:hAnsi="Times New Roman" w:cs="Times New Roman"/>
          <w:i/>
          <w:lang w:val="en-GB"/>
        </w:rPr>
        <w:t xml:space="preserve"> to litigate its dispute with Country Z in Z’s courts</w:t>
      </w:r>
      <w:r w:rsidR="0054075D">
        <w:rPr>
          <w:rFonts w:ascii="Times New Roman" w:hAnsi="Times New Roman" w:cs="Times New Roman"/>
          <w:lang w:val="en-GB"/>
        </w:rPr>
        <w:t>”, and that, “</w:t>
      </w:r>
      <w:proofErr w:type="spellStart"/>
      <w:r w:rsidRPr="0054075D">
        <w:rPr>
          <w:rFonts w:ascii="Times New Roman" w:hAnsi="Times New Roman" w:cs="Times New Roman"/>
          <w:i/>
          <w:lang w:val="en-GB"/>
        </w:rPr>
        <w:t>Mr.</w:t>
      </w:r>
      <w:proofErr w:type="spellEnd"/>
      <w:r w:rsidRPr="0054075D">
        <w:rPr>
          <w:rFonts w:ascii="Times New Roman" w:hAnsi="Times New Roman" w:cs="Times New Roman"/>
          <w:i/>
          <w:lang w:val="en-GB"/>
        </w:rPr>
        <w:t xml:space="preserve"> </w:t>
      </w:r>
      <w:proofErr w:type="spellStart"/>
      <w:r w:rsidRPr="0054075D">
        <w:rPr>
          <w:rFonts w:ascii="Times New Roman" w:hAnsi="Times New Roman" w:cs="Times New Roman"/>
          <w:i/>
          <w:lang w:val="en-GB"/>
        </w:rPr>
        <w:t>Zuckenburg</w:t>
      </w:r>
      <w:proofErr w:type="spellEnd"/>
      <w:r w:rsidRPr="0054075D">
        <w:rPr>
          <w:rFonts w:ascii="Times New Roman" w:hAnsi="Times New Roman" w:cs="Times New Roman"/>
          <w:i/>
          <w:lang w:val="en-GB"/>
        </w:rPr>
        <w:t xml:space="preserve"> has commented disapprovingly of the provision of the Z’s Arbitration Law</w:t>
      </w:r>
      <w:r w:rsidR="0054075D">
        <w:rPr>
          <w:rFonts w:ascii="Times New Roman" w:hAnsi="Times New Roman" w:cs="Times New Roman"/>
          <w:lang w:val="en-GB"/>
        </w:rPr>
        <w:t>”</w:t>
      </w:r>
      <w:r w:rsidRPr="00E267A7">
        <w:rPr>
          <w:rFonts w:ascii="Times New Roman" w:hAnsi="Times New Roman" w:cs="Times New Roman"/>
          <w:lang w:val="en-GB"/>
        </w:rPr>
        <w:t xml:space="preserve">. Given the precise circumstances of the Group case and this arbitration and Mr. </w:t>
      </w:r>
      <w:proofErr w:type="spellStart"/>
      <w:r w:rsidRPr="00E267A7">
        <w:rPr>
          <w:rFonts w:ascii="Times New Roman" w:hAnsi="Times New Roman" w:cs="Times New Roman"/>
          <w:lang w:val="en-GB"/>
        </w:rPr>
        <w:t>Zuckenburg’s</w:t>
      </w:r>
      <w:proofErr w:type="spellEnd"/>
      <w:r w:rsidRPr="00E267A7">
        <w:rPr>
          <w:rFonts w:ascii="Times New Roman" w:hAnsi="Times New Roman" w:cs="Times New Roman"/>
          <w:lang w:val="en-GB"/>
        </w:rPr>
        <w:t xml:space="preserve"> different roles in them, </w:t>
      </w:r>
      <w:r w:rsidR="0054075D">
        <w:rPr>
          <w:rFonts w:ascii="Times New Roman" w:hAnsi="Times New Roman" w:cs="Times New Roman"/>
          <w:lang w:val="en-GB"/>
        </w:rPr>
        <w:t>Respondent alleges “</w:t>
      </w:r>
      <w:r w:rsidRPr="0054075D">
        <w:rPr>
          <w:rFonts w:ascii="Times New Roman" w:hAnsi="Times New Roman" w:cs="Times New Roman"/>
          <w:i/>
          <w:lang w:val="en-GB"/>
        </w:rPr>
        <w:t>he cannot act impartially as he evidently has a consolidated opinion about Z’s legal system and most of the issues in dispute in this arbitration</w:t>
      </w:r>
      <w:r w:rsidR="0054075D">
        <w:rPr>
          <w:rFonts w:ascii="Times New Roman" w:hAnsi="Times New Roman" w:cs="Times New Roman"/>
          <w:lang w:val="en-GB"/>
        </w:rPr>
        <w:t>”</w:t>
      </w:r>
      <w:r w:rsidRPr="00E267A7">
        <w:rPr>
          <w:rFonts w:ascii="Times New Roman" w:hAnsi="Times New Roman" w:cs="Times New Roman"/>
          <w:lang w:val="en-GB"/>
        </w:rPr>
        <w:t>.</w:t>
      </w:r>
    </w:p>
    <w:p w14:paraId="31A45B65" w14:textId="52A629CD" w:rsidR="00D23B3A" w:rsidRPr="00E267A7" w:rsidRDefault="00E267A7" w:rsidP="00E267A7">
      <w:pPr>
        <w:rPr>
          <w:rFonts w:ascii="Times New Roman" w:hAnsi="Times New Roman" w:cs="Times New Roman"/>
          <w:lang w:val="en-GB"/>
        </w:rPr>
      </w:pPr>
      <w:r w:rsidRPr="00E267A7">
        <w:rPr>
          <w:rFonts w:ascii="Times New Roman" w:hAnsi="Times New Roman" w:cs="Times New Roman"/>
          <w:lang w:val="en-GB"/>
        </w:rPr>
        <w:t xml:space="preserve">Claimant states the issues at the heart of this dispute are dissimilar to those in the Group case. Neither Claimant nor Respondent </w:t>
      </w:r>
      <w:proofErr w:type="gramStart"/>
      <w:r w:rsidRPr="00E267A7">
        <w:rPr>
          <w:rFonts w:ascii="Times New Roman" w:hAnsi="Times New Roman" w:cs="Times New Roman"/>
          <w:lang w:val="en-GB"/>
        </w:rPr>
        <w:t>were</w:t>
      </w:r>
      <w:proofErr w:type="gramEnd"/>
      <w:r w:rsidRPr="00E267A7">
        <w:rPr>
          <w:rFonts w:ascii="Times New Roman" w:hAnsi="Times New Roman" w:cs="Times New Roman"/>
          <w:lang w:val="en-GB"/>
        </w:rPr>
        <w:t xml:space="preserve"> parties to the Group case. The two proceedings are completely separate and distinct.</w:t>
      </w:r>
    </w:p>
    <w:p w14:paraId="70F38FF8" w14:textId="7C37DE4E" w:rsidR="00E267A7" w:rsidRPr="009B7ED1" w:rsidRDefault="00E267A7" w:rsidP="00E267A7">
      <w:pPr>
        <w:rPr>
          <w:rFonts w:ascii="Times New Roman" w:hAnsi="Times New Roman" w:cs="Times New Roman"/>
          <w:lang w:val="en-GB"/>
        </w:rPr>
      </w:pPr>
      <w:r w:rsidRPr="00E267A7">
        <w:rPr>
          <w:rFonts w:ascii="Times New Roman" w:hAnsi="Times New Roman" w:cs="Times New Roman"/>
          <w:lang w:val="en-GB"/>
        </w:rPr>
        <w:t xml:space="preserve">Mr. </w:t>
      </w:r>
      <w:proofErr w:type="spellStart"/>
      <w:r w:rsidRPr="00E267A7">
        <w:rPr>
          <w:rFonts w:ascii="Times New Roman" w:hAnsi="Times New Roman" w:cs="Times New Roman"/>
          <w:lang w:val="en-GB"/>
        </w:rPr>
        <w:t>Zuckenburg</w:t>
      </w:r>
      <w:proofErr w:type="spellEnd"/>
      <w:r w:rsidRPr="00E267A7">
        <w:rPr>
          <w:rFonts w:ascii="Times New Roman" w:hAnsi="Times New Roman" w:cs="Times New Roman"/>
          <w:lang w:val="en-GB"/>
        </w:rPr>
        <w:t xml:space="preserve"> claims that the facts raised by Respondent refer to an unrelated issue in which he has had limited involvement as an independent expert retained by counsel for one of the parties which are not involved in this arbitration. He has not been counsel for any of the parties and has no financial or professional interest in the outcome of either the Group case or this arbitration. His independent assessment in the Group case concerning the conditions present in Z’s legal system, relate to a question of whether it has become impracticable to adhere to an arbitration forum selection agreed upon by the parties to the Group case, which established the capital of Country Z as the place of arbitration.</w:t>
      </w:r>
    </w:p>
    <w:p w14:paraId="6813E955" w14:textId="4AE718CD" w:rsidR="0095333B" w:rsidRDefault="0095333B">
      <w:pPr>
        <w:rPr>
          <w:rFonts w:ascii="Times New Roman" w:hAnsi="Times New Roman" w:cs="Times New Roman"/>
          <w:lang w:val="en-GB"/>
        </w:rPr>
      </w:pPr>
    </w:p>
    <w:p w14:paraId="524B37E5" w14:textId="1B43ECAC" w:rsidR="00347479" w:rsidRDefault="00347479">
      <w:pPr>
        <w:rPr>
          <w:rFonts w:ascii="Times New Roman" w:hAnsi="Times New Roman" w:cs="Times New Roman"/>
          <w:lang w:val="en-GB"/>
        </w:rPr>
      </w:pPr>
      <w:r>
        <w:rPr>
          <w:rFonts w:ascii="Times New Roman" w:hAnsi="Times New Roman" w:cs="Times New Roman"/>
          <w:lang w:val="en-GB"/>
        </w:rPr>
        <w:t xml:space="preserve">Therefore, as it appears from the exchange of letters that </w:t>
      </w:r>
      <w:proofErr w:type="spellStart"/>
      <w:r>
        <w:rPr>
          <w:rFonts w:ascii="Times New Roman" w:hAnsi="Times New Roman" w:cs="Times New Roman"/>
          <w:lang w:val="en-GB"/>
        </w:rPr>
        <w:t>Mr.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Zuckenberg</w:t>
      </w:r>
      <w:proofErr w:type="spellEnd"/>
      <w:r>
        <w:rPr>
          <w:rFonts w:ascii="Times New Roman" w:hAnsi="Times New Roman" w:cs="Times New Roman"/>
          <w:lang w:val="en-GB"/>
        </w:rPr>
        <w:t xml:space="preserve"> has </w:t>
      </w:r>
      <w:r w:rsidR="00D23B3A">
        <w:rPr>
          <w:rFonts w:ascii="Times New Roman" w:hAnsi="Times New Roman" w:cs="Times New Roman"/>
          <w:lang w:val="en-GB"/>
        </w:rPr>
        <w:t xml:space="preserve">produced three legal opinions in a case involving Group </w:t>
      </w:r>
      <w:proofErr w:type="spellStart"/>
      <w:r w:rsidR="00D23B3A">
        <w:rPr>
          <w:rFonts w:ascii="Times New Roman" w:hAnsi="Times New Roman" w:cs="Times New Roman"/>
          <w:lang w:val="en-GB"/>
        </w:rPr>
        <w:t>Inc</w:t>
      </w:r>
      <w:proofErr w:type="spellEnd"/>
      <w:r w:rsidR="00D23B3A">
        <w:rPr>
          <w:rFonts w:ascii="Times New Roman" w:hAnsi="Times New Roman" w:cs="Times New Roman"/>
          <w:lang w:val="en-GB"/>
        </w:rPr>
        <w:t xml:space="preserve"> and Z’s Ministry of Interior, who are not parties to this arbitration, with regards to the Group Case, deprived from any links with the present proceedings. The</w:t>
      </w:r>
      <w:r w:rsidR="0001699A">
        <w:rPr>
          <w:rFonts w:ascii="Times New Roman" w:hAnsi="Times New Roman" w:cs="Times New Roman"/>
          <w:lang w:val="en-GB"/>
        </w:rPr>
        <w:t>refore, even though</w:t>
      </w:r>
      <w:r w:rsidR="00D23B3A">
        <w:rPr>
          <w:rFonts w:ascii="Times New Roman" w:hAnsi="Times New Roman" w:cs="Times New Roman"/>
          <w:lang w:val="en-GB"/>
        </w:rPr>
        <w:t xml:space="preserve"> </w:t>
      </w:r>
      <w:r w:rsidR="0001699A">
        <w:rPr>
          <w:rFonts w:ascii="Times New Roman" w:hAnsi="Times New Roman" w:cs="Times New Roman"/>
          <w:lang w:val="en-GB"/>
        </w:rPr>
        <w:t xml:space="preserve">it results from the exchange of letters that </w:t>
      </w:r>
      <w:proofErr w:type="spellStart"/>
      <w:r w:rsidR="0001699A">
        <w:rPr>
          <w:rFonts w:ascii="Times New Roman" w:hAnsi="Times New Roman" w:cs="Times New Roman"/>
          <w:lang w:val="en-GB"/>
        </w:rPr>
        <w:t>Mr.</w:t>
      </w:r>
      <w:proofErr w:type="spellEnd"/>
      <w:r w:rsidR="0001699A">
        <w:rPr>
          <w:rFonts w:ascii="Times New Roman" w:hAnsi="Times New Roman" w:cs="Times New Roman"/>
          <w:lang w:val="en-GB"/>
        </w:rPr>
        <w:t xml:space="preserve"> </w:t>
      </w:r>
      <w:proofErr w:type="spellStart"/>
      <w:r w:rsidR="0001699A">
        <w:rPr>
          <w:rFonts w:ascii="Times New Roman" w:hAnsi="Times New Roman" w:cs="Times New Roman"/>
          <w:lang w:val="en-GB"/>
        </w:rPr>
        <w:t>Zuckenberg</w:t>
      </w:r>
      <w:proofErr w:type="spellEnd"/>
      <w:r w:rsidR="0001699A">
        <w:rPr>
          <w:rFonts w:ascii="Times New Roman" w:hAnsi="Times New Roman" w:cs="Times New Roman"/>
          <w:lang w:val="en-GB"/>
        </w:rPr>
        <w:t xml:space="preserve"> has limited involvement in the Group Case, his absence of personal or professional links with the parties, are not sufficient grounds for challenge. </w:t>
      </w:r>
    </w:p>
    <w:p w14:paraId="37BE515B" w14:textId="77777777" w:rsidR="0001699A" w:rsidRDefault="0001699A">
      <w:pPr>
        <w:rPr>
          <w:rFonts w:ascii="Times New Roman" w:hAnsi="Times New Roman" w:cs="Times New Roman"/>
          <w:lang w:val="en-GB"/>
        </w:rPr>
      </w:pPr>
    </w:p>
    <w:p w14:paraId="15A3A484" w14:textId="26DECE61" w:rsidR="007B1176" w:rsidRDefault="007B1176">
      <w:pPr>
        <w:rPr>
          <w:rFonts w:ascii="Times New Roman" w:hAnsi="Times New Roman" w:cs="Times New Roman"/>
          <w:lang w:val="en-GB"/>
        </w:rPr>
      </w:pPr>
      <w:r>
        <w:rPr>
          <w:rFonts w:ascii="Times New Roman" w:hAnsi="Times New Roman" w:cs="Times New Roman"/>
          <w:lang w:val="en-GB"/>
        </w:rPr>
        <w:t xml:space="preserve">The Court rejects Respondent’s </w:t>
      </w:r>
      <w:r w:rsidR="00347479">
        <w:rPr>
          <w:rFonts w:ascii="Times New Roman" w:hAnsi="Times New Roman" w:cs="Times New Roman"/>
          <w:lang w:val="en-GB"/>
        </w:rPr>
        <w:t xml:space="preserve">challenge against Claimant’s nominated arbitrator </w:t>
      </w:r>
      <w:r w:rsidR="0001699A">
        <w:rPr>
          <w:rFonts w:ascii="Times New Roman" w:hAnsi="Times New Roman" w:cs="Times New Roman"/>
          <w:lang w:val="en-GB"/>
        </w:rPr>
        <w:t xml:space="preserve">and reminds hereof the Parties of the necessity to </w:t>
      </w:r>
      <w:r w:rsidR="0001699A" w:rsidRPr="009B7ED1">
        <w:rPr>
          <w:rFonts w:ascii="Times New Roman" w:hAnsi="Times New Roman" w:cs="Times New Roman"/>
          <w:lang w:val="en-GB"/>
        </w:rPr>
        <w:t>conduct the arbitration in an expeditious and cost-effective manner</w:t>
      </w:r>
      <w:r w:rsidR="0001699A">
        <w:rPr>
          <w:rFonts w:ascii="Times New Roman" w:hAnsi="Times New Roman" w:cs="Times New Roman"/>
          <w:lang w:val="en-GB"/>
        </w:rPr>
        <w:t xml:space="preserve">. </w:t>
      </w:r>
    </w:p>
    <w:p w14:paraId="4CA038A1" w14:textId="7A418879" w:rsidR="0001699A" w:rsidRDefault="0001699A">
      <w:pPr>
        <w:rPr>
          <w:rFonts w:ascii="Times New Roman" w:hAnsi="Times New Roman" w:cs="Times New Roman"/>
          <w:lang w:val="en-GB"/>
        </w:rPr>
      </w:pPr>
    </w:p>
    <w:p w14:paraId="3F1D7614" w14:textId="77777777" w:rsidR="00402274" w:rsidRDefault="00402274">
      <w:pPr>
        <w:rPr>
          <w:rFonts w:ascii="Times New Roman" w:hAnsi="Times New Roman" w:cs="Times New Roman"/>
          <w:lang w:val="en-GB"/>
        </w:rPr>
      </w:pPr>
    </w:p>
    <w:p w14:paraId="6601382C" w14:textId="77777777" w:rsidR="00402274" w:rsidRDefault="00402274" w:rsidP="00402274">
      <w:pPr>
        <w:jc w:val="both"/>
        <w:rPr>
          <w:rFonts w:ascii="Times New Roman" w:hAnsi="Times New Roman" w:cs="Times New Roman"/>
          <w:lang w:val="en-GB"/>
        </w:rPr>
      </w:pPr>
      <w:r>
        <w:rPr>
          <w:rFonts w:ascii="Times New Roman" w:hAnsi="Times New Roman" w:cs="Times New Roman"/>
          <w:lang w:val="en-GB"/>
        </w:rPr>
        <w:t>The International Court of Arbitration of the ICC (“</w:t>
      </w:r>
      <w:r w:rsidRPr="005C05D5">
        <w:rPr>
          <w:rFonts w:ascii="Times New Roman" w:hAnsi="Times New Roman" w:cs="Times New Roman"/>
          <w:b/>
          <w:lang w:val="en-GB"/>
        </w:rPr>
        <w:t>the Court</w:t>
      </w:r>
      <w:r>
        <w:rPr>
          <w:rFonts w:ascii="Times New Roman" w:hAnsi="Times New Roman" w:cs="Times New Roman"/>
          <w:lang w:val="en-GB"/>
        </w:rPr>
        <w:t xml:space="preserve">”) acknowledges receipt of Justice </w:t>
      </w:r>
      <w:proofErr w:type="spellStart"/>
      <w:r>
        <w:rPr>
          <w:rFonts w:ascii="Times New Roman" w:hAnsi="Times New Roman" w:cs="Times New Roman"/>
          <w:lang w:val="en-GB"/>
        </w:rPr>
        <w:t>Armawi’s</w:t>
      </w:r>
      <w:proofErr w:type="spellEnd"/>
      <w:r>
        <w:rPr>
          <w:rFonts w:ascii="Times New Roman" w:hAnsi="Times New Roman" w:cs="Times New Roman"/>
          <w:lang w:val="en-GB"/>
        </w:rPr>
        <w:t xml:space="preserve"> Statement of Acceptance, Availability, Impartiality and Independence (“</w:t>
      </w:r>
      <w:r w:rsidRPr="00745CCC">
        <w:rPr>
          <w:rFonts w:ascii="Times New Roman" w:hAnsi="Times New Roman" w:cs="Times New Roman"/>
          <w:b/>
          <w:lang w:val="en-GB"/>
        </w:rPr>
        <w:t>the Statement</w:t>
      </w:r>
      <w:r>
        <w:rPr>
          <w:rFonts w:ascii="Times New Roman" w:hAnsi="Times New Roman" w:cs="Times New Roman"/>
          <w:lang w:val="en-GB"/>
        </w:rPr>
        <w:t>”), dated 24 September, and, Respondent’s letter dated 26 September 2014.</w:t>
      </w:r>
    </w:p>
    <w:p w14:paraId="57D4DD27" w14:textId="77777777" w:rsidR="00402274" w:rsidRDefault="00402274" w:rsidP="00402274">
      <w:pPr>
        <w:jc w:val="both"/>
        <w:rPr>
          <w:rFonts w:ascii="Times New Roman" w:hAnsi="Times New Roman" w:cs="Times New Roman"/>
          <w:lang w:val="en-GB"/>
        </w:rPr>
      </w:pPr>
    </w:p>
    <w:p w14:paraId="4758F915" w14:textId="77777777" w:rsidR="00402274" w:rsidRDefault="00402274" w:rsidP="00402274">
      <w:pPr>
        <w:rPr>
          <w:rFonts w:ascii="Times New Roman" w:hAnsi="Times New Roman" w:cs="Times New Roman"/>
          <w:lang w:val="en-GB"/>
        </w:rPr>
      </w:pPr>
      <w:r>
        <w:rPr>
          <w:rFonts w:ascii="Times New Roman" w:hAnsi="Times New Roman" w:cs="Times New Roman"/>
          <w:lang w:val="en-GB"/>
        </w:rPr>
        <w:t>The International Court of Arbitration of the ICC (“</w:t>
      </w:r>
      <w:r w:rsidRPr="005C05D5">
        <w:rPr>
          <w:rFonts w:ascii="Times New Roman" w:hAnsi="Times New Roman" w:cs="Times New Roman"/>
          <w:b/>
          <w:lang w:val="en-GB"/>
        </w:rPr>
        <w:t>the Court</w:t>
      </w:r>
      <w:r>
        <w:rPr>
          <w:rFonts w:ascii="Times New Roman" w:hAnsi="Times New Roman" w:cs="Times New Roman"/>
          <w:lang w:val="en-GB"/>
        </w:rPr>
        <w:t xml:space="preserve">”) acknowledges receipt of Claimants 1 and 2, Respondent and </w:t>
      </w:r>
      <w:proofErr w:type="spellStart"/>
      <w:r>
        <w:rPr>
          <w:rFonts w:ascii="Times New Roman" w:hAnsi="Times New Roman" w:cs="Times New Roman"/>
          <w:lang w:val="en-GB"/>
        </w:rPr>
        <w:t>Mr.</w:t>
      </w:r>
      <w:proofErr w:type="spellEnd"/>
      <w:r>
        <w:rPr>
          <w:rFonts w:ascii="Times New Roman" w:hAnsi="Times New Roman" w:cs="Times New Roman"/>
          <w:lang w:val="en-GB"/>
        </w:rPr>
        <w:t xml:space="preserve"> Antares’ correspondences, dated 24, 29 and 30 September.</w:t>
      </w:r>
    </w:p>
    <w:p w14:paraId="6847BB4C" w14:textId="77777777" w:rsidR="00402274" w:rsidRPr="009B7ED1" w:rsidRDefault="00402274">
      <w:pPr>
        <w:rPr>
          <w:rFonts w:ascii="Times New Roman" w:hAnsi="Times New Roman" w:cs="Times New Roman"/>
          <w:lang w:val="en-GB"/>
        </w:rPr>
      </w:pPr>
    </w:p>
    <w:bookmarkEnd w:id="0"/>
    <w:sectPr w:rsidR="00402274" w:rsidRPr="009B7ED1" w:rsidSect="00DE52AD">
      <w:pgSz w:w="11900" w:h="16840"/>
      <w:pgMar w:top="1021" w:right="1077" w:bottom="102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FB5"/>
    <w:rsid w:val="00001DFC"/>
    <w:rsid w:val="0001699A"/>
    <w:rsid w:val="000249D7"/>
    <w:rsid w:val="00140923"/>
    <w:rsid w:val="001455C6"/>
    <w:rsid w:val="00186835"/>
    <w:rsid w:val="001A1610"/>
    <w:rsid w:val="00213DFA"/>
    <w:rsid w:val="00235186"/>
    <w:rsid w:val="0025472F"/>
    <w:rsid w:val="002A6FD0"/>
    <w:rsid w:val="002F3486"/>
    <w:rsid w:val="00303955"/>
    <w:rsid w:val="0030620A"/>
    <w:rsid w:val="00334602"/>
    <w:rsid w:val="00347479"/>
    <w:rsid w:val="0035465F"/>
    <w:rsid w:val="00396E52"/>
    <w:rsid w:val="003C17E0"/>
    <w:rsid w:val="00402274"/>
    <w:rsid w:val="00452976"/>
    <w:rsid w:val="0046794C"/>
    <w:rsid w:val="004D5915"/>
    <w:rsid w:val="00533648"/>
    <w:rsid w:val="0054075D"/>
    <w:rsid w:val="005C05D5"/>
    <w:rsid w:val="00664911"/>
    <w:rsid w:val="00702A5D"/>
    <w:rsid w:val="00745CCC"/>
    <w:rsid w:val="00776978"/>
    <w:rsid w:val="007B1176"/>
    <w:rsid w:val="007D7FB5"/>
    <w:rsid w:val="008042C9"/>
    <w:rsid w:val="00810E48"/>
    <w:rsid w:val="008D2D3D"/>
    <w:rsid w:val="008D7736"/>
    <w:rsid w:val="008F0F3B"/>
    <w:rsid w:val="00917E2F"/>
    <w:rsid w:val="00925964"/>
    <w:rsid w:val="009369E6"/>
    <w:rsid w:val="0095333B"/>
    <w:rsid w:val="00970AD4"/>
    <w:rsid w:val="009B0883"/>
    <w:rsid w:val="009B7ED1"/>
    <w:rsid w:val="00A14CAE"/>
    <w:rsid w:val="00A2635E"/>
    <w:rsid w:val="00A43B8D"/>
    <w:rsid w:val="00A511BE"/>
    <w:rsid w:val="00A71652"/>
    <w:rsid w:val="00AB2981"/>
    <w:rsid w:val="00AC2BE0"/>
    <w:rsid w:val="00B356E6"/>
    <w:rsid w:val="00BB11CD"/>
    <w:rsid w:val="00BC0E96"/>
    <w:rsid w:val="00C068C7"/>
    <w:rsid w:val="00C41EC0"/>
    <w:rsid w:val="00CB1428"/>
    <w:rsid w:val="00CD33D7"/>
    <w:rsid w:val="00D23B3A"/>
    <w:rsid w:val="00DE52AD"/>
    <w:rsid w:val="00DE6AFA"/>
    <w:rsid w:val="00E267A7"/>
    <w:rsid w:val="00E407A6"/>
    <w:rsid w:val="00E779B1"/>
    <w:rsid w:val="00E9160E"/>
    <w:rsid w:val="00E9782C"/>
    <w:rsid w:val="00EB5050"/>
    <w:rsid w:val="00EE7AC4"/>
    <w:rsid w:val="00F45856"/>
    <w:rsid w:val="00F645C5"/>
    <w:rsid w:val="00F65D76"/>
    <w:rsid w:val="00FA4932"/>
    <w:rsid w:val="00FC560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6BE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617C4-6ECE-B249-B32A-4BA5CE26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1795</Words>
  <Characters>10237</Characters>
  <Application>Microsoft Macintosh Word</Application>
  <DocSecurity>0</DocSecurity>
  <Lines>85</Lines>
  <Paragraphs>24</Paragraphs>
  <ScaleCrop>false</ScaleCrop>
  <Company/>
  <LinksUpToDate>false</LinksUpToDate>
  <CharactersWithSpaces>12008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16</cp:revision>
  <dcterms:created xsi:type="dcterms:W3CDTF">2014-10-01T12:37:00Z</dcterms:created>
  <dcterms:modified xsi:type="dcterms:W3CDTF">2014-10-04T15:39:00Z</dcterms:modified>
</cp:coreProperties>
</file>