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dmuqubmticiw" w:id="0"/>
      <w:bookmarkEnd w:id="0"/>
      <w:r w:rsidDel="00000000" w:rsidR="00000000" w:rsidRPr="00000000">
        <w:rPr>
          <w:rtl w:val="0"/>
        </w:rPr>
        <w:t xml:space="preserve">При фильтрации по цене отображаются товары с ценой вне диапазона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Шаги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Открыть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главную страницу Вайлдберриз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Ввести любой поисковый запрос (напр. платье)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Отфильтровать результаты по цене (напр. от 2000 до 2500)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Поиск выдаёт товары с ценой вне выбранного диапазона </w:t>
      </w:r>
      <w:r w:rsidDel="00000000" w:rsidR="00000000" w:rsidRPr="00000000">
        <w:rPr>
          <w:i w:val="1"/>
          <w:rtl w:val="0"/>
        </w:rPr>
        <w:t xml:space="preserve">(см. рис. "Цена выше установленного диапазона" и "Цена ниже установленного диапазона"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(рис. Цена выше установленного диапазона)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(рис. Цена ниже установленного диапазона)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Ожидаемый результат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Поиск выдаёт только результаты с ценой внутри диапазона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wildberries.ru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