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02 -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Varchar(25)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produtos: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4815"/>
        <w:gridCol w:w="1965"/>
        <w:gridCol w:w="1620"/>
        <w:gridCol w:w="1260"/>
        <w:tblGridChange w:id="0">
          <w:tblGrid>
            <w:gridCol w:w="1110"/>
            <w:gridCol w:w="4815"/>
            <w:gridCol w:w="1965"/>
            <w:gridCol w:w="1620"/>
            <w:gridCol w:w="1260"/>
          </w:tblGrid>
        </w:tblGridChange>
      </w:tblGrid>
      <w:tr>
        <w:trPr>
          <w:cantSplit w:val="0"/>
          <w:trHeight w:val="536.9531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Marca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32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3700,00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Impressora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Epson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27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1990,80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Cadeira Gamer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Multilaser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Placa de vídeo - GeForce GTX 1660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2800,00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SSD de 256GB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Kingston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Processador Core i5 - 10º geração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Multilaser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das marcas (sem repetição) e a quantidade de produtos das respectivas marcas.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dos valores de todos os produtos.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da marca (sem repetição) e a soma dos produtos que fazem parte da respectiva marca.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do produto e o valor em ordem decrescente (do mais caro para o mais barato).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e valor do produto mais caro.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todos os produtos, onde seu valor seja maior ou igual a média de todos os valores cadastrados.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nome do produto, marca, valor e quantidade em estoque, do produto que possui maior estoque.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do produto, marca e valor, onde os valores dos produtos estejam entre R$100,00 e R$500,00.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nome, marca e valor de todos os produtos que sejam mouses, exiba em ordem crescente de preço (do menor para o maior).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o nome do produto e a quantidade de letras.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Troque a marca Dell para Alienware.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a tabela.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