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Mechanics:</w:t>
      </w:r>
      <w:r>
        <w:t xml:space="preserve"> </w:t>
      </w:r>
      <w:r>
        <w:t xml:space="preserve">Diffraction</w:t>
      </w:r>
      <w:r>
        <w:t xml:space="preserve"> </w:t>
      </w:r>
      <w:r>
        <w:t xml:space="preserve">and</w:t>
      </w:r>
      <w:r>
        <w:t xml:space="preserve"> </w:t>
      </w:r>
      <w:r>
        <w:t xml:space="preserve">Atomic</w:t>
      </w:r>
      <w:r>
        <w:t xml:space="preserve"> </w:t>
      </w:r>
      <w:r>
        <w:t xml:space="preserve">Emission</w:t>
      </w:r>
      <w:r>
        <w:t xml:space="preserve"> </w:t>
      </w:r>
      <w:r>
        <w:t xml:space="preserve">Spectra</w:t>
      </w:r>
    </w:p>
    <w:bookmarkStart w:id="20" w:name="introduction"/>
    <w:p>
      <w:pPr>
        <w:pStyle w:val="Heading1"/>
      </w:pPr>
      <w:r>
        <w:t xml:space="preserve">Introduction</w:t>
      </w:r>
    </w:p>
    <w:p>
      <w:pPr>
        <w:pStyle w:val="FirstParagraph"/>
      </w:pPr>
      <w:r>
        <w:t xml:space="preserve">Diffraction is the bending and spreading of a wave when it passes through a narrow opening or around an edge. A diffraction grating has many evenly spaced grooves. Each groove acts as a new source of light waves, and these waves add together in some directions and cancel in others. On a screen, this makes a bright central spot with fainter spots on each side. In this experiment, red (633 nm) and green (532 nm) laser beams were passed through a diffraction grating onto a whiteboard. The distance from the grating to the board (</w:t>
      </w:r>
      <w:r>
        <w:rPr>
          <w:iCs/>
          <w:i/>
        </w:rPr>
        <w:t xml:space="preserve">D</w:t>
      </w:r>
      <w:r>
        <w:t xml:space="preserve">) and the distance from the central spot to the first diffracted spot (</w:t>
      </w:r>
      <w:r>
        <w:rPr>
          <w:iCs/>
          <w:i/>
        </w:rPr>
        <w:t xml:space="preserve">y</w:t>
      </w:r>
      <w:r>
        <w:rPr>
          <w:vertAlign w:val="subscript"/>
        </w:rPr>
        <w:t xml:space="preserve">1</w:t>
      </w:r>
      <w:r>
        <w:t xml:space="preserve">) were measured. These distances were used to find the spacing between grooves (</w:t>
      </w:r>
      <w:r>
        <w:rPr>
          <w:iCs/>
          <w:i/>
        </w:rPr>
        <w:t xml:space="preserve">d</w:t>
      </w:r>
      <w:r>
        <w:t xml:space="preserve">) with the equation:</w:t>
      </w:r>
    </w:p>
    <w:p>
      <w:pPr>
        <w:pStyle w:val="BodyText"/>
      </w:pPr>
      <m:oMathPara>
        <m:oMathParaPr>
          <m:jc m:val="center"/>
        </m:oMathParaPr>
        <m:oMath>
          <m:f>
            <m:fPr>
              <m:type m:val="bar"/>
            </m:fPr>
            <m:num>
              <m:r>
                <m:t>λ</m:t>
              </m:r>
            </m:num>
            <m:den>
              <m:r>
                <m:t>d</m:t>
              </m:r>
            </m:den>
          </m:f>
          <m:r>
            <m:rPr>
              <m:sty m:val="p"/>
            </m:rPr>
            <m:t>=</m:t>
          </m:r>
          <m:r>
            <m:rPr>
              <m:sty m:val="p"/>
            </m:rPr>
            <m:t>sin</m:t>
          </m:r>
          <m:r>
            <m:t>θ</m:t>
          </m:r>
          <m:r>
            <m:rPr>
              <m:sty m:val="p"/>
            </m:rPr>
            <m:t>=</m:t>
          </m:r>
          <m:f>
            <m:fPr>
              <m:type m:val="bar"/>
            </m:fPr>
            <m:num>
              <m:sSub>
                <m:e>
                  <m:r>
                    <m:t>y</m:t>
                  </m:r>
                </m:e>
                <m:sub>
                  <m:r>
                    <m:t>1</m:t>
                  </m:r>
                </m:sub>
              </m:sSub>
            </m:num>
            <m:den>
              <m:rad>
                <m:radPr>
                  <m:degHide m:val="on"/>
                </m:radPr>
                <m:deg/>
                <m:e>
                  <m:sSubSup>
                    <m:e>
                      <m:r>
                        <m:t>y</m:t>
                      </m:r>
                    </m:e>
                    <m:sub>
                      <m:r>
                        <m:t>1</m:t>
                      </m:r>
                    </m:sub>
                    <m:sup>
                      <m:r>
                        <m:t>2</m:t>
                      </m:r>
                    </m:sup>
                  </m:sSubSup>
                  <m:r>
                    <m:rPr>
                      <m:sty m:val="p"/>
                    </m:rPr>
                    <m:t>+</m:t>
                  </m:r>
                  <m:sSup>
                    <m:e>
                      <m:r>
                        <m:t>D</m:t>
                      </m:r>
                    </m:e>
                    <m:sup>
                      <m:r>
                        <m:t>2</m:t>
                      </m:r>
                    </m:sup>
                  </m:sSup>
                </m:e>
              </m:rad>
            </m:den>
          </m:f>
        </m:oMath>
      </m:oMathPara>
    </w:p>
    <w:p>
      <w:pPr>
        <w:pStyle w:val="FirstParagraph"/>
      </w:pPr>
      <w:r>
        <w:t xml:space="preserve">It was hypothesized that</w:t>
      </w:r>
      <w:r>
        <w:t xml:space="preserve"> </w:t>
      </w:r>
      <w:r>
        <w:rPr>
          <w:iCs/>
          <w:i/>
        </w:rPr>
        <w:t xml:space="preserve">y</w:t>
      </w:r>
      <w:r>
        <w:rPr>
          <w:vertAlign w:val="subscript"/>
        </w:rPr>
        <w:t xml:space="preserve">1</w:t>
      </w:r>
      <w:r>
        <w:t xml:space="preserve"> </w:t>
      </w:r>
      <w:r>
        <w:t xml:space="preserve">depends on wavelength, so red light would diffract farther from the center than green light. It was also hypothesized that both lasers would give the same value of</w:t>
      </w:r>
      <w:r>
        <w:t xml:space="preserve"> </w:t>
      </w:r>
      <w:r>
        <w:rPr>
          <w:iCs/>
          <w:i/>
        </w:rPr>
        <w:t xml:space="preserve">d</w:t>
      </w:r>
      <w:r>
        <w:t xml:space="preserve">, because the groove spacing is a property of the grating and not of the light. The wave theory of light supports both hypotheses, since diffraction and interference only happen with waves. The quantum theory of light treats light as photons with energy</w:t>
      </w:r>
      <w:r>
        <w:t xml:space="preserve"> </w:t>
      </w:r>
      <w:r>
        <w:rPr>
          <w:iCs/>
          <w:i/>
        </w:rPr>
        <w:t xml:space="preserve">E</w:t>
      </w:r>
      <w:r>
        <w:t xml:space="preserve"> </w:t>
      </w:r>
      <w:r>
        <w:t xml:space="preserve">=</w:t>
      </w:r>
      <w:r>
        <w:t xml:space="preserve"> </w:t>
      </w:r>
      <w:r>
        <w:rPr>
          <w:iCs/>
          <w:i/>
        </w:rPr>
        <w:t xml:space="preserve">hc</w:t>
      </w:r>
      <w:r>
        <w:t xml:space="preserve">/</w:t>
      </w:r>
      <w:r>
        <w:rPr>
          <w:iCs/>
          <w:i/>
        </w:rPr>
        <w:t xml:space="preserve">λ</w:t>
      </w:r>
      <w:r>
        <w:t xml:space="preserve">, which connects each wavelength to a specific energy. Light behaves as a wave when it passes through the grating and as a particle when it is emitted or absorbed by atoms.</w:t>
      </w:r>
    </w:p>
    <w:p>
      <w:pPr>
        <w:pStyle w:val="BodyText"/>
      </w:pPr>
      <w:r>
        <w:t xml:space="preserve">We expected the incandescent bulb to show a continuous spectrum, meaning every color with no gaps, since it’s just a hot filament. Hydrogen should be different. We predicted it would only show a few separate bright lines (a discrete spectrum) because its electron can only sit at certain energy levels. When the electron drops down a level, it gives off a photon with energy equal to the gap between those levels. All the visible lines come from drops to</w:t>
      </w:r>
      <w:r>
        <w:t xml:space="preserve"> </w:t>
      </w:r>
      <w:r>
        <w:rPr>
          <w:iCs/>
          <w:i/>
        </w:rPr>
        <w:t xml:space="preserve">n</w:t>
      </w:r>
      <w:r>
        <w:t xml:space="preserve"> </w:t>
      </w:r>
      <w:r>
        <w:t xml:space="preserve">= 2, so we used the equation below with</w:t>
      </w:r>
      <w:r>
        <w:t xml:space="preserve"> </w:t>
      </w:r>
      <w:r>
        <w:rPr>
          <w:iCs/>
          <w:i/>
        </w:rPr>
        <w:t xml:space="preserve">R</w:t>
      </w:r>
      <w:r>
        <w:t xml:space="preserve"> </w:t>
      </w:r>
      <w:r>
        <w:t xml:space="preserve">= 2.179 × 10</w:t>
      </w:r>
      <w:r>
        <w:rPr>
          <w:vertAlign w:val="superscript"/>
        </w:rPr>
        <w:t xml:space="preserve">−18</w:t>
      </w:r>
      <w:r>
        <w:t xml:space="preserve"> </w:t>
      </w:r>
      <w:r>
        <w:t xml:space="preserve">J,</w:t>
      </w:r>
      <w:r>
        <w:t xml:space="preserve"> </w:t>
      </w:r>
      <w:r>
        <w:rPr>
          <w:iCs/>
          <w:i/>
        </w:rPr>
        <w:t xml:space="preserve">n</w:t>
      </w:r>
      <w:r>
        <w:rPr>
          <w:vertAlign w:val="subscript"/>
        </w:rPr>
        <w:t xml:space="preserve">f</w:t>
      </w:r>
      <w:r>
        <w:t xml:space="preserve"> </w:t>
      </w:r>
      <w:r>
        <w:t xml:space="preserve">= 2, and</w:t>
      </w:r>
      <w:r>
        <w:t xml:space="preserve"> </w:t>
      </w:r>
      <w:r>
        <w:rPr>
          <w:iCs/>
          <w:i/>
        </w:rPr>
        <w:t xml:space="preserve">n</w:t>
      </w:r>
      <w:r>
        <w:rPr>
          <w:vertAlign w:val="subscript"/>
        </w:rPr>
        <w:t xml:space="preserve">i</w:t>
      </w:r>
      <w:r>
        <w:t xml:space="preserve"> </w:t>
      </w:r>
      <w:r>
        <w:t xml:space="preserve">= 3, 4, 5, and 6. Based on this, we expected to see four lines at about 656, 486, 434, and 410 nm.</w:t>
      </w:r>
    </w:p>
    <w:p>
      <w:pPr>
        <w:pStyle w:val="BodyText"/>
      </w:pPr>
      <m:oMathPara>
        <m:oMathParaPr>
          <m:jc m:val="center"/>
        </m:oMathParaPr>
        <m:oMath>
          <m:r>
            <m:t>Δ</m:t>
          </m:r>
          <m:r>
            <m:t>E</m:t>
          </m:r>
          <m:r>
            <m:rPr>
              <m:sty m:val="p"/>
            </m:rPr>
            <m:t>=</m:t>
          </m:r>
          <m:r>
            <m:rPr>
              <m:sty m:val="p"/>
            </m:rPr>
            <m:t>−</m:t>
          </m:r>
          <m:f>
            <m:fPr>
              <m:type m:val="bar"/>
            </m:fPr>
            <m:num>
              <m:r>
                <m:t>h</m:t>
              </m:r>
              <m:r>
                <m:t>c</m:t>
              </m:r>
            </m:num>
            <m:den>
              <m:r>
                <m:t>λ</m:t>
              </m:r>
            </m:den>
          </m:f>
          <m:r>
            <m:rPr>
              <m:sty m:val="p"/>
            </m:rPr>
            <m:t>=</m:t>
          </m:r>
          <m:r>
            <m:rPr>
              <m:sty m:val="p"/>
            </m:rPr>
            <m:t>−</m:t>
          </m:r>
          <m:r>
            <m:t>R</m:t>
          </m:r>
          <m:d>
            <m:dPr>
              <m:begChr m:val="("/>
              <m:endChr m:val=")"/>
              <m:sepChr m:val=""/>
              <m:grow/>
            </m:dPr>
            <m:e>
              <m:f>
                <m:fPr>
                  <m:type m:val="bar"/>
                </m:fPr>
                <m:num>
                  <m:r>
                    <m:t>1</m:t>
                  </m:r>
                </m:num>
                <m:den>
                  <m:sSubSup>
                    <m:e>
                      <m:r>
                        <m:t>n</m:t>
                      </m:r>
                    </m:e>
                    <m:sub>
                      <m:r>
                        <m:t>f</m:t>
                      </m:r>
                    </m:sub>
                    <m:sup>
                      <m:r>
                        <m:t>2</m:t>
                      </m:r>
                    </m:sup>
                  </m:sSubSup>
                </m:den>
              </m:f>
              <m:r>
                <m:rPr>
                  <m:sty m:val="p"/>
                </m:rPr>
                <m:t>−</m:t>
              </m:r>
              <m:f>
                <m:fPr>
                  <m:type m:val="bar"/>
                </m:fPr>
                <m:num>
                  <m:r>
                    <m:t>1</m:t>
                  </m:r>
                </m:num>
                <m:den>
                  <m:sSubSup>
                    <m:e>
                      <m:r>
                        <m:t>n</m:t>
                      </m:r>
                    </m:e>
                    <m:sub>
                      <m:r>
                        <m:t>i</m:t>
                      </m:r>
                    </m:sub>
                    <m:sup>
                      <m:r>
                        <m:t>2</m:t>
                      </m:r>
                    </m:sup>
                  </m:sSubSup>
                </m:den>
              </m:f>
            </m:e>
          </m:d>
        </m:oMath>
      </m:oMathPara>
    </w:p>
    <w:bookmarkEnd w:id="20"/>
    <w:bookmarkStart w:id="24" w:name="data-and-results"/>
    <w:p>
      <w:pPr>
        <w:pStyle w:val="Heading1"/>
      </w:pPr>
      <w:r>
        <w:t xml:space="preserve">Data and Results</w:t>
      </w:r>
    </w:p>
    <w:p>
      <w:pPr>
        <w:pStyle w:val="FirstParagraph"/>
      </w:pPr>
      <w:r>
        <w:t xml:space="preserve">Table 1. Diffraction of red laser light (633 nm).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rPr>
                <w:iCs/>
                <w:i/>
              </w:rPr>
              <w:t xml:space="preserve">D</w:t>
            </w:r>
            <w:r>
              <w:t xml:space="preserve"> </w:t>
            </w:r>
            <w:r>
              <w:t xml:space="preserve">(cm)</w:t>
            </w:r>
          </w:p>
        </w:tc>
        <w:tc>
          <w:tcPr/>
          <w:p>
            <w:pPr>
              <w:pStyle w:val="Compact"/>
              <w:jc w:val="center"/>
            </w:pPr>
            <w:r>
              <w:rPr>
                <w:iCs/>
                <w:i/>
              </w:rPr>
              <w:t xml:space="preserve">y</w:t>
            </w:r>
            <w:r>
              <w:rPr>
                <w:vertAlign w:val="subscript"/>
              </w:rPr>
              <w:t xml:space="preserve">1</w:t>
            </w:r>
            <w:r>
              <w:t xml:space="preserve"> </w:t>
            </w:r>
            <w:r>
              <w:t xml:space="preserve">(cm)</w:t>
            </w:r>
          </w:p>
        </w:tc>
        <w:tc>
          <w:tcPr/>
          <w:p>
            <w:pPr>
              <w:pStyle w:val="Compact"/>
              <w:jc w:val="center"/>
            </w:pPr>
            <w:r>
              <w:t xml:space="preserve">Calculated</w:t>
            </w:r>
            <w:r>
              <w:t xml:space="preserve"> </w:t>
            </w:r>
            <w:r>
              <w:rPr>
                <w:iCs/>
                <w:i/>
              </w:rPr>
              <w:t xml:space="preserve">d</w:t>
            </w:r>
            <w:r>
              <w:t xml:space="preserve"> </w:t>
            </w:r>
            <w:r>
              <w:t xml:space="preserve">(µm)</w:t>
            </w:r>
          </w:p>
        </w:tc>
      </w:tr>
      <w:tr>
        <w:tc>
          <w:tcPr/>
          <w:p>
            <w:pPr>
              <w:pStyle w:val="Compact"/>
              <w:jc w:val="left"/>
            </w:pPr>
            <w:r>
              <w:t xml:space="preserve">Run 1</w:t>
            </w:r>
          </w:p>
        </w:tc>
        <w:tc>
          <w:tcPr/>
          <w:p>
            <w:pPr>
              <w:pStyle w:val="Compact"/>
              <w:jc w:val="center"/>
            </w:pPr>
            <w:r>
              <w:t xml:space="preserve">99.4</w:t>
            </w:r>
          </w:p>
        </w:tc>
        <w:tc>
          <w:tcPr/>
          <w:p>
            <w:pPr>
              <w:pStyle w:val="Compact"/>
              <w:jc w:val="center"/>
            </w:pPr>
            <w:r>
              <w:t xml:space="preserve">5.10</w:t>
            </w:r>
          </w:p>
        </w:tc>
        <w:tc>
          <w:tcPr/>
          <w:p>
            <w:pPr>
              <w:pStyle w:val="Compact"/>
              <w:jc w:val="center"/>
            </w:pPr>
            <w:r>
              <w:t xml:space="preserve">12.35</w:t>
            </w:r>
          </w:p>
        </w:tc>
      </w:tr>
      <w:tr>
        <w:tc>
          <w:tcPr/>
          <w:p>
            <w:pPr>
              <w:pStyle w:val="Compact"/>
              <w:jc w:val="left"/>
            </w:pPr>
            <w:r>
              <w:t xml:space="preserve">Run 2</w:t>
            </w:r>
          </w:p>
        </w:tc>
        <w:tc>
          <w:tcPr/>
          <w:p>
            <w:pPr>
              <w:pStyle w:val="Compact"/>
              <w:jc w:val="center"/>
            </w:pPr>
            <w:r>
              <w:t xml:space="preserve">99.4</w:t>
            </w:r>
          </w:p>
        </w:tc>
        <w:tc>
          <w:tcPr/>
          <w:p>
            <w:pPr>
              <w:pStyle w:val="Compact"/>
              <w:jc w:val="center"/>
            </w:pPr>
            <w:r>
              <w:t xml:space="preserve">5.00</w:t>
            </w:r>
          </w:p>
        </w:tc>
        <w:tc>
          <w:tcPr/>
          <w:p>
            <w:pPr>
              <w:pStyle w:val="Compact"/>
              <w:jc w:val="center"/>
            </w:pPr>
            <w:r>
              <w:t xml:space="preserve">12.60</w:t>
            </w:r>
          </w:p>
        </w:tc>
      </w:tr>
      <w:tr>
        <w:tc>
          <w:tcPr/>
          <w:p>
            <w:pPr>
              <w:pStyle w:val="Compact"/>
              <w:jc w:val="left"/>
            </w:pPr>
            <w:r>
              <w:t xml:space="preserve">Run 3</w:t>
            </w:r>
          </w:p>
        </w:tc>
        <w:tc>
          <w:tcPr/>
          <w:p>
            <w:pPr>
              <w:pStyle w:val="Compact"/>
              <w:jc w:val="center"/>
            </w:pPr>
            <w:r>
              <w:t xml:space="preserve">101.0</w:t>
            </w:r>
          </w:p>
        </w:tc>
        <w:tc>
          <w:tcPr/>
          <w:p>
            <w:pPr>
              <w:pStyle w:val="Compact"/>
              <w:jc w:val="center"/>
            </w:pPr>
            <w:r>
              <w:t xml:space="preserve">4.90</w:t>
            </w:r>
          </w:p>
        </w:tc>
        <w:tc>
          <w:tcPr/>
          <w:p>
            <w:pPr>
              <w:pStyle w:val="Compact"/>
              <w:jc w:val="center"/>
            </w:pPr>
            <w:r>
              <w:t xml:space="preserve">13.06</w:t>
            </w:r>
          </w:p>
        </w:tc>
      </w:tr>
      <w:tr>
        <w:tc>
          <w:tcPr/>
          <w:p>
            <w:pPr>
              <w:pStyle w:val="Compact"/>
              <w:jc w:val="left"/>
            </w:pPr>
            <w:r>
              <w:t xml:space="preserve">Average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12.7</w:t>
            </w:r>
          </w:p>
        </w:tc>
      </w:tr>
      <w:tr>
        <w:tc>
          <w:tcPr/>
          <w:p>
            <w:pPr>
              <w:pStyle w:val="Compact"/>
              <w:jc w:val="left"/>
            </w:pPr>
            <w:r>
              <w:t xml:space="preserve">Standard Deviation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0.4</w:t>
            </w:r>
          </w:p>
        </w:tc>
      </w:tr>
    </w:tbl>
    <w:p>
      <w:pPr>
        <w:pStyle w:val="BodyText"/>
      </w:pPr>
      <w:r>
        <w:t xml:space="preserve">Table 2. Diffraction of green laser light (532 nm).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rPr>
                <w:iCs/>
                <w:i/>
              </w:rPr>
              <w:t xml:space="preserve">D</w:t>
            </w:r>
            <w:r>
              <w:t xml:space="preserve"> </w:t>
            </w:r>
            <w:r>
              <w:t xml:space="preserve">(cm)</w:t>
            </w:r>
          </w:p>
        </w:tc>
        <w:tc>
          <w:tcPr/>
          <w:p>
            <w:pPr>
              <w:pStyle w:val="Compact"/>
              <w:jc w:val="center"/>
            </w:pPr>
            <w:r>
              <w:rPr>
                <w:iCs/>
                <w:i/>
              </w:rPr>
              <w:t xml:space="preserve">y</w:t>
            </w:r>
            <w:r>
              <w:rPr>
                <w:vertAlign w:val="subscript"/>
              </w:rPr>
              <w:t xml:space="preserve">1</w:t>
            </w:r>
            <w:r>
              <w:t xml:space="preserve"> </w:t>
            </w:r>
            <w:r>
              <w:t xml:space="preserve">(cm)</w:t>
            </w:r>
          </w:p>
        </w:tc>
        <w:tc>
          <w:tcPr/>
          <w:p>
            <w:pPr>
              <w:pStyle w:val="Compact"/>
              <w:jc w:val="center"/>
            </w:pPr>
            <w:r>
              <w:t xml:space="preserve">Calculated</w:t>
            </w:r>
            <w:r>
              <w:t xml:space="preserve"> </w:t>
            </w:r>
            <w:r>
              <w:rPr>
                <w:iCs/>
                <w:i/>
              </w:rPr>
              <w:t xml:space="preserve">d</w:t>
            </w:r>
            <w:r>
              <w:t xml:space="preserve"> </w:t>
            </w:r>
            <w:r>
              <w:t xml:space="preserve">(µm)</w:t>
            </w:r>
          </w:p>
        </w:tc>
      </w:tr>
      <w:tr>
        <w:tc>
          <w:tcPr/>
          <w:p>
            <w:pPr>
              <w:pStyle w:val="Compact"/>
              <w:jc w:val="left"/>
            </w:pPr>
            <w:r>
              <w:t xml:space="preserve">Run 1</w:t>
            </w:r>
          </w:p>
        </w:tc>
        <w:tc>
          <w:tcPr/>
          <w:p>
            <w:pPr>
              <w:pStyle w:val="Compact"/>
              <w:jc w:val="center"/>
            </w:pPr>
            <w:r>
              <w:t xml:space="preserve">99.4</w:t>
            </w:r>
          </w:p>
        </w:tc>
        <w:tc>
          <w:tcPr/>
          <w:p>
            <w:pPr>
              <w:pStyle w:val="Compact"/>
              <w:jc w:val="center"/>
            </w:pPr>
            <w:r>
              <w:t xml:space="preserve">5.10</w:t>
            </w:r>
          </w:p>
        </w:tc>
        <w:tc>
          <w:tcPr/>
          <w:p>
            <w:pPr>
              <w:pStyle w:val="Compact"/>
              <w:jc w:val="center"/>
            </w:pPr>
            <w:r>
              <w:t xml:space="preserve">10.38</w:t>
            </w:r>
          </w:p>
        </w:tc>
      </w:tr>
      <w:tr>
        <w:tc>
          <w:tcPr/>
          <w:p>
            <w:pPr>
              <w:pStyle w:val="Compact"/>
              <w:jc w:val="left"/>
            </w:pPr>
            <w:r>
              <w:t xml:space="preserve">Run 2</w:t>
            </w:r>
          </w:p>
        </w:tc>
        <w:tc>
          <w:tcPr/>
          <w:p>
            <w:pPr>
              <w:pStyle w:val="Compact"/>
              <w:jc w:val="center"/>
            </w:pPr>
            <w:r>
              <w:t xml:space="preserve">100.7</w:t>
            </w:r>
          </w:p>
        </w:tc>
        <w:tc>
          <w:tcPr/>
          <w:p>
            <w:pPr>
              <w:pStyle w:val="Compact"/>
              <w:jc w:val="center"/>
            </w:pPr>
            <w:r>
              <w:t xml:space="preserve">5.10</w:t>
            </w:r>
          </w:p>
        </w:tc>
        <w:tc>
          <w:tcPr/>
          <w:p>
            <w:pPr>
              <w:pStyle w:val="Compact"/>
              <w:jc w:val="center"/>
            </w:pPr>
            <w:r>
              <w:t xml:space="preserve">10.52</w:t>
            </w:r>
          </w:p>
        </w:tc>
      </w:tr>
      <w:tr>
        <w:tc>
          <w:tcPr/>
          <w:p>
            <w:pPr>
              <w:pStyle w:val="Compact"/>
              <w:jc w:val="left"/>
            </w:pPr>
            <w:r>
              <w:t xml:space="preserve">Run 3</w:t>
            </w:r>
          </w:p>
        </w:tc>
        <w:tc>
          <w:tcPr/>
          <w:p>
            <w:pPr>
              <w:pStyle w:val="Compact"/>
              <w:jc w:val="center"/>
            </w:pPr>
            <w:r>
              <w:t xml:space="preserve">99.1</w:t>
            </w:r>
          </w:p>
        </w:tc>
        <w:tc>
          <w:tcPr/>
          <w:p>
            <w:pPr>
              <w:pStyle w:val="Compact"/>
              <w:jc w:val="center"/>
            </w:pPr>
            <w:r>
              <w:t xml:space="preserve">4.90</w:t>
            </w:r>
          </w:p>
        </w:tc>
        <w:tc>
          <w:tcPr/>
          <w:p>
            <w:pPr>
              <w:pStyle w:val="Compact"/>
              <w:jc w:val="center"/>
            </w:pPr>
            <w:r>
              <w:t xml:space="preserve">10.77</w:t>
            </w:r>
          </w:p>
        </w:tc>
      </w:tr>
      <w:tr>
        <w:tc>
          <w:tcPr/>
          <w:p>
            <w:pPr>
              <w:pStyle w:val="Compact"/>
              <w:jc w:val="left"/>
            </w:pPr>
            <w:r>
              <w:t xml:space="preserve">Average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10.6</w:t>
            </w:r>
          </w:p>
        </w:tc>
      </w:tr>
      <w:tr>
        <w:tc>
          <w:tcPr/>
          <w:p>
            <w:pPr>
              <w:pStyle w:val="Compact"/>
              <w:jc w:val="left"/>
            </w:pPr>
            <w:r>
              <w:t xml:space="preserve">Standard Deviation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w:t>
            </w:r>
          </w:p>
        </w:tc>
      </w:tr>
    </w:tbl>
    <w:p>
      <w:pPr>
        <w:pStyle w:val="BodyText"/>
      </w:pPr>
      <w:r>
        <w:t xml:space="preserve">Table 3. Wavelengths and energies of light emitted by the excited hydrogen atom from higher energy levels to</w:t>
      </w:r>
      <w:r>
        <w:t xml:space="preserve"> </w:t>
      </w:r>
      <w:r>
        <w:rPr>
          <w:iCs/>
          <w:i/>
        </w:rPr>
        <w:t xml:space="preserve">n</w:t>
      </w:r>
      <w:r>
        <w:t xml:space="preserve"> </w:t>
      </w:r>
      <w:r>
        <w:t xml:space="preserve">= 2.</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pPr>
          </w:p>
        </w:tc>
        <w:tc>
          <w:tcPr/>
          <w:p>
            <w:pPr>
              <w:pStyle w:val="Compact"/>
              <w:jc w:val="center"/>
            </w:pPr>
            <w:r>
              <w:rPr>
                <w:iCs/>
                <w:i/>
              </w:rPr>
              <w:t xml:space="preserve">λ</w:t>
            </w:r>
            <w:r>
              <w:t xml:space="preserve"> </w:t>
            </w:r>
            <w:r>
              <w:t xml:space="preserve">(nm)</w:t>
            </w:r>
          </w:p>
        </w:tc>
        <w:tc>
          <w:tcPr/>
          <w:p>
            <w:pPr>
              <w:pStyle w:val="Compact"/>
              <w:jc w:val="center"/>
            </w:pPr>
            <w:r>
              <w:rPr>
                <w:iCs/>
                <w:i/>
              </w:rPr>
              <w:t xml:space="preserve">n</w:t>
            </w:r>
            <w:r>
              <w:rPr>
                <w:vertAlign w:val="subscript"/>
              </w:rPr>
              <w:t xml:space="preserve">i</w:t>
            </w:r>
          </w:p>
        </w:tc>
        <w:tc>
          <w:tcPr/>
          <w:p>
            <w:pPr>
              <w:pStyle w:val="Compact"/>
              <w:jc w:val="center"/>
            </w:pPr>
            <w:r>
              <w:rPr>
                <w:iCs/>
                <w:i/>
              </w:rPr>
              <w:t xml:space="preserve">n</w:t>
            </w:r>
            <w:r>
              <w:rPr>
                <w:vertAlign w:val="subscript"/>
              </w:rPr>
              <w:t xml:space="preserve">f</w:t>
            </w:r>
          </w:p>
        </w:tc>
        <w:tc>
          <w:tcPr/>
          <w:p>
            <w:pPr>
              <w:pStyle w:val="Compact"/>
              <w:jc w:val="center"/>
            </w:pPr>
            <w:r>
              <w:t xml:space="preserve">1/</w:t>
            </w:r>
            <w:r>
              <w:rPr>
                <w:iCs/>
                <w:i/>
              </w:rPr>
              <w:t xml:space="preserve">n</w:t>
            </w:r>
            <w:r>
              <w:rPr>
                <w:vertAlign w:val="subscript"/>
              </w:rPr>
              <w:t xml:space="preserve">i</w:t>
            </w:r>
            <w:r>
              <w:rPr>
                <w:vertAlign w:val="superscript"/>
              </w:rPr>
              <w:t xml:space="preserve">2</w:t>
            </w:r>
          </w:p>
        </w:tc>
        <w:tc>
          <w:tcPr/>
          <w:p>
            <w:pPr>
              <w:pStyle w:val="Compact"/>
              <w:jc w:val="center"/>
            </w:pPr>
            <w:r>
              <w:t xml:space="preserve">Photon Energy (eV)</w:t>
            </w:r>
          </w:p>
        </w:tc>
        <w:tc>
          <w:tcPr/>
          <w:p>
            <w:pPr>
              <w:pStyle w:val="Compact"/>
              <w:jc w:val="center"/>
            </w:pPr>
            <w:r>
              <w:t xml:space="preserve">Hydrogenic Energy Level (eV)</w:t>
            </w:r>
          </w:p>
        </w:tc>
      </w:tr>
      <w:tr>
        <w:tc>
          <w:tcPr/>
          <w:p>
            <w:pPr>
              <w:pStyle w:val="Compact"/>
              <w:jc w:val="left"/>
            </w:pPr>
            <w:r>
              <w:t xml:space="preserve">Wavelength 1</w:t>
            </w:r>
          </w:p>
        </w:tc>
        <w:tc>
          <w:tcPr/>
          <w:p>
            <w:pPr>
              <w:pStyle w:val="Compact"/>
              <w:jc w:val="center"/>
            </w:pPr>
            <w:r>
              <w:t xml:space="preserve">650.5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0.1111</w:t>
            </w:r>
          </w:p>
        </w:tc>
        <w:tc>
          <w:tcPr/>
          <w:p>
            <w:pPr>
              <w:pStyle w:val="Compact"/>
              <w:jc w:val="center"/>
            </w:pPr>
            <w:r>
              <w:t xml:space="preserve">1.901</w:t>
            </w:r>
          </w:p>
        </w:tc>
        <w:tc>
          <w:tcPr/>
          <w:p>
            <w:pPr>
              <w:pStyle w:val="Compact"/>
              <w:jc w:val="center"/>
            </w:pPr>
            <w:r>
              <w:t xml:space="preserve">−1.499</w:t>
            </w:r>
          </w:p>
        </w:tc>
      </w:tr>
      <w:tr>
        <w:tc>
          <w:tcPr/>
          <w:p>
            <w:pPr>
              <w:pStyle w:val="Compact"/>
              <w:jc w:val="left"/>
            </w:pPr>
            <w:r>
              <w:t xml:space="preserve">Wavelength 2</w:t>
            </w:r>
          </w:p>
        </w:tc>
        <w:tc>
          <w:tcPr/>
          <w:p>
            <w:pPr>
              <w:pStyle w:val="Compact"/>
              <w:jc w:val="center"/>
            </w:pPr>
            <w:r>
              <w:t xml:space="preserve">480.2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0.0625</w:t>
            </w:r>
          </w:p>
        </w:tc>
        <w:tc>
          <w:tcPr/>
          <w:p>
            <w:pPr>
              <w:pStyle w:val="Compact"/>
              <w:jc w:val="center"/>
            </w:pPr>
            <w:r>
              <w:t xml:space="preserve">2.575</w:t>
            </w:r>
          </w:p>
        </w:tc>
        <w:tc>
          <w:tcPr/>
          <w:p>
            <w:pPr>
              <w:pStyle w:val="Compact"/>
              <w:jc w:val="center"/>
            </w:pPr>
            <w:r>
              <w:t xml:space="preserve">−0.825</w:t>
            </w:r>
          </w:p>
        </w:tc>
      </w:tr>
      <w:tr>
        <w:tc>
          <w:tcPr/>
          <w:p>
            <w:pPr>
              <w:pStyle w:val="Compact"/>
              <w:jc w:val="left"/>
            </w:pPr>
            <w:r>
              <w:t xml:space="preserve">Wavelength 3</w:t>
            </w:r>
          </w:p>
        </w:tc>
        <w:tc>
          <w:tcPr/>
          <w:p>
            <w:pPr>
              <w:pStyle w:val="Compact"/>
              <w:jc w:val="center"/>
            </w:pPr>
            <w:r>
              <w:t xml:space="preserve">430.9</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0.0400</w:t>
            </w:r>
          </w:p>
        </w:tc>
        <w:tc>
          <w:tcPr/>
          <w:p>
            <w:pPr>
              <w:pStyle w:val="Compact"/>
              <w:jc w:val="center"/>
            </w:pPr>
            <w:r>
              <w:t xml:space="preserve">2.870</w:t>
            </w:r>
          </w:p>
        </w:tc>
        <w:tc>
          <w:tcPr/>
          <w:p>
            <w:pPr>
              <w:pStyle w:val="Compact"/>
              <w:jc w:val="center"/>
            </w:pPr>
            <w:r>
              <w:t xml:space="preserve">−0.530</w:t>
            </w:r>
          </w:p>
        </w:tc>
      </w:tr>
      <w:tr>
        <w:tc>
          <w:tcPr/>
          <w:p>
            <w:pPr>
              <w:pStyle w:val="Compact"/>
              <w:jc w:val="left"/>
            </w:pPr>
            <w:r>
              <w:t xml:space="preserve">Wavelength 4</w:t>
            </w:r>
          </w:p>
        </w:tc>
        <w:tc>
          <w:tcPr/>
          <w:p>
            <w:pPr>
              <w:pStyle w:val="Compact"/>
              <w:jc w:val="center"/>
            </w:pPr>
            <w:r>
              <w:t xml:space="preserve">409.1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0.0278</w:t>
            </w:r>
          </w:p>
        </w:tc>
        <w:tc>
          <w:tcPr/>
          <w:p>
            <w:pPr>
              <w:pStyle w:val="Compact"/>
              <w:jc w:val="center"/>
            </w:pPr>
            <w:r>
              <w:t xml:space="preserve">3.023</w:t>
            </w:r>
          </w:p>
        </w:tc>
        <w:tc>
          <w:tcPr/>
          <w:p>
            <w:pPr>
              <w:pStyle w:val="Compact"/>
              <w:jc w:val="center"/>
            </w:pPr>
            <w:r>
              <w:t xml:space="preserve">−0.377</w:t>
            </w:r>
          </w:p>
        </w:tc>
      </w:tr>
    </w:tbl>
    <w:p>
      <w:pPr>
        <w:pStyle w:val="BodyText"/>
      </w:pPr>
      <w:r>
        <w:t xml:space="preserve">Table 4. Line of best fit for energy levels of the hydrogen atom as a function of 1/</w:t>
      </w:r>
      <w:r>
        <w:rPr>
          <w:iCs/>
          <w:i/>
        </w:rPr>
        <w:t xml:space="preserve">n</w:t>
      </w:r>
      <w:r>
        <w:rPr>
          <w:vertAlign w:val="superscript"/>
        </w:rPr>
        <w:t xml:space="preserve">2</w:t>
      </w:r>
      <w:r>
        <w:t xml:space="preserv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center"/>
            </w:pPr>
            <w:r>
              <w:t xml:space="preserve">Slope</w:t>
            </w:r>
          </w:p>
        </w:tc>
        <w:tc>
          <w:tcPr/>
          <w:p>
            <w:pPr>
              <w:pStyle w:val="Compact"/>
              <w:jc w:val="center"/>
            </w:pPr>
            <w:r>
              <w:rPr>
                <w:iCs/>
                <w:i/>
              </w:rPr>
              <w:t xml:space="preserve">y</w:t>
            </w:r>
            <w:r>
              <w:t xml:space="preserve">-Intercept</w:t>
            </w:r>
          </w:p>
        </w:tc>
        <w:tc>
          <w:tcPr/>
          <w:p>
            <w:pPr>
              <w:pStyle w:val="Compact"/>
              <w:jc w:val="center"/>
            </w:pPr>
            <w:r>
              <w:rPr>
                <w:iCs/>
                <w:i/>
              </w:rPr>
              <w:t xml:space="preserve">R</w:t>
            </w:r>
            <w:r>
              <w:rPr>
                <w:vertAlign w:val="superscript"/>
              </w:rPr>
              <w:t xml:space="preserve">2</w:t>
            </w:r>
            <w:r>
              <w:t xml:space="preserve"> </w:t>
            </w:r>
            <w:r>
              <w:t xml:space="preserve">Value</w:t>
            </w:r>
          </w:p>
        </w:tc>
        <w:tc>
          <w:tcPr/>
          <w:p>
            <w:pPr>
              <w:pStyle w:val="Compact"/>
              <w:jc w:val="center"/>
            </w:pPr>
            <w:r>
              <w:t xml:space="preserve">Energy of electron in ground state (eV)</w:t>
            </w:r>
          </w:p>
        </w:tc>
      </w:tr>
      <w:tr>
        <w:tc>
          <w:tcPr/>
          <w:p>
            <w:pPr>
              <w:pStyle w:val="Compact"/>
              <w:jc w:val="left"/>
            </w:pPr>
            <w:r>
              <w:t xml:space="preserve">Line of Best Fit</w:t>
            </w:r>
          </w:p>
        </w:tc>
        <w:tc>
          <w:tcPr/>
          <w:p>
            <w:pPr>
              <w:pStyle w:val="Compact"/>
              <w:jc w:val="center"/>
            </w:pPr>
            <w:r>
              <w:t xml:space="preserve">−13.65</w:t>
            </w:r>
          </w:p>
        </w:tc>
        <w:tc>
          <w:tcPr/>
          <w:p>
            <w:pPr>
              <w:pStyle w:val="Compact"/>
              <w:jc w:val="center"/>
            </w:pPr>
            <w:r>
              <w:t xml:space="preserve">0.015</w:t>
            </w:r>
          </w:p>
        </w:tc>
        <w:tc>
          <w:tcPr/>
          <w:p>
            <w:pPr>
              <w:pStyle w:val="Compact"/>
              <w:jc w:val="center"/>
            </w:pPr>
            <w:r>
              <w:t xml:space="preserve">0.9999</w:t>
            </w:r>
          </w:p>
        </w:tc>
        <w:tc>
          <w:tcPr/>
          <w:p>
            <w:pPr>
              <w:pStyle w:val="Compact"/>
              <w:jc w:val="center"/>
            </w:pPr>
            <w:r>
              <w:t xml:space="preserve">−13.6</w:t>
            </w:r>
          </w:p>
        </w:tc>
      </w:tr>
    </w:tbl>
    <w:p>
      <w:pPr>
        <w:pStyle w:val="CaptionedFigure"/>
      </w:pPr>
      <w:r>
        <w:drawing>
          <wp:inline>
            <wp:extent cx="4572000" cy="3429000"/>
            <wp:effectExtent b="0" l="0" r="0" t="0"/>
            <wp:docPr descr="Figure 1. Energy levels of the hydrogen atom as a function of 1/n2." title="" id="22" name="Picture"/>
            <a:graphic>
              <a:graphicData uri="http://schemas.openxmlformats.org/drawingml/2006/picture">
                <pic:pic>
                  <pic:nvPicPr>
                    <pic:cNvPr descr="figure1_hydrogen_energy.png" id="23" name="Picture"/>
                    <pic:cNvPicPr>
                      <a:picLocks noChangeArrowheads="1" noChangeAspect="1"/>
                    </pic:cNvPicPr>
                  </pic:nvPicPr>
                  <pic:blipFill>
                    <a:blip r:embed="rId21"/>
                    <a:stretch>
                      <a:fillRect/>
                    </a:stretch>
                  </pic:blipFill>
                  <pic:spPr bwMode="auto">
                    <a:xfrm>
                      <a:off x="0" y="0"/>
                      <a:ext cx="4572000" cy="3429000"/>
                    </a:xfrm>
                    <a:prstGeom prst="rect">
                      <a:avLst/>
                    </a:prstGeom>
                    <a:noFill/>
                    <a:ln w="9525">
                      <a:noFill/>
                      <a:headEnd/>
                      <a:tailEnd/>
                    </a:ln>
                  </pic:spPr>
                </pic:pic>
              </a:graphicData>
            </a:graphic>
          </wp:inline>
        </w:drawing>
      </w:r>
    </w:p>
    <w:p>
      <w:pPr>
        <w:pStyle w:val="ImageCaption"/>
      </w:pPr>
      <w:r>
        <w:t xml:space="preserve">Figure 1. Energy levels of the hydrogen atom as a function of 1/</w:t>
      </w:r>
      <w:r>
        <w:rPr>
          <w:iCs/>
          <w:i/>
        </w:rPr>
        <w:t xml:space="preserve">n</w:t>
      </w:r>
      <w:r>
        <w:rPr>
          <w:vertAlign w:val="superscript"/>
        </w:rPr>
        <w:t xml:space="preserve">2</w:t>
      </w:r>
      <w:r>
        <w:t xml:space="preserve">.</w:t>
      </w:r>
    </w:p>
    <w:p>
      <w:pPr>
        <w:pStyle w:val="BodyText"/>
      </w:pPr>
      <w:r>
        <w:t xml:space="preserve">Figure 2. Visible emission spectrum of [element 1].</w:t>
      </w:r>
      <w:r>
        <w:t xml:space="preserve"> </w:t>
      </w:r>
      <w:r>
        <w:rPr>
          <w:bCs/>
          <w:b/>
        </w:rPr>
        <w:t xml:space="preserve">[Insert image]</w:t>
      </w:r>
    </w:p>
    <w:p>
      <w:pPr>
        <w:pStyle w:val="BodyText"/>
      </w:pPr>
      <w:r>
        <w:t xml:space="preserve">Figure 3. Visible emission spectrum of [element 2].</w:t>
      </w:r>
      <w:r>
        <w:t xml:space="preserve"> </w:t>
      </w:r>
      <w:r>
        <w:rPr>
          <w:bCs/>
          <w:b/>
        </w:rPr>
        <w:t xml:space="preserve">[Insert image]</w:t>
      </w:r>
    </w:p>
    <w:bookmarkEnd w:id="24"/>
    <w:bookmarkStart w:id="25" w:name="discussion"/>
    <w:p>
      <w:pPr>
        <w:pStyle w:val="Heading1"/>
      </w:pPr>
      <w:r>
        <w:t xml:space="preserve">Discussion</w:t>
      </w:r>
    </w:p>
    <w:p>
      <w:pPr>
        <w:pStyle w:val="FirstParagraph"/>
      </w:pPr>
      <w:r>
        <w:t xml:space="preserve">The groove spacing</w:t>
      </w:r>
      <w:r>
        <w:t xml:space="preserve"> </w:t>
      </w:r>
      <w:r>
        <w:rPr>
          <w:iCs/>
          <w:i/>
        </w:rPr>
        <w:t xml:space="preserve">d</w:t>
      </w:r>
      <w:r>
        <w:t xml:space="preserve"> </w:t>
      </w:r>
      <w:r>
        <w:t xml:space="preserve">was calculated from Run 1 of the red laser, where</w:t>
      </w:r>
      <w:r>
        <w:t xml:space="preserve"> </w:t>
      </w:r>
      <w:r>
        <w:rPr>
          <w:iCs/>
          <w:i/>
        </w:rPr>
        <w:t xml:space="preserve">D</w:t>
      </w:r>
      <w:r>
        <w:t xml:space="preserve"> </w:t>
      </w:r>
      <w:r>
        <w:t xml:space="preserve">= 99.4 cm,</w:t>
      </w:r>
      <w:r>
        <w:t xml:space="preserve"> </w:t>
      </w:r>
      <w:r>
        <w:rPr>
          <w:iCs/>
          <w:i/>
        </w:rPr>
        <w:t xml:space="preserve">y</w:t>
      </w:r>
      <w:r>
        <w:rPr>
          <w:vertAlign w:val="subscript"/>
        </w:rPr>
        <w:t xml:space="preserve">1</w:t>
      </w:r>
      <w:r>
        <w:t xml:space="preserve"> </w:t>
      </w:r>
      <w:r>
        <w:t xml:space="preserve">= 5.10 cm, and</w:t>
      </w:r>
      <w:r>
        <w:t xml:space="preserve"> </w:t>
      </w:r>
      <w:r>
        <w:rPr>
          <w:iCs/>
          <w:i/>
        </w:rPr>
        <w:t xml:space="preserve">λ</w:t>
      </w:r>
      <w:r>
        <w:t xml:space="preserve"> </w:t>
      </w:r>
      <w:r>
        <w:t xml:space="preserve">= 0.633 µm. Rearranging the diffraction equation gives:</w:t>
      </w:r>
    </w:p>
    <w:p>
      <w:pPr>
        <w:pStyle w:val="BodyText"/>
      </w:pPr>
      <m:oMathPara>
        <m:oMathParaPr>
          <m:jc m:val="center"/>
        </m:oMathParaPr>
        <m:oMath>
          <m:r>
            <m:t>d</m:t>
          </m:r>
          <m:r>
            <m:rPr>
              <m:sty m:val="p"/>
            </m:rPr>
            <m:t>=</m:t>
          </m:r>
          <m:f>
            <m:fPr>
              <m:type m:val="bar"/>
            </m:fPr>
            <m:num>
              <m:r>
                <m:t>λ</m:t>
              </m:r>
              <m:rad>
                <m:radPr>
                  <m:degHide m:val="on"/>
                </m:radPr>
                <m:deg/>
                <m:e>
                  <m:sSubSup>
                    <m:e>
                      <m:r>
                        <m:t>y</m:t>
                      </m:r>
                    </m:e>
                    <m:sub>
                      <m:r>
                        <m:t>1</m:t>
                      </m:r>
                    </m:sub>
                    <m:sup>
                      <m:r>
                        <m:t>2</m:t>
                      </m:r>
                    </m:sup>
                  </m:sSubSup>
                  <m:r>
                    <m:rPr>
                      <m:sty m:val="p"/>
                    </m:rPr>
                    <m:t>+</m:t>
                  </m:r>
                  <m:sSup>
                    <m:e>
                      <m:r>
                        <m:t>D</m:t>
                      </m:r>
                    </m:e>
                    <m:sup>
                      <m:r>
                        <m:t>2</m:t>
                      </m:r>
                    </m:sup>
                  </m:sSup>
                </m:e>
              </m:rad>
            </m:num>
            <m:den>
              <m:sSub>
                <m:e>
                  <m:r>
                    <m:t>y</m:t>
                  </m:r>
                </m:e>
                <m:sub>
                  <m:r>
                    <m:t>1</m:t>
                  </m:r>
                </m:sub>
              </m:sSub>
            </m:den>
          </m:f>
          <m:r>
            <m:rPr>
              <m:sty m:val="p"/>
            </m:rPr>
            <m:t>=</m:t>
          </m:r>
          <m:f>
            <m:fPr>
              <m:type m:val="bar"/>
            </m:fPr>
            <m:num>
              <m:d>
                <m:dPr>
                  <m:begChr m:val="("/>
                  <m:endChr m:val=")"/>
                  <m:sepChr m:val=""/>
                  <m:grow/>
                </m:dPr>
                <m:e>
                  <m:r>
                    <m:t>0.633</m:t>
                  </m:r>
                  <m:r>
                    <m:t> </m:t>
                  </m:r>
                  <m:r>
                    <m:t>μ</m:t>
                  </m:r>
                  <m:r>
                    <m:rPr>
                      <m:nor/>
                      <m:sty m:val="p"/>
                    </m:rPr>
                    <m:t>m</m:t>
                  </m:r>
                </m:e>
              </m:d>
              <m:rad>
                <m:radPr>
                  <m:degHide m:val="on"/>
                </m:radPr>
                <m:deg/>
                <m:e>
                  <m:sSup>
                    <m:e>
                      <m:d>
                        <m:dPr>
                          <m:begChr m:val="("/>
                          <m:endChr m:val=")"/>
                          <m:sepChr m:val=""/>
                          <m:grow/>
                        </m:dPr>
                        <m:e>
                          <m:r>
                            <m:t>5.10</m:t>
                          </m:r>
                          <m:r>
                            <m:t> </m:t>
                          </m:r>
                          <m:r>
                            <m:rPr>
                              <m:nor/>
                              <m:sty m:val="p"/>
                            </m:rPr>
                            <m:t>cm</m:t>
                          </m:r>
                        </m:e>
                      </m:d>
                    </m:e>
                    <m:sup>
                      <m:r>
                        <m:t>2</m:t>
                      </m:r>
                    </m:sup>
                  </m:sSup>
                  <m:r>
                    <m:rPr>
                      <m:sty m:val="p"/>
                    </m:rPr>
                    <m:t>+</m:t>
                  </m:r>
                  <m:sSup>
                    <m:e>
                      <m:d>
                        <m:dPr>
                          <m:begChr m:val="("/>
                          <m:endChr m:val=")"/>
                          <m:sepChr m:val=""/>
                          <m:grow/>
                        </m:dPr>
                        <m:e>
                          <m:r>
                            <m:t>99.4</m:t>
                          </m:r>
                          <m:r>
                            <m:t> </m:t>
                          </m:r>
                          <m:r>
                            <m:rPr>
                              <m:nor/>
                              <m:sty m:val="p"/>
                            </m:rPr>
                            <m:t>cm</m:t>
                          </m:r>
                        </m:e>
                      </m:d>
                    </m:e>
                    <m:sup>
                      <m:r>
                        <m:t>2</m:t>
                      </m:r>
                    </m:sup>
                  </m:sSup>
                </m:e>
              </m:rad>
            </m:num>
            <m:den>
              <m:r>
                <m:t>5.10</m:t>
              </m:r>
              <m:r>
                <m:t> </m:t>
              </m:r>
              <m:r>
                <m:rPr>
                  <m:nor/>
                  <m:sty m:val="p"/>
                </m:rPr>
                <m:t>cm</m:t>
              </m:r>
            </m:den>
          </m:f>
        </m:oMath>
      </m:oMathPara>
    </w:p>
    <w:p>
      <w:pPr>
        <w:pStyle w:val="FirstParagraph"/>
      </w:pPr>
      <m:oMathPara>
        <m:oMathParaPr>
          <m:jc m:val="center"/>
        </m:oMathParaPr>
        <m:oMath>
          <m:r>
            <m:t>d</m:t>
          </m:r>
          <m:r>
            <m:rPr>
              <m:sty m:val="p"/>
            </m:rPr>
            <m:t>=</m:t>
          </m:r>
          <m:f>
            <m:fPr>
              <m:type m:val="bar"/>
            </m:fPr>
            <m:num>
              <m:d>
                <m:dPr>
                  <m:begChr m:val="("/>
                  <m:endChr m:val=")"/>
                  <m:sepChr m:val=""/>
                  <m:grow/>
                </m:dPr>
                <m:e>
                  <m:r>
                    <m:t>0.633</m:t>
                  </m:r>
                  <m:r>
                    <m:t> </m:t>
                  </m:r>
                  <m:r>
                    <m:t>μ</m:t>
                  </m:r>
                  <m:r>
                    <m:rPr>
                      <m:nor/>
                      <m:sty m:val="p"/>
                    </m:rPr>
                    <m:t>m</m:t>
                  </m:r>
                </m:e>
              </m:d>
              <m:d>
                <m:dPr>
                  <m:begChr m:val="("/>
                  <m:endChr m:val=")"/>
                  <m:sepChr m:val=""/>
                  <m:grow/>
                </m:dPr>
                <m:e>
                  <m:r>
                    <m:t>99.53</m:t>
                  </m:r>
                  <m:r>
                    <m:t> </m:t>
                  </m:r>
                  <m:r>
                    <m:rPr>
                      <m:nor/>
                      <m:sty m:val="p"/>
                    </m:rPr>
                    <m:t>cm</m:t>
                  </m:r>
                </m:e>
              </m:d>
            </m:num>
            <m:den>
              <m:r>
                <m:t>5.10</m:t>
              </m:r>
              <m:r>
                <m:t> </m:t>
              </m:r>
              <m:r>
                <m:rPr>
                  <m:nor/>
                  <m:sty m:val="p"/>
                </m:rPr>
                <m:t>cm</m:t>
              </m:r>
            </m:den>
          </m:f>
          <m:r>
            <m:rPr>
              <m:sty m:val="p"/>
            </m:rPr>
            <m:t>=</m:t>
          </m:r>
          <m:r>
            <m:t>12.35</m:t>
          </m:r>
          <m:r>
            <m:t> </m:t>
          </m:r>
          <m:r>
            <m:t>μ</m:t>
          </m:r>
          <m:r>
            <m:rPr>
              <m:nor/>
              <m:sty m:val="p"/>
            </m:rPr>
            <m:t>m</m:t>
          </m:r>
        </m:oMath>
      </m:oMathPara>
    </w:p>
    <w:p>
      <w:pPr>
        <w:pStyle w:val="FirstParagraph"/>
      </w:pPr>
      <w:r>
        <w:t xml:space="preserve">The same method was used for all six measurements. For the red laser, the mean</w:t>
      </w:r>
      <w:r>
        <w:t xml:space="preserve"> </w:t>
      </w:r>
      <w:r>
        <w:rPr>
          <w:iCs/>
          <w:i/>
        </w:rPr>
        <w:t xml:space="preserve">d</w:t>
      </w:r>
      <w:r>
        <w:t xml:space="preserve"> </w:t>
      </w:r>
      <w:r>
        <w:t xml:space="preserve">was 12.67 µm with a standard deviation of 0.36 µm. For the green laser, the mean</w:t>
      </w:r>
      <w:r>
        <w:t xml:space="preserve"> </w:t>
      </w:r>
      <w:r>
        <w:rPr>
          <w:iCs/>
          <w:i/>
        </w:rPr>
        <w:t xml:space="preserve">d</w:t>
      </w:r>
      <w:r>
        <w:t xml:space="preserve"> </w:t>
      </w:r>
      <w:r>
        <w:t xml:space="preserve">was 10.56 µm with a standard deviation of 0.20 µm. Each standard deviation is in the tenths place, so</w:t>
      </w:r>
      <w:r>
        <w:t xml:space="preserve"> </w:t>
      </w:r>
      <w:r>
        <w:rPr>
          <w:iCs/>
          <w:i/>
        </w:rPr>
        <w:t xml:space="preserve">d</w:t>
      </w:r>
      <w:r>
        <w:t xml:space="preserve"> </w:t>
      </w:r>
      <w:r>
        <w:t xml:space="preserve">should be reported to 0.1 µm: 12.7 ± 0.4 µm for red and 10.6 ± 0.2 µm for green. This is about 2–3% of the mean, so each set of three measurements was fairly precise. However, the two lasers did not give the same</w:t>
      </w:r>
      <w:r>
        <w:t xml:space="preserve"> </w:t>
      </w:r>
      <w:r>
        <w:rPr>
          <w:iCs/>
          <w:i/>
        </w:rPr>
        <w:t xml:space="preserve">d</w:t>
      </w:r>
      <w:r>
        <w:t xml:space="preserve">, which does not support the hypothesis that</w:t>
      </w:r>
      <w:r>
        <w:t xml:space="preserve"> </w:t>
      </w:r>
      <w:r>
        <w:rPr>
          <w:iCs/>
          <w:i/>
        </w:rPr>
        <w:t xml:space="preserve">d</w:t>
      </w:r>
      <w:r>
        <w:t xml:space="preserve"> </w:t>
      </w:r>
      <w:r>
        <w:t xml:space="preserve">depends only on the grating. The green</w:t>
      </w:r>
      <w:r>
        <w:t xml:space="preserve"> </w:t>
      </w:r>
      <w:r>
        <w:rPr>
          <w:iCs/>
          <w:i/>
        </w:rPr>
        <w:t xml:space="preserve">y</w:t>
      </w:r>
      <w:r>
        <w:rPr>
          <w:vertAlign w:val="subscript"/>
        </w:rPr>
        <w:t xml:space="preserve">1</w:t>
      </w:r>
      <w:r>
        <w:t xml:space="preserve"> </w:t>
      </w:r>
      <w:r>
        <w:t xml:space="preserve">values (4.9–5.1 cm) were almost the same as the red ones. Since green light has a shorter wavelength, its first spot should have been closer to the center, about 4.2 cm away. The difference most likely comes from error in finding the center of the spots by eye, a tilted grating or board, or a recording mistake. The red laser did diffract at least as far as the green, which agrees with the wave theory, but the difference was smaller than expected.</w:t>
      </w:r>
    </w:p>
    <w:p>
      <w:pPr>
        <w:pStyle w:val="BodyText"/>
      </w:pPr>
      <w:r>
        <w:t xml:space="preserve">For hydrogen, the four measured lines were 650.5, 480.2, 430.9, and 409.1 nm. Shorter wavelengths have more energy, so they come from higher starting levels. The lines were assigned to</w:t>
      </w:r>
      <w:r>
        <w:t xml:space="preserve"> </w:t>
      </w:r>
      <w:r>
        <w:rPr>
          <w:iCs/>
          <w:i/>
        </w:rPr>
        <w:t xml:space="preserve">n</w:t>
      </w:r>
      <w:r>
        <w:rPr>
          <w:vertAlign w:val="subscript"/>
        </w:rPr>
        <w:t xml:space="preserve">i</w:t>
      </w:r>
      <w:r>
        <w:t xml:space="preserve"> </w:t>
      </w:r>
      <w:r>
        <w:t xml:space="preserve">= 3, 4, 5, and 6 in that order. Each photon energy was found with</w:t>
      </w:r>
      <w:r>
        <w:t xml:space="preserve"> </w:t>
      </w:r>
      <w:r>
        <w:rPr>
          <w:iCs/>
          <w:i/>
        </w:rPr>
        <w:t xml:space="preserve">E</w:t>
      </w:r>
      <w:r>
        <w:t xml:space="preserve"> </w:t>
      </w:r>
      <w:r>
        <w:t xml:space="preserve">=</w:t>
      </w:r>
      <w:r>
        <w:t xml:space="preserve"> </w:t>
      </w:r>
      <w:r>
        <w:rPr>
          <w:iCs/>
          <w:i/>
        </w:rPr>
        <w:t xml:space="preserve">hc</w:t>
      </w:r>
      <w:r>
        <w:t xml:space="preserve">/</w:t>
      </w:r>
      <w:r>
        <w:rPr>
          <w:iCs/>
          <w:i/>
        </w:rPr>
        <w:t xml:space="preserve">λ</w:t>
      </w:r>
      <w:r>
        <w:t xml:space="preserve"> </w:t>
      </w:r>
      <w:r>
        <w:t xml:space="preserve">and added to the</w:t>
      </w:r>
      <w:r>
        <w:t xml:space="preserve"> </w:t>
      </w:r>
      <w:r>
        <w:rPr>
          <w:iCs/>
          <w:i/>
        </w:rPr>
        <w:t xml:space="preserve">n</w:t>
      </w:r>
      <w:r>
        <w:t xml:space="preserve"> </w:t>
      </w:r>
      <w:r>
        <w:t xml:space="preserve">= 2 energy of −3.40 eV to get the energy of each higher level. For example, for the 650.5 nm line:</w:t>
      </w:r>
    </w:p>
    <w:p>
      <w:pPr>
        <w:pStyle w:val="BodyText"/>
      </w:pPr>
      <m:oMathPara>
        <m:oMathParaPr>
          <m:jc m:val="center"/>
        </m:oMathParaPr>
        <m:oMath>
          <m:sSub>
            <m:e>
              <m:r>
                <m:t>E</m:t>
              </m:r>
            </m:e>
            <m:sub>
              <m:r>
                <m:rPr>
                  <m:nor/>
                  <m:sty m:val="p"/>
                </m:rPr>
                <m:t>photon</m:t>
              </m:r>
            </m:sub>
          </m:sSub>
          <m:r>
            <m:rPr>
              <m:sty m:val="p"/>
            </m:rPr>
            <m:t>=</m:t>
          </m:r>
          <m:f>
            <m:fPr>
              <m:type m:val="bar"/>
            </m:fPr>
            <m:num>
              <m:r>
                <m:t>h</m:t>
              </m:r>
              <m:r>
                <m:t>c</m:t>
              </m:r>
            </m:num>
            <m:den>
              <m:r>
                <m:t>λ</m:t>
              </m:r>
            </m:den>
          </m:f>
          <m:r>
            <m:rPr>
              <m:sty m:val="p"/>
            </m:rPr>
            <m:t>=</m:t>
          </m:r>
          <m:f>
            <m:fPr>
              <m:type m:val="bar"/>
            </m:fPr>
            <m:num>
              <m:d>
                <m:dPr>
                  <m:begChr m:val="("/>
                  <m:endChr m:val=")"/>
                  <m:sepChr m:val=""/>
                  <m:grow/>
                </m:dPr>
                <m:e>
                  <m:r>
                    <m:t>6.626</m:t>
                  </m:r>
                  <m:r>
                    <m:rPr>
                      <m:sty m:val="p"/>
                    </m:rPr>
                    <m:t>×</m:t>
                  </m:r>
                  <m:sSup>
                    <m:e>
                      <m:r>
                        <m:t>10</m:t>
                      </m:r>
                    </m:e>
                    <m:sup>
                      <m:r>
                        <m:rPr>
                          <m:sty m:val="p"/>
                        </m:rPr>
                        <m:t>−</m:t>
                      </m:r>
                      <m:r>
                        <m:t>34</m:t>
                      </m:r>
                    </m:sup>
                  </m:sSup>
                  <m:r>
                    <m:t> </m:t>
                  </m:r>
                  <m:r>
                    <m:rPr>
                      <m:nor/>
                      <m:sty m:val="p"/>
                    </m:rPr>
                    <m:t>J·s</m:t>
                  </m:r>
                </m:e>
              </m:d>
              <m:d>
                <m:dPr>
                  <m:begChr m:val="("/>
                  <m:endChr m:val=")"/>
                  <m:sepChr m:val=""/>
                  <m:grow/>
                </m:dPr>
                <m:e>
                  <m:r>
                    <m:t>2.99</m:t>
                  </m:r>
                  <m:r>
                    <m:rPr>
                      <m:sty m:val="p"/>
                    </m:rPr>
                    <m:t>×</m:t>
                  </m:r>
                  <m:sSup>
                    <m:e>
                      <m:r>
                        <m:t>10</m:t>
                      </m:r>
                    </m:e>
                    <m:sup>
                      <m:r>
                        <m:t>8</m:t>
                      </m:r>
                    </m:sup>
                  </m:sSup>
                  <m:r>
                    <m:t> </m:t>
                  </m:r>
                  <m:r>
                    <m:rPr>
                      <m:nor/>
                      <m:sty m:val="p"/>
                    </m:rPr>
                    <m:t>m/s</m:t>
                  </m:r>
                </m:e>
              </m:d>
            </m:num>
            <m:den>
              <m:r>
                <m:t>650.5</m:t>
              </m:r>
              <m:r>
                <m:rPr>
                  <m:sty m:val="p"/>
                </m:rPr>
                <m:t>×</m:t>
              </m:r>
              <m:sSup>
                <m:e>
                  <m:r>
                    <m:t>10</m:t>
                  </m:r>
                </m:e>
                <m:sup>
                  <m:r>
                    <m:rPr>
                      <m:sty m:val="p"/>
                    </m:rPr>
                    <m:t>−</m:t>
                  </m:r>
                  <m:r>
                    <m:t>9</m:t>
                  </m:r>
                </m:sup>
              </m:sSup>
              <m:r>
                <m:t> </m:t>
              </m:r>
              <m:r>
                <m:rPr>
                  <m:nor/>
                  <m:sty m:val="p"/>
                </m:rPr>
                <m:t>m</m:t>
              </m:r>
            </m:den>
          </m:f>
          <m:r>
            <m:rPr>
              <m:sty m:val="p"/>
            </m:rPr>
            <m:t>=</m:t>
          </m:r>
          <m:r>
            <m:t>3.046</m:t>
          </m:r>
          <m:r>
            <m:rPr>
              <m:sty m:val="p"/>
            </m:rPr>
            <m:t>×</m:t>
          </m:r>
          <m:sSup>
            <m:e>
              <m:r>
                <m:t>10</m:t>
              </m:r>
            </m:e>
            <m:sup>
              <m:r>
                <m:rPr>
                  <m:sty m:val="p"/>
                </m:rPr>
                <m:t>−</m:t>
              </m:r>
              <m:r>
                <m:t>19</m:t>
              </m:r>
            </m:sup>
          </m:sSup>
          <m:r>
            <m:t> </m:t>
          </m:r>
          <m:r>
            <m:rPr>
              <m:nor/>
              <m:sty m:val="p"/>
            </m:rPr>
            <m:t>J</m:t>
          </m:r>
        </m:oMath>
      </m:oMathPara>
    </w:p>
    <w:p>
      <w:pPr>
        <w:pStyle w:val="FirstParagraph"/>
      </w:pPr>
      <m:oMathPara>
        <m:oMathParaPr>
          <m:jc m:val="center"/>
        </m:oMathParaPr>
        <m:oMath>
          <m:sSub>
            <m:e>
              <m:r>
                <m:t>E</m:t>
              </m:r>
            </m:e>
            <m:sub>
              <m:r>
                <m:rPr>
                  <m:nor/>
                  <m:sty m:val="p"/>
                </m:rPr>
                <m:t>photon</m:t>
              </m:r>
            </m:sub>
          </m:sSub>
          <m:r>
            <m:rPr>
              <m:sty m:val="p"/>
            </m:rPr>
            <m:t>=</m:t>
          </m:r>
          <m:d>
            <m:dPr>
              <m:begChr m:val="("/>
              <m:endChr m:val=")"/>
              <m:sepChr m:val=""/>
              <m:grow/>
            </m:dPr>
            <m:e>
              <m:r>
                <m:t>3.046</m:t>
              </m:r>
              <m:r>
                <m:rPr>
                  <m:sty m:val="p"/>
                </m:rPr>
                <m:t>×</m:t>
              </m:r>
              <m:sSup>
                <m:e>
                  <m:r>
                    <m:t>10</m:t>
                  </m:r>
                </m:e>
                <m:sup>
                  <m:r>
                    <m:rPr>
                      <m:sty m:val="p"/>
                    </m:rPr>
                    <m:t>−</m:t>
                  </m:r>
                  <m:r>
                    <m:t>19</m:t>
                  </m:r>
                </m:sup>
              </m:sSup>
              <m:r>
                <m:t> </m:t>
              </m:r>
              <m:r>
                <m:rPr>
                  <m:nor/>
                  <m:sty m:val="p"/>
                </m:rPr>
                <m:t>J</m:t>
              </m:r>
            </m:e>
          </m:d>
          <m:r>
            <m:rPr>
              <m:sty m:val="p"/>
            </m:rPr>
            <m:t>×</m:t>
          </m:r>
          <m:f>
            <m:fPr>
              <m:type m:val="bar"/>
            </m:fPr>
            <m:num>
              <m:r>
                <m:t>1</m:t>
              </m:r>
              <m:r>
                <m:t> </m:t>
              </m:r>
              <m:r>
                <m:rPr>
                  <m:nor/>
                  <m:sty m:val="p"/>
                </m:rPr>
                <m:t>eV</m:t>
              </m:r>
            </m:num>
            <m:den>
              <m:r>
                <m:t>1.602</m:t>
              </m:r>
              <m:r>
                <m:rPr>
                  <m:sty m:val="p"/>
                </m:rPr>
                <m:t>×</m:t>
              </m:r>
              <m:sSup>
                <m:e>
                  <m:r>
                    <m:t>10</m:t>
                  </m:r>
                </m:e>
                <m:sup>
                  <m:r>
                    <m:rPr>
                      <m:sty m:val="p"/>
                    </m:rPr>
                    <m:t>−</m:t>
                  </m:r>
                  <m:r>
                    <m:t>19</m:t>
                  </m:r>
                </m:sup>
              </m:sSup>
              <m:r>
                <m:t> </m:t>
              </m:r>
              <m:r>
                <m:rPr>
                  <m:nor/>
                  <m:sty m:val="p"/>
                </m:rPr>
                <m:t>J</m:t>
              </m:r>
            </m:den>
          </m:f>
          <m:r>
            <m:rPr>
              <m:sty m:val="p"/>
            </m:rPr>
            <m:t>=</m:t>
          </m:r>
          <m:r>
            <m:t>1.901</m:t>
          </m:r>
          <m:r>
            <m:t> </m:t>
          </m:r>
          <m:r>
            <m:rPr>
              <m:nor/>
              <m:sty m:val="p"/>
            </m:rPr>
            <m:t>eV</m:t>
          </m:r>
        </m:oMath>
      </m:oMathPara>
    </w:p>
    <w:p>
      <w:pPr>
        <w:pStyle w:val="FirstParagraph"/>
      </w:pPr>
      <m:oMathPara>
        <m:oMathParaPr>
          <m:jc m:val="center"/>
        </m:oMathParaPr>
        <m:oMath>
          <m:sSub>
            <m:e>
              <m:r>
                <m:t>E</m:t>
              </m:r>
            </m:e>
            <m:sub>
              <m:r>
                <m:t>3</m:t>
              </m:r>
            </m:sub>
          </m:sSub>
          <m:r>
            <m:rPr>
              <m:sty m:val="p"/>
            </m:rPr>
            <m:t>=</m:t>
          </m:r>
          <m:sSub>
            <m:e>
              <m:r>
                <m:t>E</m:t>
              </m:r>
            </m:e>
            <m:sub>
              <m:r>
                <m:t>2</m:t>
              </m:r>
            </m:sub>
          </m:sSub>
          <m:r>
            <m:rPr>
              <m:sty m:val="p"/>
            </m:rPr>
            <m:t>+</m:t>
          </m:r>
          <m:sSub>
            <m:e>
              <m:r>
                <m:t>E</m:t>
              </m:r>
            </m:e>
            <m:sub>
              <m:r>
                <m:rPr>
                  <m:nor/>
                  <m:sty m:val="p"/>
                </m:rPr>
                <m:t>photon</m:t>
              </m:r>
            </m:sub>
          </m:sSub>
          <m:r>
            <m:rPr>
              <m:sty m:val="p"/>
            </m:rPr>
            <m:t>=</m:t>
          </m:r>
          <m:r>
            <m:rPr>
              <m:sty m:val="p"/>
            </m:rPr>
            <m:t>−</m:t>
          </m:r>
          <m:r>
            <m:t>3.40</m:t>
          </m:r>
          <m:r>
            <m:t> </m:t>
          </m:r>
          <m:r>
            <m:rPr>
              <m:nor/>
              <m:sty m:val="p"/>
            </m:rPr>
            <m:t>eV</m:t>
          </m:r>
          <m:r>
            <m:rPr>
              <m:sty m:val="p"/>
            </m:rPr>
            <m:t>+</m:t>
          </m:r>
          <m:r>
            <m:t>1.901</m:t>
          </m:r>
          <m:r>
            <m:t> </m:t>
          </m:r>
          <m:r>
            <m:rPr>
              <m:nor/>
              <m:sty m:val="p"/>
            </m:rPr>
            <m:t>eV</m:t>
          </m:r>
          <m:r>
            <m:rPr>
              <m:sty m:val="p"/>
            </m:rPr>
            <m:t>=</m:t>
          </m:r>
          <m:r>
            <m:rPr>
              <m:sty m:val="p"/>
            </m:rPr>
            <m:t>−</m:t>
          </m:r>
          <m:r>
            <m:t>1.499</m:t>
          </m:r>
          <m:r>
            <m:t> </m:t>
          </m:r>
          <m:r>
            <m:rPr>
              <m:nor/>
              <m:sty m:val="p"/>
            </m:rPr>
            <m:t>eV</m:t>
          </m:r>
        </m:oMath>
      </m:oMathPara>
    </w:p>
    <w:p>
      <w:pPr>
        <w:pStyle w:val="FirstParagraph"/>
      </w:pPr>
      <w:r>
        <w:t xml:space="preserve">Plotting the energy of levels</w:t>
      </w:r>
      <w:r>
        <w:t xml:space="preserve"> </w:t>
      </w:r>
      <w:r>
        <w:rPr>
          <w:iCs/>
          <w:i/>
        </w:rPr>
        <w:t xml:space="preserve">n</w:t>
      </w:r>
      <w:r>
        <w:t xml:space="preserve"> </w:t>
      </w:r>
      <w:r>
        <w:t xml:space="preserve">= 2 through 6 against 1/</w:t>
      </w:r>
      <w:r>
        <w:rPr>
          <w:iCs/>
          <w:i/>
        </w:rPr>
        <w:t xml:space="preserve">n</w:t>
      </w:r>
      <w:r>
        <w:rPr>
          <w:vertAlign w:val="superscript"/>
        </w:rPr>
        <w:t xml:space="preserve">2</w:t>
      </w:r>
      <w:r>
        <w:t xml:space="preserve"> </w:t>
      </w:r>
      <w:r>
        <w:t xml:space="preserve">gave a straight line (Figure 1) with</w:t>
      </w:r>
      <w:r>
        <w:t xml:space="preserve"> </w:t>
      </w:r>
      <w:r>
        <w:rPr>
          <w:iCs/>
          <w:i/>
        </w:rPr>
        <w:t xml:space="preserve">R</w:t>
      </w:r>
      <w:r>
        <w:rPr>
          <w:vertAlign w:val="superscript"/>
        </w:rPr>
        <w:t xml:space="preserve">2</w:t>
      </w:r>
      <w:r>
        <w:t xml:space="preserve"> </w:t>
      </w:r>
      <w:r>
        <w:t xml:space="preserve">= 0.9999. The ground-state energy is found by setting</w:t>
      </w:r>
      <w:r>
        <w:t xml:space="preserve"> </w:t>
      </w:r>
      <w:r>
        <w:rPr>
          <w:iCs/>
          <w:i/>
        </w:rPr>
        <w:t xml:space="preserve">n</w:t>
      </w:r>
      <w:r>
        <w:t xml:space="preserve"> </w:t>
      </w:r>
      <w:r>
        <w:t xml:space="preserve">= 1, so 1/</w:t>
      </w:r>
      <w:r>
        <w:rPr>
          <w:iCs/>
          <w:i/>
        </w:rPr>
        <w:t xml:space="preserve">n</w:t>
      </w:r>
      <w:r>
        <w:rPr>
          <w:vertAlign w:val="superscript"/>
        </w:rPr>
        <w:t xml:space="preserve">2</w:t>
      </w:r>
      <w:r>
        <w:t xml:space="preserve"> </w:t>
      </w:r>
      <w:r>
        <w:t xml:space="preserve">= 1:</w:t>
      </w:r>
    </w:p>
    <w:p>
      <w:pPr>
        <w:pStyle w:val="BodyText"/>
      </w:pPr>
      <m:oMathPara>
        <m:oMathParaPr>
          <m:jc m:val="center"/>
        </m:oMathParaPr>
        <m:oMath>
          <m:r>
            <m:t>E</m:t>
          </m:r>
          <m:r>
            <m:rPr>
              <m:sty m:val="p"/>
            </m:rPr>
            <m:t>=</m:t>
          </m:r>
          <m:d>
            <m:dPr>
              <m:begChr m:val="("/>
              <m:endChr m:val=")"/>
              <m:sepChr m:val=""/>
              <m:grow/>
            </m:dPr>
            <m:e>
              <m:r>
                <m:rPr>
                  <m:sty m:val="p"/>
                </m:rPr>
                <m:t>−</m:t>
              </m:r>
              <m:r>
                <m:t>13.65</m:t>
              </m:r>
              <m:r>
                <m:t> </m:t>
              </m:r>
              <m:r>
                <m:rPr>
                  <m:nor/>
                  <m:sty m:val="p"/>
                </m:rPr>
                <m:t>eV</m:t>
              </m:r>
            </m:e>
          </m:d>
          <m:d>
            <m:dPr>
              <m:begChr m:val="("/>
              <m:endChr m:val=")"/>
              <m:sepChr m:val=""/>
              <m:grow/>
            </m:dPr>
            <m:e>
              <m:f>
                <m:fPr>
                  <m:type m:val="bar"/>
                </m:fPr>
                <m:num>
                  <m:r>
                    <m:t>1</m:t>
                  </m:r>
                </m:num>
                <m:den>
                  <m:sSup>
                    <m:e>
                      <m:r>
                        <m:t>n</m:t>
                      </m:r>
                    </m:e>
                    <m:sup>
                      <m:r>
                        <m:t>2</m:t>
                      </m:r>
                    </m:sup>
                  </m:sSup>
                </m:den>
              </m:f>
            </m:e>
          </m:d>
          <m:r>
            <m:rPr>
              <m:sty m:val="p"/>
            </m:rPr>
            <m:t>+</m:t>
          </m:r>
          <m:r>
            <m:t>0.015</m:t>
          </m:r>
          <m:r>
            <m:t> </m:t>
          </m:r>
          <m:r>
            <m:rPr>
              <m:nor/>
              <m:sty m:val="p"/>
            </m:rPr>
            <m:t>eV</m:t>
          </m:r>
        </m:oMath>
      </m:oMathPara>
    </w:p>
    <w:p>
      <w:pPr>
        <w:pStyle w:val="FirstParagraph"/>
      </w:pPr>
      <m:oMathPara>
        <m:oMathParaPr>
          <m:jc m:val="center"/>
        </m:oMathParaPr>
        <m:oMath>
          <m:sSub>
            <m:e>
              <m:r>
                <m:t>E</m:t>
              </m:r>
            </m:e>
            <m:sub>
              <m:r>
                <m:t>1</m:t>
              </m:r>
            </m:sub>
          </m:sSub>
          <m:r>
            <m:rPr>
              <m:sty m:val="p"/>
            </m:rPr>
            <m:t>=</m:t>
          </m:r>
          <m:d>
            <m:dPr>
              <m:begChr m:val="("/>
              <m:endChr m:val=")"/>
              <m:sepChr m:val=""/>
              <m:grow/>
            </m:dPr>
            <m:e>
              <m:r>
                <m:rPr>
                  <m:sty m:val="p"/>
                </m:rPr>
                <m:t>−</m:t>
              </m:r>
              <m:r>
                <m:t>13.65</m:t>
              </m:r>
              <m:r>
                <m:t> </m:t>
              </m:r>
              <m:r>
                <m:rPr>
                  <m:nor/>
                  <m:sty m:val="p"/>
                </m:rPr>
                <m:t>eV</m:t>
              </m:r>
            </m:e>
          </m:d>
          <m:d>
            <m:dPr>
              <m:begChr m:val="("/>
              <m:endChr m:val=")"/>
              <m:sepChr m:val=""/>
              <m:grow/>
            </m:dPr>
            <m:e>
              <m:f>
                <m:fPr>
                  <m:type m:val="bar"/>
                </m:fPr>
                <m:num>
                  <m:r>
                    <m:t>1</m:t>
                  </m:r>
                </m:num>
                <m:den>
                  <m:sSup>
                    <m:e>
                      <m:r>
                        <m:t>1</m:t>
                      </m:r>
                    </m:e>
                    <m:sup>
                      <m:r>
                        <m:t>2</m:t>
                      </m:r>
                    </m:sup>
                  </m:sSup>
                </m:den>
              </m:f>
            </m:e>
          </m:d>
          <m:r>
            <m:rPr>
              <m:sty m:val="p"/>
            </m:rPr>
            <m:t>+</m:t>
          </m:r>
          <m:r>
            <m:t>0.015</m:t>
          </m:r>
          <m:r>
            <m:t> </m:t>
          </m:r>
          <m:r>
            <m:rPr>
              <m:nor/>
              <m:sty m:val="p"/>
            </m:rPr>
            <m:t>eV</m:t>
          </m:r>
          <m:r>
            <m:rPr>
              <m:sty m:val="p"/>
            </m:rPr>
            <m:t>=</m:t>
          </m:r>
          <m:r>
            <m:rPr>
              <m:sty m:val="p"/>
            </m:rPr>
            <m:t>−</m:t>
          </m:r>
          <m:r>
            <m:t>13.6</m:t>
          </m:r>
          <m:r>
            <m:t> </m:t>
          </m:r>
          <m:r>
            <m:rPr>
              <m:nor/>
              <m:sty m:val="p"/>
            </m:rPr>
            <m:t>eV</m:t>
          </m:r>
        </m:oMath>
      </m:oMathPara>
    </w:p>
    <w:p>
      <w:pPr>
        <w:pStyle w:val="FirstParagraph"/>
      </w:pPr>
      <w:r>
        <w:t xml:space="preserve">The value is negative because</w:t>
      </w:r>
      <w:r>
        <w:t xml:space="preserve"> </w:t>
      </w:r>
      <w:r>
        <w:rPr>
          <w:iCs/>
          <w:i/>
        </w:rPr>
        <w:t xml:space="preserve">E</w:t>
      </w:r>
      <w:r>
        <w:t xml:space="preserve"> </w:t>
      </w:r>
      <w:r>
        <w:t xml:space="preserve">= 0 is the energy of a free electron fully separated from the proton (</w:t>
      </w:r>
      <w:r>
        <w:rPr>
          <w:iCs/>
          <w:i/>
        </w:rPr>
        <w:t xml:space="preserve">n</w:t>
      </w:r>
      <w:r>
        <w:t xml:space="preserve"> </w:t>
      </w:r>
      <w:r>
        <w:t xml:space="preserve">= ∞). It is reported to three significant figures to match the precision of the wavelength readings on the spectroscope. This result matches the accepted value of −13.6 eV. The</w:t>
      </w:r>
      <w:r>
        <w:t xml:space="preserve"> </w:t>
      </w:r>
      <w:r>
        <w:rPr>
          <w:iCs/>
          <w:i/>
        </w:rPr>
        <w:t xml:space="preserve">R</w:t>
      </w:r>
      <w:r>
        <w:rPr>
          <w:vertAlign w:val="superscript"/>
        </w:rPr>
        <w:t xml:space="preserve">2</w:t>
      </w:r>
      <w:r>
        <w:t xml:space="preserve"> </w:t>
      </w:r>
      <w:r>
        <w:t xml:space="preserve">close to 1 and the intercept close to zero confirm that the energy of hydrogen depends on 1/</w:t>
      </w:r>
      <w:r>
        <w:rPr>
          <w:iCs/>
          <w:i/>
        </w:rPr>
        <w:t xml:space="preserve">n</w:t>
      </w:r>
      <w:r>
        <w:rPr>
          <w:vertAlign w:val="superscript"/>
        </w:rPr>
        <w:t xml:space="preserve">2</w:t>
      </w:r>
      <w:r>
        <w:t xml:space="preserve">, as predicted.</w:t>
      </w:r>
    </w:p>
    <w:p>
      <w:pPr>
        <w:pStyle w:val="BodyText"/>
      </w:pPr>
      <w:r>
        <w:t xml:space="preserve">Our model shows the hydrogen atom as a set of energy levels that get closer together as</w:t>
      </w:r>
      <w:r>
        <w:t xml:space="preserve"> </w:t>
      </w:r>
      <w:r>
        <w:rPr>
          <w:iCs/>
          <w:i/>
        </w:rPr>
        <w:t xml:space="preserve">n</w:t>
      </w:r>
      <w:r>
        <w:t xml:space="preserve"> </w:t>
      </w:r>
      <w:r>
        <w:t xml:space="preserve">increases. Each observed line is an electron falling from a higher level (</w:t>
      </w:r>
      <w:r>
        <w:rPr>
          <w:iCs/>
          <w:i/>
        </w:rPr>
        <w:t xml:space="preserve">n</w:t>
      </w:r>
      <w:r>
        <w:t xml:space="preserve"> </w:t>
      </w:r>
      <w:r>
        <w:t xml:space="preserve">= 3 to 6) down to</w:t>
      </w:r>
      <w:r>
        <w:t xml:space="preserve"> </w:t>
      </w:r>
      <w:r>
        <w:rPr>
          <w:iCs/>
          <w:i/>
        </w:rPr>
        <w:t xml:space="preserve">n</w:t>
      </w:r>
      <w:r>
        <w:t xml:space="preserve"> </w:t>
      </w:r>
      <w:r>
        <w:t xml:space="preserve">= 2. The 650.5 nm red line is the smallest drop (3 → 2), and the 409.1 nm violet line is the largest (6 → 2). Because the levels are fixed, only these specific energies, and so only these colors, can be emitted. This explains why hydrogen and the other elements (Figures 2 and 3) showed separate bright lines, while the incandescent bulb showed a continuous rainbow. Each element has its own set of energy levels, so each one gives its own pattern of lines. This supports the hypothesis that atomic emission spectra are discrete.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 Diffraction and Atomic Emission Spectra</dc:title>
  <dc:creator/>
  <cp:keywords/>
  <dcterms:created xsi:type="dcterms:W3CDTF">2026-10-22T01:58:40Z</dcterms:created>
  <dcterms:modified xsi:type="dcterms:W3CDTF">2026-10-22T01:58:40Z</dcterms:modified>
</cp:coreProperties>
</file>

<file path=docProps/custom.xml><?xml version="1.0" encoding="utf-8"?>
<Properties xmlns="http://schemas.openxmlformats.org/officeDocument/2006/custom-properties" xmlns:vt="http://schemas.openxmlformats.org/officeDocument/2006/docPropsVTypes"/>
</file>